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7EBD145C" w14:textId="77777777" w:rsidTr="00F01738">
        <w:trPr>
          <w:trHeight w:hRule="exact" w:val="851"/>
        </w:trPr>
        <w:tc>
          <w:tcPr>
            <w:tcW w:w="1276" w:type="dxa"/>
            <w:tcBorders>
              <w:bottom w:val="single" w:sz="4" w:space="0" w:color="auto"/>
            </w:tcBorders>
          </w:tcPr>
          <w:p w14:paraId="4FAFA07A" w14:textId="77777777" w:rsidR="00132EA9" w:rsidRPr="00DB58B5" w:rsidRDefault="00132EA9" w:rsidP="003A1DA3"/>
        </w:tc>
        <w:tc>
          <w:tcPr>
            <w:tcW w:w="2268" w:type="dxa"/>
            <w:tcBorders>
              <w:bottom w:val="single" w:sz="4" w:space="0" w:color="auto"/>
            </w:tcBorders>
            <w:vAlign w:val="bottom"/>
          </w:tcPr>
          <w:p w14:paraId="1FAC4097"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E369349" w14:textId="331CAFBA" w:rsidR="00132EA9" w:rsidRPr="00DB58B5" w:rsidRDefault="003A1DA3" w:rsidP="003A1DA3">
            <w:pPr>
              <w:jc w:val="right"/>
            </w:pPr>
            <w:r w:rsidRPr="003A1DA3">
              <w:rPr>
                <w:sz w:val="40"/>
              </w:rPr>
              <w:t>ST</w:t>
            </w:r>
            <w:r>
              <w:t>/SG/AC.10/C.3/2022/69</w:t>
            </w:r>
          </w:p>
        </w:tc>
      </w:tr>
      <w:tr w:rsidR="00132EA9" w:rsidRPr="00DB58B5" w14:paraId="1A46750D" w14:textId="77777777" w:rsidTr="00F01738">
        <w:trPr>
          <w:trHeight w:hRule="exact" w:val="2835"/>
        </w:trPr>
        <w:tc>
          <w:tcPr>
            <w:tcW w:w="1276" w:type="dxa"/>
            <w:tcBorders>
              <w:top w:val="single" w:sz="4" w:space="0" w:color="auto"/>
              <w:bottom w:val="single" w:sz="12" w:space="0" w:color="auto"/>
            </w:tcBorders>
          </w:tcPr>
          <w:p w14:paraId="36C2FA25" w14:textId="77777777" w:rsidR="00132EA9" w:rsidRPr="00DB58B5" w:rsidRDefault="00132EA9" w:rsidP="00F01738">
            <w:pPr>
              <w:spacing w:before="120"/>
              <w:jc w:val="center"/>
            </w:pPr>
            <w:r>
              <w:rPr>
                <w:noProof/>
                <w:lang w:eastAsia="fr-CH"/>
              </w:rPr>
              <w:drawing>
                <wp:inline distT="0" distB="0" distL="0" distR="0" wp14:anchorId="0C02C99C" wp14:editId="61FD180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103267E"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BDF50CE" w14:textId="77777777" w:rsidR="00132EA9" w:rsidRDefault="003A1DA3" w:rsidP="00F01738">
            <w:pPr>
              <w:spacing w:before="240"/>
            </w:pPr>
            <w:proofErr w:type="spellStart"/>
            <w:r>
              <w:t>Distr</w:t>
            </w:r>
            <w:proofErr w:type="spellEnd"/>
            <w:r>
              <w:t xml:space="preserve">. </w:t>
            </w:r>
            <w:proofErr w:type="gramStart"/>
            <w:r>
              <w:t>générale</w:t>
            </w:r>
            <w:proofErr w:type="gramEnd"/>
          </w:p>
          <w:p w14:paraId="68525CC1" w14:textId="77777777" w:rsidR="003A1DA3" w:rsidRDefault="003A1DA3" w:rsidP="003A1DA3">
            <w:pPr>
              <w:spacing w:line="240" w:lineRule="exact"/>
            </w:pPr>
            <w:r>
              <w:t>7 septembre 2022</w:t>
            </w:r>
          </w:p>
          <w:p w14:paraId="6B678FBC" w14:textId="77777777" w:rsidR="003A1DA3" w:rsidRDefault="003A1DA3" w:rsidP="003A1DA3">
            <w:pPr>
              <w:spacing w:line="240" w:lineRule="exact"/>
            </w:pPr>
            <w:r>
              <w:t>Français</w:t>
            </w:r>
          </w:p>
          <w:p w14:paraId="20E8B3CD" w14:textId="0B913084" w:rsidR="003A1DA3" w:rsidRPr="00DB58B5" w:rsidRDefault="003A1DA3" w:rsidP="003A1DA3">
            <w:pPr>
              <w:spacing w:line="240" w:lineRule="exact"/>
            </w:pPr>
            <w:r>
              <w:t>Original : anglais</w:t>
            </w:r>
          </w:p>
        </w:tc>
      </w:tr>
    </w:tbl>
    <w:p w14:paraId="171E3A68" w14:textId="28D8565E" w:rsidR="003A1DA3" w:rsidRPr="00CA0680" w:rsidRDefault="003A1DA3" w:rsidP="000305D3">
      <w:pPr>
        <w:spacing w:before="120"/>
        <w:rPr>
          <w:b/>
          <w:sz w:val="24"/>
          <w:szCs w:val="24"/>
        </w:rPr>
      </w:pPr>
      <w:r w:rsidRPr="00CA0680">
        <w:rPr>
          <w:b/>
          <w:sz w:val="24"/>
          <w:szCs w:val="24"/>
        </w:rPr>
        <w:t>Comité d</w:t>
      </w:r>
      <w:r w:rsidR="00F5195C">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F5195C">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7DB364C5" w14:textId="63CCB73D" w:rsidR="003A1DA3" w:rsidRPr="00CA0680" w:rsidRDefault="003A1DA3" w:rsidP="000305D3">
      <w:pPr>
        <w:spacing w:before="120"/>
        <w:rPr>
          <w:b/>
        </w:rPr>
      </w:pPr>
      <w:r w:rsidRPr="00CA0680">
        <w:rPr>
          <w:b/>
        </w:rPr>
        <w:t>Sous</w:t>
      </w:r>
      <w:r>
        <w:rPr>
          <w:b/>
        </w:rPr>
        <w:t>-</w:t>
      </w:r>
      <w:r w:rsidRPr="00CA0680">
        <w:rPr>
          <w:b/>
        </w:rPr>
        <w:t>Comité d</w:t>
      </w:r>
      <w:r w:rsidR="00F5195C">
        <w:rPr>
          <w:b/>
        </w:rPr>
        <w:t>’</w:t>
      </w:r>
      <w:r w:rsidRPr="00CA0680">
        <w:rPr>
          <w:b/>
        </w:rPr>
        <w:t>experts du transport des marchandises dangereuses</w:t>
      </w:r>
    </w:p>
    <w:p w14:paraId="24E4BFB7" w14:textId="77777777" w:rsidR="003A1DA3" w:rsidRPr="009C6605" w:rsidRDefault="003A1DA3" w:rsidP="003A1DA3">
      <w:pPr>
        <w:spacing w:before="120" w:line="276" w:lineRule="auto"/>
        <w:rPr>
          <w:b/>
        </w:rPr>
      </w:pPr>
      <w:r w:rsidRPr="009C6605">
        <w:rPr>
          <w:b/>
          <w:bCs/>
          <w:lang w:val="fr-FR"/>
        </w:rPr>
        <w:t>Soixante et unième session</w:t>
      </w:r>
    </w:p>
    <w:p w14:paraId="769B9EC0" w14:textId="15DC7323" w:rsidR="003A1DA3" w:rsidRPr="009C6605" w:rsidRDefault="003A1DA3" w:rsidP="003A1DA3">
      <w:pPr>
        <w:spacing w:line="276" w:lineRule="auto"/>
      </w:pPr>
      <w:r w:rsidRPr="009C6605">
        <w:rPr>
          <w:lang w:val="fr-FR"/>
        </w:rPr>
        <w:t>Genève, 28 novembre-6 décembre 2022</w:t>
      </w:r>
    </w:p>
    <w:p w14:paraId="4B2632B2" w14:textId="420CD333" w:rsidR="003A1DA3" w:rsidRPr="009C6605" w:rsidRDefault="003A1DA3" w:rsidP="003A1DA3">
      <w:pPr>
        <w:spacing w:line="276" w:lineRule="auto"/>
      </w:pPr>
      <w:r w:rsidRPr="009C6605">
        <w:rPr>
          <w:lang w:val="fr-FR"/>
        </w:rPr>
        <w:t>Point 6 b) de l</w:t>
      </w:r>
      <w:r w:rsidR="00F5195C">
        <w:rPr>
          <w:lang w:val="fr-FR"/>
        </w:rPr>
        <w:t>’</w:t>
      </w:r>
      <w:r w:rsidRPr="009C6605">
        <w:rPr>
          <w:lang w:val="fr-FR"/>
        </w:rPr>
        <w:t>ordre du jour provisoire</w:t>
      </w:r>
    </w:p>
    <w:p w14:paraId="11C5ED71" w14:textId="64A70A40" w:rsidR="00446FE5" w:rsidRDefault="003A1DA3" w:rsidP="003A1DA3">
      <w:pPr>
        <w:rPr>
          <w:b/>
          <w:bCs/>
          <w:lang w:val="fr-FR"/>
        </w:rPr>
      </w:pPr>
      <w:r w:rsidRPr="009C6605">
        <w:rPr>
          <w:b/>
          <w:bCs/>
          <w:lang w:val="fr-FR"/>
        </w:rPr>
        <w:t>Propositions diverses d</w:t>
      </w:r>
      <w:r w:rsidR="00F5195C">
        <w:rPr>
          <w:b/>
          <w:bCs/>
          <w:lang w:val="fr-FR"/>
        </w:rPr>
        <w:t>’</w:t>
      </w:r>
      <w:r w:rsidRPr="009C6605">
        <w:rPr>
          <w:b/>
          <w:bCs/>
          <w:lang w:val="fr-FR"/>
        </w:rPr>
        <w:t xml:space="preserve">amendements au Règlement type pour le transport </w:t>
      </w:r>
      <w:r w:rsidR="00082D63">
        <w:rPr>
          <w:b/>
          <w:bCs/>
          <w:lang w:val="fr-FR"/>
        </w:rPr>
        <w:br/>
      </w:r>
      <w:r w:rsidRPr="009C6605">
        <w:rPr>
          <w:b/>
          <w:bCs/>
          <w:lang w:val="fr-FR"/>
        </w:rPr>
        <w:t>des marchandises dangereuses</w:t>
      </w:r>
      <w:r w:rsidR="00082D63">
        <w:rPr>
          <w:b/>
          <w:bCs/>
          <w:lang w:val="fr-FR"/>
        </w:rPr>
        <w:t xml:space="preserve"> </w:t>
      </w:r>
      <w:r w:rsidRPr="009C6605">
        <w:rPr>
          <w:b/>
          <w:bCs/>
          <w:lang w:val="fr-FR"/>
        </w:rPr>
        <w:t>: emballages, y compris l</w:t>
      </w:r>
      <w:r w:rsidR="00F5195C">
        <w:rPr>
          <w:b/>
          <w:bCs/>
          <w:lang w:val="fr-FR"/>
        </w:rPr>
        <w:t>’</w:t>
      </w:r>
      <w:r w:rsidRPr="009C6605">
        <w:rPr>
          <w:b/>
          <w:bCs/>
          <w:lang w:val="fr-FR"/>
        </w:rPr>
        <w:t xml:space="preserve">utilisation </w:t>
      </w:r>
      <w:r w:rsidR="00082D63">
        <w:rPr>
          <w:b/>
          <w:bCs/>
          <w:lang w:val="fr-FR"/>
        </w:rPr>
        <w:br/>
      </w:r>
      <w:r w:rsidRPr="009C6605">
        <w:rPr>
          <w:b/>
          <w:bCs/>
          <w:lang w:val="fr-FR"/>
        </w:rPr>
        <w:t>des matières plastiques recyclées</w:t>
      </w:r>
    </w:p>
    <w:p w14:paraId="237ABFE2" w14:textId="135AEC07" w:rsidR="00F5195C" w:rsidRPr="00CD0C11" w:rsidRDefault="00F5195C" w:rsidP="00F5195C">
      <w:pPr>
        <w:pStyle w:val="HChG"/>
      </w:pPr>
      <w:r w:rsidRPr="00E94BC6">
        <w:rPr>
          <w:sz w:val="24"/>
          <w:szCs w:val="24"/>
          <w:lang w:val="fr-FR"/>
        </w:rPr>
        <w:tab/>
      </w:r>
      <w:r w:rsidRPr="00E94BC6">
        <w:rPr>
          <w:sz w:val="24"/>
          <w:szCs w:val="24"/>
          <w:lang w:val="fr-FR"/>
        </w:rPr>
        <w:tab/>
      </w:r>
      <w:r w:rsidRPr="00CD0C11">
        <w:rPr>
          <w:lang w:val="fr-FR"/>
        </w:rPr>
        <w:t>Proposition visant à</w:t>
      </w:r>
      <w:r>
        <w:rPr>
          <w:lang w:val="fr-FR"/>
        </w:rPr>
        <w:t xml:space="preserve"> permettre une utilisation</w:t>
      </w:r>
      <w:r w:rsidRPr="00CD0C11">
        <w:rPr>
          <w:lang w:val="fr-FR"/>
        </w:rPr>
        <w:t xml:space="preserve"> accrue </w:t>
      </w:r>
      <w:r>
        <w:rPr>
          <w:lang w:val="fr-FR"/>
        </w:rPr>
        <w:br/>
      </w:r>
      <w:r w:rsidRPr="00CD0C11">
        <w:rPr>
          <w:lang w:val="fr-FR"/>
        </w:rPr>
        <w:t>de</w:t>
      </w:r>
      <w:r>
        <w:rPr>
          <w:lang w:val="fr-FR"/>
        </w:rPr>
        <w:t>s</w:t>
      </w:r>
      <w:r w:rsidRPr="00CD0C11">
        <w:rPr>
          <w:lang w:val="fr-FR"/>
        </w:rPr>
        <w:t xml:space="preserve"> matières </w:t>
      </w:r>
      <w:r w:rsidRPr="00F5195C">
        <w:t>plastiques</w:t>
      </w:r>
      <w:r w:rsidRPr="00CD0C11">
        <w:rPr>
          <w:lang w:val="fr-FR"/>
        </w:rPr>
        <w:t xml:space="preserve"> recyclées</w:t>
      </w:r>
      <w:r>
        <w:rPr>
          <w:lang w:val="fr-FR"/>
        </w:rPr>
        <w:t xml:space="preserve"> pour </w:t>
      </w:r>
      <w:r w:rsidRPr="00CD0C11">
        <w:rPr>
          <w:lang w:val="fr-FR"/>
        </w:rPr>
        <w:t xml:space="preserve">atteindre </w:t>
      </w:r>
      <w:r>
        <w:rPr>
          <w:lang w:val="fr-FR"/>
        </w:rPr>
        <w:br/>
      </w:r>
      <w:r w:rsidRPr="00CD0C11">
        <w:rPr>
          <w:lang w:val="fr-FR"/>
        </w:rPr>
        <w:t>les objectifs</w:t>
      </w:r>
      <w:r>
        <w:rPr>
          <w:lang w:val="fr-FR"/>
        </w:rPr>
        <w:t xml:space="preserve"> du Programme</w:t>
      </w:r>
      <w:r w:rsidRPr="00CD0C11">
        <w:rPr>
          <w:lang w:val="fr-FR"/>
        </w:rPr>
        <w:t xml:space="preserve"> 2030</w:t>
      </w:r>
    </w:p>
    <w:p w14:paraId="372016F8" w14:textId="3B1B09FA" w:rsidR="00F5195C" w:rsidRPr="00E94BC6" w:rsidRDefault="00F5195C" w:rsidP="00F5195C">
      <w:pPr>
        <w:pStyle w:val="H1G"/>
        <w:rPr>
          <w:rFonts w:eastAsia="Times New Roman"/>
        </w:rPr>
      </w:pPr>
      <w:r w:rsidRPr="00E94BC6">
        <w:rPr>
          <w:lang w:val="fr-FR"/>
        </w:rPr>
        <w:tab/>
      </w:r>
      <w:r w:rsidRPr="00E94BC6">
        <w:rPr>
          <w:lang w:val="fr-FR"/>
        </w:rPr>
        <w:tab/>
      </w:r>
      <w:r w:rsidRPr="00F5195C">
        <w:t>Communication</w:t>
      </w:r>
      <w:r w:rsidRPr="00E94BC6">
        <w:rPr>
          <w:lang w:val="fr-FR"/>
        </w:rPr>
        <w:t xml:space="preserve"> de l</w:t>
      </w:r>
      <w:r>
        <w:rPr>
          <w:lang w:val="fr-FR"/>
        </w:rPr>
        <w:t>’</w:t>
      </w:r>
      <w:r w:rsidRPr="00E94BC6">
        <w:rPr>
          <w:lang w:val="fr-FR"/>
        </w:rPr>
        <w:t xml:space="preserve">International </w:t>
      </w:r>
      <w:proofErr w:type="spellStart"/>
      <w:r w:rsidRPr="00E94BC6">
        <w:rPr>
          <w:lang w:val="fr-FR"/>
        </w:rPr>
        <w:t>Confederation</w:t>
      </w:r>
      <w:proofErr w:type="spellEnd"/>
      <w:r w:rsidRPr="00E94BC6">
        <w:rPr>
          <w:lang w:val="fr-FR"/>
        </w:rPr>
        <w:t xml:space="preserve"> of Plastics </w:t>
      </w:r>
      <w:r>
        <w:rPr>
          <w:lang w:val="fr-FR"/>
        </w:rPr>
        <w:br/>
      </w:r>
      <w:r w:rsidRPr="00E94BC6">
        <w:rPr>
          <w:lang w:val="fr-FR"/>
        </w:rPr>
        <w:t xml:space="preserve">Packaging </w:t>
      </w:r>
      <w:proofErr w:type="spellStart"/>
      <w:r w:rsidRPr="00E94BC6">
        <w:rPr>
          <w:lang w:val="fr-FR"/>
        </w:rPr>
        <w:t>Manufacturers</w:t>
      </w:r>
      <w:proofErr w:type="spellEnd"/>
      <w:r w:rsidRPr="00E94BC6">
        <w:rPr>
          <w:lang w:val="fr-FR"/>
        </w:rPr>
        <w:t xml:space="preserve"> (ICPP) et de l</w:t>
      </w:r>
      <w:r>
        <w:rPr>
          <w:lang w:val="fr-FR"/>
        </w:rPr>
        <w:t>’</w:t>
      </w:r>
      <w:r w:rsidRPr="00E94BC6">
        <w:rPr>
          <w:lang w:val="fr-FR"/>
        </w:rPr>
        <w:t xml:space="preserve">International </w:t>
      </w:r>
      <w:r>
        <w:rPr>
          <w:lang w:val="fr-FR"/>
        </w:rPr>
        <w:br/>
      </w:r>
      <w:proofErr w:type="spellStart"/>
      <w:r w:rsidRPr="00E94BC6">
        <w:rPr>
          <w:lang w:val="fr-FR"/>
        </w:rPr>
        <w:t>Confederation</w:t>
      </w:r>
      <w:proofErr w:type="spellEnd"/>
      <w:r w:rsidRPr="00E94BC6">
        <w:rPr>
          <w:lang w:val="fr-FR"/>
        </w:rPr>
        <w:t xml:space="preserve"> of </w:t>
      </w:r>
      <w:proofErr w:type="spellStart"/>
      <w:r w:rsidRPr="00E94BC6">
        <w:rPr>
          <w:lang w:val="fr-FR"/>
        </w:rPr>
        <w:t>Intermediate</w:t>
      </w:r>
      <w:proofErr w:type="spellEnd"/>
      <w:r w:rsidRPr="00E94BC6">
        <w:rPr>
          <w:lang w:val="fr-FR"/>
        </w:rPr>
        <w:t xml:space="preserve"> Bulk Container </w:t>
      </w:r>
      <w:r>
        <w:rPr>
          <w:lang w:val="fr-FR"/>
        </w:rPr>
        <w:br/>
      </w:r>
      <w:r w:rsidRPr="00E94BC6">
        <w:rPr>
          <w:lang w:val="fr-FR"/>
        </w:rPr>
        <w:t>Associations (ICIBCA)</w:t>
      </w:r>
      <w:r w:rsidRPr="00F5195C">
        <w:rPr>
          <w:rStyle w:val="FootnoteReference"/>
          <w:b w:val="0"/>
          <w:bCs/>
          <w:sz w:val="20"/>
          <w:vertAlign w:val="baseline"/>
        </w:rPr>
        <w:footnoteReference w:customMarkFollows="1" w:id="2"/>
        <w:t>*</w:t>
      </w:r>
    </w:p>
    <w:p w14:paraId="651E0813" w14:textId="77777777" w:rsidR="00F5195C" w:rsidRPr="001C1DC7" w:rsidRDefault="00F5195C" w:rsidP="00F5195C">
      <w:pPr>
        <w:pStyle w:val="HChG"/>
      </w:pPr>
      <w:r w:rsidRPr="001C1DC7">
        <w:rPr>
          <w:lang w:val="fr-FR"/>
        </w:rPr>
        <w:tab/>
      </w:r>
      <w:r w:rsidRPr="001C1DC7">
        <w:rPr>
          <w:lang w:val="fr-FR"/>
        </w:rPr>
        <w:tab/>
      </w:r>
      <w:r w:rsidRPr="001C1DC7">
        <w:rPr>
          <w:lang w:val="fr-FR"/>
        </w:rPr>
        <w:tab/>
      </w:r>
      <w:r w:rsidRPr="00F5195C">
        <w:t>Introduction</w:t>
      </w:r>
    </w:p>
    <w:p w14:paraId="4C28B4E4" w14:textId="77777777" w:rsidR="00F5195C" w:rsidRPr="003D5013" w:rsidRDefault="00F5195C" w:rsidP="00F5195C">
      <w:pPr>
        <w:pStyle w:val="SingleTxtG"/>
      </w:pPr>
      <w:r w:rsidRPr="003D5013">
        <w:rPr>
          <w:lang w:val="fr-FR"/>
        </w:rPr>
        <w:t>1.</w:t>
      </w:r>
      <w:r w:rsidRPr="003D5013">
        <w:rPr>
          <w:lang w:val="fr-FR"/>
        </w:rPr>
        <w:tab/>
      </w:r>
      <w:r>
        <w:rPr>
          <w:lang w:val="fr-FR"/>
        </w:rPr>
        <w:t>A</w:t>
      </w:r>
      <w:r w:rsidRPr="003D5013">
        <w:rPr>
          <w:lang w:val="fr-FR"/>
        </w:rPr>
        <w:t xml:space="preserve">fin de </w:t>
      </w:r>
      <w:r>
        <w:rPr>
          <w:lang w:val="fr-FR"/>
        </w:rPr>
        <w:t>contribuer à la réalisation des</w:t>
      </w:r>
      <w:r w:rsidRPr="003D5013">
        <w:rPr>
          <w:lang w:val="fr-FR"/>
        </w:rPr>
        <w:t xml:space="preserve"> objectifs des Nations Unies en matière de développement durable</w:t>
      </w:r>
      <w:r>
        <w:rPr>
          <w:lang w:val="fr-FR"/>
        </w:rPr>
        <w:t>, l</w:t>
      </w:r>
      <w:r w:rsidRPr="003D5013">
        <w:rPr>
          <w:lang w:val="fr-FR"/>
        </w:rPr>
        <w:t>es organisations susmentionnées proposent des modifications au Règlement type tout en maintenant le niveau de sécurité prévu pour le transport des marchandises dangereuses.</w:t>
      </w:r>
    </w:p>
    <w:p w14:paraId="50B06F8F" w14:textId="1A5D3ECD" w:rsidR="00F5195C" w:rsidRPr="003D5013" w:rsidRDefault="00F5195C" w:rsidP="00A75320">
      <w:pPr>
        <w:pStyle w:val="SingleTxtG"/>
      </w:pPr>
      <w:r w:rsidRPr="003D5013">
        <w:rPr>
          <w:lang w:val="fr-FR"/>
        </w:rPr>
        <w:t>2.</w:t>
      </w:r>
      <w:r w:rsidRPr="003D5013">
        <w:rPr>
          <w:lang w:val="fr-FR"/>
        </w:rPr>
        <w:tab/>
        <w:t>La définition actuelle de « matière plastique recyclée », figurant dans le Règlement type depuis plus de vingt ans, constitue une bonne base pour le recyclage des emballages plastiques pour marchandises dangereuses</w:t>
      </w:r>
      <w:r w:rsidRPr="00215EF2">
        <w:rPr>
          <w:lang w:val="fr-FR"/>
        </w:rPr>
        <w:t xml:space="preserve"> </w:t>
      </w:r>
      <w:r w:rsidRPr="003D5013">
        <w:rPr>
          <w:lang w:val="fr-FR"/>
        </w:rPr>
        <w:t>usagés. L</w:t>
      </w:r>
      <w:r>
        <w:rPr>
          <w:lang w:val="fr-FR"/>
        </w:rPr>
        <w:t>’</w:t>
      </w:r>
      <w:r w:rsidRPr="003D5013">
        <w:rPr>
          <w:lang w:val="fr-FR"/>
        </w:rPr>
        <w:t>objectif de</w:t>
      </w:r>
      <w:r>
        <w:rPr>
          <w:lang w:val="fr-FR"/>
        </w:rPr>
        <w:t xml:space="preserve"> la présente </w:t>
      </w:r>
      <w:r w:rsidRPr="003D5013">
        <w:rPr>
          <w:lang w:val="fr-FR"/>
        </w:rPr>
        <w:t>proposition est d</w:t>
      </w:r>
      <w:r>
        <w:rPr>
          <w:lang w:val="fr-FR"/>
        </w:rPr>
        <w:t>’</w:t>
      </w:r>
      <w:r w:rsidRPr="003D5013">
        <w:rPr>
          <w:lang w:val="fr-FR"/>
        </w:rPr>
        <w:t>introduire</w:t>
      </w:r>
      <w:r>
        <w:rPr>
          <w:lang w:val="fr-FR"/>
        </w:rPr>
        <w:t xml:space="preserve"> : </w:t>
      </w:r>
      <w:r w:rsidRPr="003D5013">
        <w:rPr>
          <w:lang w:val="fr-FR"/>
        </w:rPr>
        <w:t>i) une légère rationalisation des prescriptions existantes sur la base de la vaste expérience acquise</w:t>
      </w:r>
      <w:r>
        <w:rPr>
          <w:lang w:val="fr-FR"/>
        </w:rPr>
        <w:t> ;</w:t>
      </w:r>
      <w:r w:rsidRPr="003D5013">
        <w:rPr>
          <w:lang w:val="fr-FR"/>
        </w:rPr>
        <w:t xml:space="preserve"> et ii) la possibilité d</w:t>
      </w:r>
      <w:r>
        <w:rPr>
          <w:lang w:val="fr-FR"/>
        </w:rPr>
        <w:t>’</w:t>
      </w:r>
      <w:r w:rsidRPr="003D5013">
        <w:rPr>
          <w:lang w:val="fr-FR"/>
        </w:rPr>
        <w:t>utiliser des matières plastiques recyclées provenant d</w:t>
      </w:r>
      <w:r>
        <w:rPr>
          <w:lang w:val="fr-FR"/>
        </w:rPr>
        <w:t>’</w:t>
      </w:r>
      <w:r w:rsidRPr="003D5013">
        <w:rPr>
          <w:lang w:val="fr-FR"/>
        </w:rPr>
        <w:t>autres sources</w:t>
      </w:r>
      <w:r>
        <w:rPr>
          <w:lang w:val="fr-FR"/>
        </w:rPr>
        <w:t>,</w:t>
      </w:r>
      <w:r w:rsidRPr="003D5013">
        <w:rPr>
          <w:lang w:val="fr-FR"/>
        </w:rPr>
        <w:t xml:space="preserve"> dans des conditions contrôlées qui garantissent l</w:t>
      </w:r>
      <w:r>
        <w:rPr>
          <w:lang w:val="fr-FR"/>
        </w:rPr>
        <w:t>’</w:t>
      </w:r>
      <w:r w:rsidRPr="003D5013">
        <w:rPr>
          <w:lang w:val="fr-FR"/>
        </w:rPr>
        <w:t>intégrité de l</w:t>
      </w:r>
      <w:r>
        <w:rPr>
          <w:lang w:val="fr-FR"/>
        </w:rPr>
        <w:t>’</w:t>
      </w:r>
      <w:r w:rsidRPr="003D5013">
        <w:rPr>
          <w:lang w:val="fr-FR"/>
        </w:rPr>
        <w:t>emballage plastique des marchandises dangereuses. L</w:t>
      </w:r>
      <w:r>
        <w:rPr>
          <w:lang w:val="fr-FR"/>
        </w:rPr>
        <w:t>’</w:t>
      </w:r>
      <w:r w:rsidRPr="003D5013">
        <w:rPr>
          <w:lang w:val="fr-FR"/>
        </w:rPr>
        <w:t xml:space="preserve">approche adoptée consiste à introduire une définition en deux parties </w:t>
      </w:r>
      <w:r w:rsidR="00082D63">
        <w:rPr>
          <w:lang w:val="fr-FR"/>
        </w:rPr>
        <w:t>−</w:t>
      </w:r>
      <w:r w:rsidRPr="003D5013">
        <w:rPr>
          <w:lang w:val="fr-FR"/>
        </w:rPr>
        <w:t xml:space="preserve"> une partie pour le recyclage autorisé par le Règlement type actuel</w:t>
      </w:r>
      <w:r>
        <w:rPr>
          <w:lang w:val="fr-FR"/>
        </w:rPr>
        <w:t>,</w:t>
      </w:r>
      <w:r w:rsidRPr="003D5013">
        <w:rPr>
          <w:lang w:val="fr-FR"/>
        </w:rPr>
        <w:t xml:space="preserve"> et une </w:t>
      </w:r>
      <w:r>
        <w:rPr>
          <w:lang w:val="fr-FR"/>
        </w:rPr>
        <w:t xml:space="preserve">autre </w:t>
      </w:r>
      <w:r w:rsidRPr="003D5013">
        <w:rPr>
          <w:lang w:val="fr-FR"/>
        </w:rPr>
        <w:t>partie pour prévoir un éventail plus large de sources de plastique recyclé. Cette approche est adoptée pour éviter toute incertitude concernant les pratiques de recyclage existantes dans les conditions de la définition actuelle (figurant dans le Règlement type) du recyclage, en particulier pendant cette période critique où de nouvelles prescriptions peuvent être élaborées</w:t>
      </w:r>
      <w:r>
        <w:rPr>
          <w:lang w:val="fr-FR"/>
        </w:rPr>
        <w:t>, à savoir</w:t>
      </w:r>
      <w:r w:rsidRPr="003D5013">
        <w:rPr>
          <w:lang w:val="fr-FR"/>
        </w:rPr>
        <w:t xml:space="preserve"> au cours du prochain exercice biennal.</w:t>
      </w:r>
    </w:p>
    <w:p w14:paraId="1BB4ADE6" w14:textId="23CC415F" w:rsidR="00F5195C" w:rsidRPr="00F5195C" w:rsidRDefault="00F5195C" w:rsidP="00082D63">
      <w:pPr>
        <w:pStyle w:val="SingleTxtG"/>
      </w:pPr>
      <w:r w:rsidRPr="003D5013">
        <w:rPr>
          <w:lang w:val="fr-FR"/>
        </w:rPr>
        <w:lastRenderedPageBreak/>
        <w:t>3.</w:t>
      </w:r>
      <w:r w:rsidRPr="003D5013">
        <w:rPr>
          <w:lang w:val="fr-FR"/>
        </w:rPr>
        <w:tab/>
        <w:t>Nos deux organisations se sont efforcées de recueillir les observations de certains membres du Sous-Comité avant de soumettre</w:t>
      </w:r>
      <w:r>
        <w:rPr>
          <w:lang w:val="fr-FR"/>
        </w:rPr>
        <w:t xml:space="preserve"> la </w:t>
      </w:r>
      <w:r w:rsidRPr="003D5013">
        <w:rPr>
          <w:lang w:val="fr-FR"/>
        </w:rPr>
        <w:t xml:space="preserve">proposition </w:t>
      </w:r>
      <w:r>
        <w:rPr>
          <w:lang w:val="fr-FR"/>
        </w:rPr>
        <w:t>ci-après. N</w:t>
      </w:r>
      <w:r w:rsidRPr="003D5013">
        <w:rPr>
          <w:lang w:val="fr-FR"/>
        </w:rPr>
        <w:t xml:space="preserve">ous apprécions grandement les observations </w:t>
      </w:r>
      <w:r>
        <w:rPr>
          <w:lang w:val="fr-FR"/>
        </w:rPr>
        <w:t xml:space="preserve">qui nous ont été </w:t>
      </w:r>
      <w:r w:rsidRPr="003D5013">
        <w:rPr>
          <w:lang w:val="fr-FR"/>
        </w:rPr>
        <w:t xml:space="preserve">communiquées. Avant la </w:t>
      </w:r>
      <w:r>
        <w:rPr>
          <w:lang w:val="fr-FR"/>
        </w:rPr>
        <w:t xml:space="preserve">tenue de la </w:t>
      </w:r>
      <w:r w:rsidRPr="003D5013">
        <w:rPr>
          <w:lang w:val="fr-FR"/>
        </w:rPr>
        <w:t>soixante et unième session, nous souhaiterions recevoir d</w:t>
      </w:r>
      <w:r>
        <w:rPr>
          <w:lang w:val="fr-FR"/>
        </w:rPr>
        <w:t>’</w:t>
      </w:r>
      <w:r w:rsidRPr="003D5013">
        <w:rPr>
          <w:lang w:val="fr-FR"/>
        </w:rPr>
        <w:t>autres observations afin de faciliter la discussion et,</w:t>
      </w:r>
      <w:r>
        <w:rPr>
          <w:lang w:val="fr-FR"/>
        </w:rPr>
        <w:t xml:space="preserve"> éventuellement</w:t>
      </w:r>
      <w:r w:rsidRPr="003D5013">
        <w:rPr>
          <w:lang w:val="fr-FR"/>
        </w:rPr>
        <w:t>, de soumettre un document informel de suivi.</w:t>
      </w:r>
    </w:p>
    <w:p w14:paraId="7D800813" w14:textId="77777777" w:rsidR="00F5195C" w:rsidRPr="00F5195C" w:rsidRDefault="00F5195C" w:rsidP="00F5195C">
      <w:pPr>
        <w:pStyle w:val="HChG"/>
      </w:pPr>
      <w:r w:rsidRPr="005162D0">
        <w:rPr>
          <w:lang w:val="fr-FR"/>
        </w:rPr>
        <w:tab/>
      </w:r>
      <w:r w:rsidRPr="005162D0">
        <w:rPr>
          <w:lang w:val="fr-FR"/>
        </w:rPr>
        <w:tab/>
        <w:t>Examen de la question</w:t>
      </w:r>
    </w:p>
    <w:p w14:paraId="33C2B198" w14:textId="6708413A" w:rsidR="00F5195C" w:rsidRPr="003D5013" w:rsidRDefault="00F5195C" w:rsidP="00F5195C">
      <w:pPr>
        <w:pStyle w:val="H23G"/>
      </w:pPr>
      <w:r>
        <w:rPr>
          <w:lang w:val="fr-FR"/>
        </w:rPr>
        <w:tab/>
      </w:r>
      <w:r>
        <w:rPr>
          <w:lang w:val="fr-FR"/>
        </w:rPr>
        <w:tab/>
      </w:r>
      <w:r w:rsidRPr="003D5013">
        <w:rPr>
          <w:lang w:val="fr-FR"/>
        </w:rPr>
        <w:t>Modifications concernant la définition actuelle des matières plastiques recyclées figurant au 1.2.1</w:t>
      </w:r>
    </w:p>
    <w:p w14:paraId="4F23F540" w14:textId="2CF57832" w:rsidR="00F5195C" w:rsidRPr="003D5013" w:rsidRDefault="00F5195C" w:rsidP="00F5195C">
      <w:pPr>
        <w:pStyle w:val="SingleTxtG"/>
        <w:rPr>
          <w:u w:val="single"/>
        </w:rPr>
      </w:pPr>
      <w:r w:rsidRPr="005162D0">
        <w:rPr>
          <w:lang w:val="fr-FR"/>
        </w:rPr>
        <w:t>4</w:t>
      </w:r>
      <w:r w:rsidRPr="003D5013">
        <w:rPr>
          <w:lang w:val="fr-FR"/>
        </w:rPr>
        <w:t>.</w:t>
      </w:r>
      <w:r w:rsidRPr="003D5013">
        <w:rPr>
          <w:lang w:val="fr-FR"/>
        </w:rPr>
        <w:tab/>
      </w:r>
      <w:r w:rsidRPr="003D5013">
        <w:rPr>
          <w:u w:val="single"/>
          <w:lang w:val="fr-FR"/>
        </w:rPr>
        <w:t>Définition de « lot ».</w:t>
      </w:r>
      <w:r>
        <w:rPr>
          <w:lang w:val="fr-FR"/>
        </w:rPr>
        <w:t xml:space="preserve"> </w:t>
      </w:r>
      <w:r w:rsidRPr="003D5013">
        <w:rPr>
          <w:lang w:val="fr-FR"/>
        </w:rPr>
        <w:t>Le mot « lot » tel qu</w:t>
      </w:r>
      <w:r>
        <w:rPr>
          <w:lang w:val="fr-FR"/>
        </w:rPr>
        <w:t>’</w:t>
      </w:r>
      <w:r w:rsidRPr="003D5013">
        <w:rPr>
          <w:lang w:val="fr-FR"/>
        </w:rPr>
        <w:t xml:space="preserve">il est utilisé dans la définition </w:t>
      </w:r>
      <w:r>
        <w:rPr>
          <w:lang w:val="fr-FR"/>
        </w:rPr>
        <w:t xml:space="preserve">de « matières plastiques recyclées » </w:t>
      </w:r>
      <w:r w:rsidRPr="003D5013">
        <w:rPr>
          <w:lang w:val="fr-FR"/>
        </w:rPr>
        <w:t>n</w:t>
      </w:r>
      <w:r>
        <w:rPr>
          <w:lang w:val="fr-FR"/>
        </w:rPr>
        <w:t>’</w:t>
      </w:r>
      <w:r w:rsidRPr="003D5013">
        <w:rPr>
          <w:lang w:val="fr-FR"/>
        </w:rPr>
        <w:t>est pas défini et il a pris différentes significations. Il semble que la façon</w:t>
      </w:r>
      <w:r>
        <w:rPr>
          <w:lang w:val="fr-FR"/>
        </w:rPr>
        <w:t xml:space="preserve"> de définir ce terme </w:t>
      </w:r>
      <w:r w:rsidRPr="003D5013">
        <w:rPr>
          <w:lang w:val="fr-FR"/>
        </w:rPr>
        <w:t>ait un impact sur la viabilité économique du recyclage</w:t>
      </w:r>
      <w:r>
        <w:rPr>
          <w:lang w:val="fr-FR"/>
        </w:rPr>
        <w:t xml:space="preserve">, </w:t>
      </w:r>
      <w:r w:rsidRPr="003D5013">
        <w:rPr>
          <w:lang w:val="fr-FR"/>
        </w:rPr>
        <w:t>principalement</w:t>
      </w:r>
      <w:r>
        <w:rPr>
          <w:lang w:val="fr-FR"/>
        </w:rPr>
        <w:t xml:space="preserve"> en fonction de</w:t>
      </w:r>
      <w:r w:rsidRPr="003D5013">
        <w:rPr>
          <w:lang w:val="fr-FR"/>
        </w:rPr>
        <w:t xml:space="preserve"> l</w:t>
      </w:r>
      <w:r>
        <w:rPr>
          <w:lang w:val="fr-FR"/>
        </w:rPr>
        <w:t>’</w:t>
      </w:r>
      <w:r w:rsidRPr="003D5013">
        <w:rPr>
          <w:lang w:val="fr-FR"/>
        </w:rPr>
        <w:t>augmentation du coût des essais (c</w:t>
      </w:r>
      <w:r>
        <w:rPr>
          <w:lang w:val="fr-FR"/>
        </w:rPr>
        <w:t>’</w:t>
      </w:r>
      <w:r w:rsidRPr="003D5013">
        <w:rPr>
          <w:lang w:val="fr-FR"/>
        </w:rPr>
        <w:t>est-à-dire</w:t>
      </w:r>
      <w:r>
        <w:rPr>
          <w:lang w:val="fr-FR"/>
        </w:rPr>
        <w:t xml:space="preserve"> qu’une</w:t>
      </w:r>
      <w:r w:rsidRPr="003D5013">
        <w:rPr>
          <w:lang w:val="fr-FR"/>
        </w:rPr>
        <w:t xml:space="preserve"> taille de lot plus petite augmente la fréquence des essais). Dans la </w:t>
      </w:r>
      <w:r>
        <w:rPr>
          <w:lang w:val="fr-FR"/>
        </w:rPr>
        <w:t xml:space="preserve">présente </w:t>
      </w:r>
      <w:r w:rsidRPr="003D5013">
        <w:rPr>
          <w:lang w:val="fr-FR"/>
        </w:rPr>
        <w:t>proposition</w:t>
      </w:r>
      <w:r>
        <w:rPr>
          <w:lang w:val="fr-FR"/>
        </w:rPr>
        <w:t>,</w:t>
      </w:r>
      <w:r w:rsidRPr="003D5013">
        <w:rPr>
          <w:lang w:val="fr-FR"/>
        </w:rPr>
        <w:t xml:space="preserve"> et comme</w:t>
      </w:r>
      <w:r>
        <w:rPr>
          <w:lang w:val="fr-FR"/>
        </w:rPr>
        <w:t xml:space="preserve"> cela a été le cas </w:t>
      </w:r>
      <w:r w:rsidRPr="003D5013">
        <w:rPr>
          <w:lang w:val="fr-FR"/>
        </w:rPr>
        <w:t>lors de la soixantième session, le sens du mot « lot » est clarifié pour signifier qu</w:t>
      </w:r>
      <w:r>
        <w:rPr>
          <w:lang w:val="fr-FR"/>
        </w:rPr>
        <w:t>’</w:t>
      </w:r>
      <w:r w:rsidRPr="003D5013">
        <w:rPr>
          <w:lang w:val="fr-FR"/>
        </w:rPr>
        <w:t>il se</w:t>
      </w:r>
      <w:r>
        <w:rPr>
          <w:lang w:val="fr-FR"/>
        </w:rPr>
        <w:t xml:space="preserve"> rapporte </w:t>
      </w:r>
      <w:r w:rsidRPr="003D5013">
        <w:rPr>
          <w:lang w:val="fr-FR"/>
        </w:rPr>
        <w:t>à un volume de résine ayant une « composition homogène ».</w:t>
      </w:r>
    </w:p>
    <w:p w14:paraId="31847AB5" w14:textId="03A9357D" w:rsidR="00F5195C" w:rsidRPr="003D5013" w:rsidRDefault="00F5195C" w:rsidP="00F5195C">
      <w:pPr>
        <w:pStyle w:val="SingleTxtG"/>
      </w:pPr>
      <w:r w:rsidRPr="005162D0">
        <w:rPr>
          <w:lang w:val="fr-FR"/>
        </w:rPr>
        <w:t>5</w:t>
      </w:r>
      <w:r w:rsidRPr="003D5013">
        <w:rPr>
          <w:lang w:val="fr-FR"/>
        </w:rPr>
        <w:t>.</w:t>
      </w:r>
      <w:r w:rsidRPr="003D5013">
        <w:rPr>
          <w:lang w:val="fr-FR"/>
        </w:rPr>
        <w:tab/>
      </w:r>
      <w:r w:rsidRPr="003D5013">
        <w:rPr>
          <w:rFonts w:asciiTheme="majorBidi" w:hAnsiTheme="majorBidi" w:cstheme="majorBidi"/>
          <w:color w:val="333333"/>
          <w:u w:val="single"/>
          <w:shd w:val="clear" w:color="auto" w:fill="FFFFFF"/>
        </w:rPr>
        <w:t>É</w:t>
      </w:r>
      <w:r w:rsidRPr="003D5013">
        <w:rPr>
          <w:rFonts w:asciiTheme="majorBidi" w:hAnsiTheme="majorBidi" w:cstheme="majorBidi"/>
          <w:u w:val="single"/>
          <w:lang w:val="fr-FR"/>
        </w:rPr>
        <w:t>preuve</w:t>
      </w:r>
      <w:r w:rsidRPr="003D5013">
        <w:rPr>
          <w:u w:val="single"/>
          <w:lang w:val="fr-FR"/>
        </w:rPr>
        <w:t xml:space="preserve"> de résistance.</w:t>
      </w:r>
      <w:r>
        <w:rPr>
          <w:lang w:val="fr-FR"/>
        </w:rPr>
        <w:t xml:space="preserve"> </w:t>
      </w:r>
      <w:r w:rsidRPr="003D5013">
        <w:rPr>
          <w:lang w:val="fr-FR"/>
        </w:rPr>
        <w:t>Sur la base de la vaste expérience acquise depuis plus de vingt</w:t>
      </w:r>
      <w:r w:rsidR="00A75320">
        <w:rPr>
          <w:lang w:val="fr-FR"/>
        </w:rPr>
        <w:t> </w:t>
      </w:r>
      <w:r w:rsidRPr="003D5013">
        <w:rPr>
          <w:lang w:val="fr-FR"/>
        </w:rPr>
        <w:t>ans dans le cadre de la définition actuelle</w:t>
      </w:r>
      <w:r>
        <w:rPr>
          <w:lang w:val="fr-FR"/>
        </w:rPr>
        <w:t>,</w:t>
      </w:r>
      <w:r w:rsidRPr="003D5013">
        <w:rPr>
          <w:lang w:val="fr-FR"/>
        </w:rPr>
        <w:t xml:space="preserve"> et de la fiabilité avérée des emballages produits, il est proposé d</w:t>
      </w:r>
      <w:r>
        <w:rPr>
          <w:lang w:val="fr-FR"/>
        </w:rPr>
        <w:t>’</w:t>
      </w:r>
      <w:r w:rsidRPr="003D5013">
        <w:rPr>
          <w:lang w:val="fr-FR"/>
        </w:rPr>
        <w:t>exiger une épreuve de résistance conforme à celle</w:t>
      </w:r>
      <w:r>
        <w:rPr>
          <w:lang w:val="fr-FR"/>
        </w:rPr>
        <w:t xml:space="preserve"> prévue pour </w:t>
      </w:r>
      <w:r w:rsidRPr="003D5013">
        <w:rPr>
          <w:lang w:val="fr-FR"/>
        </w:rPr>
        <w:t>la résine non utilisée (vierge).</w:t>
      </w:r>
    </w:p>
    <w:p w14:paraId="42643F28" w14:textId="77D51E87" w:rsidR="00F5195C" w:rsidRPr="003D5013" w:rsidRDefault="00F5195C" w:rsidP="00A75320">
      <w:pPr>
        <w:pStyle w:val="SingleTxtG"/>
      </w:pPr>
      <w:r w:rsidRPr="003D5013">
        <w:rPr>
          <w:lang w:val="fr-FR"/>
        </w:rPr>
        <w:t>6.</w:t>
      </w:r>
      <w:r w:rsidRPr="003D5013">
        <w:rPr>
          <w:lang w:val="fr-FR"/>
        </w:rPr>
        <w:tab/>
      </w:r>
      <w:r w:rsidRPr="003D5013">
        <w:rPr>
          <w:u w:val="single"/>
          <w:lang w:val="fr-FR"/>
        </w:rPr>
        <w:t>Nota faisant référence à la norme ISO 16103</w:t>
      </w:r>
      <w:r w:rsidRPr="003D5013">
        <w:rPr>
          <w:lang w:val="fr-FR"/>
        </w:rPr>
        <w:t>.</w:t>
      </w:r>
      <w:r>
        <w:rPr>
          <w:lang w:val="fr-FR"/>
        </w:rPr>
        <w:t xml:space="preserve"> La </w:t>
      </w:r>
      <w:r w:rsidRPr="003D5013">
        <w:rPr>
          <w:lang w:val="fr-FR"/>
        </w:rPr>
        <w:t>modification proposée</w:t>
      </w:r>
      <w:r>
        <w:rPr>
          <w:lang w:val="fr-FR"/>
        </w:rPr>
        <w:t xml:space="preserve"> pour le </w:t>
      </w:r>
      <w:r w:rsidRPr="003D5013">
        <w:rPr>
          <w:lang w:val="fr-FR"/>
        </w:rPr>
        <w:t>nota actuel consiste à préciser que la norme ISO « peut être suivie » et n</w:t>
      </w:r>
      <w:r>
        <w:rPr>
          <w:lang w:val="fr-FR"/>
        </w:rPr>
        <w:t>’</w:t>
      </w:r>
      <w:r w:rsidRPr="003D5013">
        <w:rPr>
          <w:lang w:val="fr-FR"/>
        </w:rPr>
        <w:t xml:space="preserve">est </w:t>
      </w:r>
      <w:r>
        <w:rPr>
          <w:lang w:val="fr-FR"/>
        </w:rPr>
        <w:t xml:space="preserve">donc </w:t>
      </w:r>
      <w:r w:rsidRPr="003D5013">
        <w:rPr>
          <w:lang w:val="fr-FR"/>
        </w:rPr>
        <w:t>pas obligatoire. Ce libellé est cohérent avec les notas faisant référence à la norme ISO 16106 aux points 6.1.1.4, 6.3.2.2, 6.5.4.1 et 6.6.1.2. La formulation est également plus appropriée dans la mesure où la norme ISO 16103 ne traite pas spécifiquement du recyclage comme</w:t>
      </w:r>
      <w:r>
        <w:rPr>
          <w:lang w:val="fr-FR"/>
        </w:rPr>
        <w:t xml:space="preserve"> il est décrit au </w:t>
      </w:r>
      <w:r w:rsidRPr="003D5013">
        <w:rPr>
          <w:lang w:val="fr-FR"/>
        </w:rPr>
        <w:t>point 2 de la définition révisée ci-dessous</w:t>
      </w:r>
      <w:r w:rsidR="00A75320">
        <w:rPr>
          <w:lang w:val="fr-FR"/>
        </w:rPr>
        <w:t xml:space="preserve"> </w:t>
      </w:r>
      <w:r w:rsidRPr="003D5013">
        <w:rPr>
          <w:lang w:val="fr-FR"/>
        </w:rPr>
        <w:t>; elle</w:t>
      </w:r>
      <w:r>
        <w:rPr>
          <w:lang w:val="fr-FR"/>
        </w:rPr>
        <w:t xml:space="preserve"> peut néanmoins</w:t>
      </w:r>
      <w:r w:rsidRPr="003D5013">
        <w:rPr>
          <w:lang w:val="fr-FR"/>
        </w:rPr>
        <w:t xml:space="preserve"> donner des indications.</w:t>
      </w:r>
    </w:p>
    <w:p w14:paraId="1AD7AD5C" w14:textId="37F857DE" w:rsidR="00F5195C" w:rsidRPr="003D5013" w:rsidRDefault="00F5195C" w:rsidP="00F5195C">
      <w:pPr>
        <w:pStyle w:val="H23G"/>
      </w:pPr>
      <w:r>
        <w:rPr>
          <w:lang w:val="fr-FR"/>
        </w:rPr>
        <w:tab/>
      </w:r>
      <w:r>
        <w:rPr>
          <w:lang w:val="fr-FR"/>
        </w:rPr>
        <w:tab/>
      </w:r>
      <w:r w:rsidRPr="003D5013">
        <w:rPr>
          <w:lang w:val="fr-FR"/>
        </w:rPr>
        <w:t>Disposition relative aux résines d</w:t>
      </w:r>
      <w:r>
        <w:rPr>
          <w:lang w:val="fr-FR"/>
        </w:rPr>
        <w:t>’</w:t>
      </w:r>
      <w:r w:rsidRPr="003D5013">
        <w:rPr>
          <w:lang w:val="fr-FR"/>
        </w:rPr>
        <w:t>autres provenances</w:t>
      </w:r>
    </w:p>
    <w:p w14:paraId="5F22755E" w14:textId="1F8A7B7A" w:rsidR="00F5195C" w:rsidRPr="003D5013" w:rsidRDefault="00F5195C" w:rsidP="00A75320">
      <w:pPr>
        <w:pStyle w:val="SingleTxtG"/>
      </w:pPr>
      <w:r w:rsidRPr="003D5013">
        <w:rPr>
          <w:lang w:val="fr-FR"/>
        </w:rPr>
        <w:t>7.</w:t>
      </w:r>
      <w:r w:rsidRPr="003D5013">
        <w:rPr>
          <w:lang w:val="fr-FR"/>
        </w:rPr>
        <w:tab/>
      </w:r>
      <w:r w:rsidRPr="003D5013">
        <w:rPr>
          <w:u w:val="single"/>
          <w:lang w:val="fr-FR"/>
        </w:rPr>
        <w:t xml:space="preserve">Nouvelle section de la définition des </w:t>
      </w:r>
      <w:r>
        <w:rPr>
          <w:u w:val="single"/>
          <w:lang w:val="fr-FR"/>
        </w:rPr>
        <w:t xml:space="preserve">matières </w:t>
      </w:r>
      <w:r w:rsidRPr="003D5013">
        <w:rPr>
          <w:u w:val="single"/>
          <w:lang w:val="fr-FR"/>
        </w:rPr>
        <w:t>plastiques recyclé</w:t>
      </w:r>
      <w:r>
        <w:rPr>
          <w:u w:val="single"/>
          <w:lang w:val="fr-FR"/>
        </w:rPr>
        <w:t>e</w:t>
      </w:r>
      <w:r w:rsidRPr="003D5013">
        <w:rPr>
          <w:u w:val="single"/>
          <w:lang w:val="fr-FR"/>
        </w:rPr>
        <w:t>s.</w:t>
      </w:r>
      <w:r>
        <w:rPr>
          <w:lang w:val="fr-FR"/>
        </w:rPr>
        <w:t xml:space="preserve"> </w:t>
      </w:r>
      <w:r w:rsidRPr="003D5013">
        <w:rPr>
          <w:lang w:val="fr-FR"/>
        </w:rPr>
        <w:t>Une nouvelle approche du recyclage des résines consiste à utiliser des résines recyclées provenant d</w:t>
      </w:r>
      <w:r>
        <w:rPr>
          <w:lang w:val="fr-FR"/>
        </w:rPr>
        <w:t>’</w:t>
      </w:r>
      <w:r w:rsidRPr="003D5013">
        <w:rPr>
          <w:lang w:val="fr-FR"/>
        </w:rPr>
        <w:t>autres sources que celles actuellement prévues par la définition 1.2.1. Les dispositions proposées sont similaires aux prescriptions de longue date</w:t>
      </w:r>
      <w:r>
        <w:rPr>
          <w:lang w:val="fr-FR"/>
        </w:rPr>
        <w:t xml:space="preserve"> ; elles </w:t>
      </w:r>
      <w:r w:rsidRPr="003D5013">
        <w:rPr>
          <w:lang w:val="fr-FR"/>
        </w:rPr>
        <w:t xml:space="preserve">varient </w:t>
      </w:r>
      <w:r>
        <w:rPr>
          <w:lang w:val="fr-FR"/>
        </w:rPr>
        <w:t xml:space="preserve">toutefois </w:t>
      </w:r>
      <w:r w:rsidRPr="003D5013">
        <w:rPr>
          <w:lang w:val="fr-FR"/>
        </w:rPr>
        <w:t>quelque peu dans la mesure où il s</w:t>
      </w:r>
      <w:r>
        <w:rPr>
          <w:lang w:val="fr-FR"/>
        </w:rPr>
        <w:t>’</w:t>
      </w:r>
      <w:r w:rsidRPr="003D5013">
        <w:rPr>
          <w:lang w:val="fr-FR"/>
        </w:rPr>
        <w:t>agit d</w:t>
      </w:r>
      <w:r>
        <w:rPr>
          <w:lang w:val="fr-FR"/>
        </w:rPr>
        <w:t>’</w:t>
      </w:r>
      <w:r w:rsidRPr="003D5013">
        <w:rPr>
          <w:lang w:val="fr-FR"/>
        </w:rPr>
        <w:t>une méthode nouvelle et que ces résines peuvent être produites</w:t>
      </w:r>
      <w:r>
        <w:rPr>
          <w:lang w:val="fr-FR"/>
        </w:rPr>
        <w:t xml:space="preserve"> et </w:t>
      </w:r>
      <w:r w:rsidRPr="003D5013">
        <w:rPr>
          <w:lang w:val="fr-FR"/>
        </w:rPr>
        <w:t>fournies différemment.</w:t>
      </w:r>
    </w:p>
    <w:p w14:paraId="47FD73E9" w14:textId="77777777" w:rsidR="00F5195C" w:rsidRPr="005162D0" w:rsidRDefault="00F5195C" w:rsidP="00F5195C">
      <w:pPr>
        <w:pStyle w:val="HChG"/>
      </w:pPr>
      <w:r w:rsidRPr="003D5013">
        <w:rPr>
          <w:sz w:val="20"/>
          <w:lang w:val="fr-FR"/>
        </w:rPr>
        <w:tab/>
      </w:r>
      <w:r w:rsidRPr="003D5013">
        <w:rPr>
          <w:sz w:val="20"/>
          <w:lang w:val="fr-FR"/>
        </w:rPr>
        <w:tab/>
      </w:r>
      <w:r w:rsidRPr="00F5195C">
        <w:t>Proposition</w:t>
      </w:r>
    </w:p>
    <w:p w14:paraId="61548689" w14:textId="04FF777D" w:rsidR="00F5195C" w:rsidRPr="003D5013" w:rsidRDefault="00F5195C" w:rsidP="00A75320">
      <w:pPr>
        <w:pStyle w:val="SingleTxtG"/>
      </w:pPr>
      <w:r w:rsidRPr="003D5013">
        <w:rPr>
          <w:lang w:val="fr-FR"/>
        </w:rPr>
        <w:t>8.</w:t>
      </w:r>
      <w:r w:rsidRPr="003D5013">
        <w:rPr>
          <w:lang w:val="fr-FR"/>
        </w:rPr>
        <w:tab/>
        <w:t>Sur la base de ce qui précède, il est proposé d</w:t>
      </w:r>
      <w:r>
        <w:rPr>
          <w:lang w:val="fr-FR"/>
        </w:rPr>
        <w:t>’</w:t>
      </w:r>
      <w:r w:rsidRPr="003D5013">
        <w:rPr>
          <w:lang w:val="fr-FR"/>
        </w:rPr>
        <w:t xml:space="preserve">apporter les modifications suivantes (les ajouts sont </w:t>
      </w:r>
      <w:r w:rsidRPr="005162D0">
        <w:rPr>
          <w:u w:val="single"/>
          <w:lang w:val="fr-FR"/>
        </w:rPr>
        <w:t>soulignés</w:t>
      </w:r>
      <w:r w:rsidRPr="003D5013">
        <w:rPr>
          <w:lang w:val="fr-FR"/>
        </w:rPr>
        <w:t xml:space="preserve"> </w:t>
      </w:r>
      <w:r>
        <w:rPr>
          <w:lang w:val="fr-FR"/>
        </w:rPr>
        <w:t xml:space="preserve">et </w:t>
      </w:r>
      <w:r w:rsidRPr="003D5013">
        <w:rPr>
          <w:lang w:val="fr-FR"/>
        </w:rPr>
        <w:t xml:space="preserve">les suppressions sont </w:t>
      </w:r>
      <w:r w:rsidRPr="005162D0">
        <w:rPr>
          <w:strike/>
          <w:lang w:val="fr-FR"/>
        </w:rPr>
        <w:t>biffées</w:t>
      </w:r>
      <w:r w:rsidRPr="003D5013">
        <w:rPr>
          <w:lang w:val="fr-FR"/>
        </w:rPr>
        <w:t>) à la définition des matières plastiques recyclées</w:t>
      </w:r>
      <w:r>
        <w:rPr>
          <w:lang w:val="fr-FR"/>
        </w:rPr>
        <w:t xml:space="preserve"> au </w:t>
      </w:r>
      <w:r w:rsidRPr="003D5013">
        <w:rPr>
          <w:lang w:val="fr-FR"/>
        </w:rPr>
        <w:t>1.2.1</w:t>
      </w:r>
      <w:r>
        <w:rPr>
          <w:lang w:val="fr-FR"/>
        </w:rPr>
        <w:t xml:space="preserve"> </w:t>
      </w:r>
      <w:r w:rsidRPr="003D5013">
        <w:rPr>
          <w:lang w:val="fr-FR"/>
        </w:rPr>
        <w:t>:</w:t>
      </w:r>
    </w:p>
    <w:p w14:paraId="02BA2E42" w14:textId="77777777" w:rsidR="00F5195C" w:rsidRPr="003D5013" w:rsidRDefault="00F5195C" w:rsidP="00F5195C">
      <w:pPr>
        <w:pStyle w:val="SingleTxtG"/>
        <w:spacing w:line="276" w:lineRule="auto"/>
        <w:ind w:firstLine="567"/>
      </w:pPr>
      <w:bookmarkStart w:id="0" w:name="_Hlk113011352"/>
      <w:r w:rsidRPr="003D5013">
        <w:rPr>
          <w:lang w:val="fr-FR"/>
        </w:rPr>
        <w:t>« </w:t>
      </w:r>
      <w:r w:rsidRPr="003D5013">
        <w:rPr>
          <w:i/>
          <w:iCs/>
          <w:lang w:val="fr-FR"/>
        </w:rPr>
        <w:t>Matières plastiques recyclées,</w:t>
      </w:r>
    </w:p>
    <w:p w14:paraId="3B8D5073" w14:textId="57979CFF" w:rsidR="00F5195C" w:rsidRPr="003D5013" w:rsidRDefault="00F5195C" w:rsidP="00A75320">
      <w:pPr>
        <w:pStyle w:val="SingleTxtG"/>
        <w:ind w:left="1701"/>
        <w:rPr>
          <w:u w:val="single"/>
        </w:rPr>
      </w:pPr>
      <w:r w:rsidRPr="003D5013">
        <w:rPr>
          <w:u w:val="single"/>
          <w:lang w:val="fr-FR"/>
        </w:rPr>
        <w:t>a)</w:t>
      </w:r>
      <w:r w:rsidRPr="003D5013">
        <w:rPr>
          <w:lang w:val="fr-FR"/>
        </w:rPr>
        <w:tab/>
        <w:t>Des matières récupérées à partir d</w:t>
      </w:r>
      <w:r>
        <w:rPr>
          <w:lang w:val="fr-FR"/>
        </w:rPr>
        <w:t>’</w:t>
      </w:r>
      <w:r w:rsidRPr="003D5013">
        <w:rPr>
          <w:lang w:val="fr-FR"/>
        </w:rPr>
        <w:t>emballages industriels usagés qui ont été nettoyés et préparés pour être transformés en emballages neufs. Les propriétés spécifiques du matériau recyclé utilisé pour fabriquer des emballages neufs doivent être garanties et attestées régulièrement dans le cadre d</w:t>
      </w:r>
      <w:r>
        <w:rPr>
          <w:lang w:val="fr-FR"/>
        </w:rPr>
        <w:t>’</w:t>
      </w:r>
      <w:r w:rsidRPr="003D5013">
        <w:rPr>
          <w:lang w:val="fr-FR"/>
        </w:rPr>
        <w:t>un programme d</w:t>
      </w:r>
      <w:r>
        <w:rPr>
          <w:lang w:val="fr-FR"/>
        </w:rPr>
        <w:t>’</w:t>
      </w:r>
      <w:r w:rsidRPr="003D5013">
        <w:rPr>
          <w:lang w:val="fr-FR"/>
        </w:rPr>
        <w:t>assurance qualité reconnu par l</w:t>
      </w:r>
      <w:r>
        <w:rPr>
          <w:lang w:val="fr-FR"/>
        </w:rPr>
        <w:t>’</w:t>
      </w:r>
      <w:r w:rsidRPr="003D5013">
        <w:rPr>
          <w:lang w:val="fr-FR"/>
        </w:rPr>
        <w:t xml:space="preserve">autorité compétente. Ce programme doit inclure un compte rendu du tri préalable effectué et la vérification que tous les lots de matières plastiques recyclées </w:t>
      </w:r>
      <w:r w:rsidRPr="003D5013">
        <w:rPr>
          <w:u w:val="single"/>
          <w:lang w:val="fr-FR"/>
        </w:rPr>
        <w:t>de composition homogène</w:t>
      </w:r>
      <w:r w:rsidRPr="003D5013">
        <w:rPr>
          <w:lang w:val="fr-FR"/>
        </w:rPr>
        <w:t xml:space="preserve"> présentent un indice de fluidité, une densité et une résistance à la traction appropriés correspondant à ceux du modèle type fabriqué à partir d</w:t>
      </w:r>
      <w:r>
        <w:rPr>
          <w:lang w:val="fr-FR"/>
        </w:rPr>
        <w:t>’</w:t>
      </w:r>
      <w:r w:rsidRPr="003D5013">
        <w:rPr>
          <w:lang w:val="fr-FR"/>
        </w:rPr>
        <w:t>un tel matériau recyclé. Les informations d</w:t>
      </w:r>
      <w:r>
        <w:rPr>
          <w:lang w:val="fr-FR"/>
        </w:rPr>
        <w:t>’</w:t>
      </w:r>
      <w:r w:rsidRPr="003D5013">
        <w:rPr>
          <w:lang w:val="fr-FR"/>
        </w:rPr>
        <w:t>assurance qualité incluent obligatoirement des informations sur le matériau d</w:t>
      </w:r>
      <w:r>
        <w:rPr>
          <w:lang w:val="fr-FR"/>
        </w:rPr>
        <w:t>’</w:t>
      </w:r>
      <w:r w:rsidRPr="003D5013">
        <w:rPr>
          <w:lang w:val="fr-FR"/>
        </w:rPr>
        <w:t xml:space="preserve">emballage dont provient la matière plastique recyclée, ainsi que sur le contenu antérieur de ces emballages au cas où ce contenu serait susceptible de nuire aux performances du nouvel emballage produit au </w:t>
      </w:r>
      <w:r w:rsidRPr="003D5013">
        <w:rPr>
          <w:lang w:val="fr-FR"/>
        </w:rPr>
        <w:lastRenderedPageBreak/>
        <w:t xml:space="preserve">moyen de ce matériau. </w:t>
      </w:r>
      <w:r w:rsidRPr="0012114A">
        <w:rPr>
          <w:u w:val="single"/>
          <w:lang w:val="fr-FR"/>
        </w:rPr>
        <w:t>Les emballages produits à partir de ce matériau recyclé sont soumis à des épreuves de résistance comme les emballages fabriqués à partir de matériaux en résine non utilisés auparavant.</w:t>
      </w:r>
      <w:r w:rsidRPr="0012114A">
        <w:rPr>
          <w:lang w:val="fr-FR"/>
        </w:rPr>
        <w:t xml:space="preserve"> </w:t>
      </w:r>
      <w:r w:rsidRPr="0012114A">
        <w:rPr>
          <w:strike/>
          <w:lang w:val="fr-FR"/>
        </w:rPr>
        <w:t>En outre, le programme d’assurance qualité appliqué par le fabricant d’emballage conformément au 6.1.1.4 doit comprendre l’exécution des épreuves mécaniques du 6.1.5 sur modèle type des emballages fabriqués à partir de</w:t>
      </w:r>
      <w:r w:rsidRPr="003D5013">
        <w:rPr>
          <w:strike/>
          <w:lang w:val="fr-FR"/>
        </w:rPr>
        <w:t xml:space="preserve"> chaque lot de matières plastiques recyclées.</w:t>
      </w:r>
      <w:r>
        <w:rPr>
          <w:lang w:val="fr-FR"/>
        </w:rPr>
        <w:t xml:space="preserve"> </w:t>
      </w:r>
      <w:r w:rsidRPr="003D5013">
        <w:rPr>
          <w:lang w:val="fr-FR"/>
        </w:rPr>
        <w:t>Dans ces épreuves, la résistance au gerbage peut être vérifiée par une épreuve appropriée de compression dynamique, au lieu d</w:t>
      </w:r>
      <w:r>
        <w:rPr>
          <w:lang w:val="fr-FR"/>
        </w:rPr>
        <w:t>’</w:t>
      </w:r>
      <w:r w:rsidRPr="003D5013">
        <w:rPr>
          <w:lang w:val="fr-FR"/>
        </w:rPr>
        <w:t>une épreuve statique de charge appliquée à la face supérieure de l</w:t>
      </w:r>
      <w:r>
        <w:rPr>
          <w:lang w:val="fr-FR"/>
        </w:rPr>
        <w:t>’</w:t>
      </w:r>
      <w:r w:rsidRPr="003D5013">
        <w:rPr>
          <w:lang w:val="fr-FR"/>
        </w:rPr>
        <w:t>emballage</w:t>
      </w:r>
      <w:r>
        <w:rPr>
          <w:lang w:val="fr-FR"/>
        </w:rPr>
        <w:t xml:space="preserve"> </w:t>
      </w:r>
      <w:r w:rsidRPr="003D5013">
        <w:rPr>
          <w:lang w:val="fr-FR"/>
        </w:rPr>
        <w:t xml:space="preserve">; </w:t>
      </w:r>
      <w:proofErr w:type="gramStart"/>
      <w:r w:rsidRPr="003D5013">
        <w:rPr>
          <w:u w:val="single"/>
          <w:lang w:val="fr-FR"/>
        </w:rPr>
        <w:t>ou</w:t>
      </w:r>
      <w:proofErr w:type="gramEnd"/>
    </w:p>
    <w:p w14:paraId="375427A5" w14:textId="42D12223" w:rsidR="00F5195C" w:rsidRPr="003D5013" w:rsidRDefault="00F5195C" w:rsidP="00A75320">
      <w:pPr>
        <w:pStyle w:val="SingleTxtG"/>
        <w:ind w:left="1701"/>
        <w:rPr>
          <w:u w:val="single"/>
        </w:rPr>
      </w:pPr>
      <w:r w:rsidRPr="003D5013">
        <w:rPr>
          <w:u w:val="single"/>
          <w:lang w:val="fr-FR"/>
        </w:rPr>
        <w:t>b)</w:t>
      </w:r>
      <w:r w:rsidRPr="00F5195C">
        <w:rPr>
          <w:u w:val="single"/>
          <w:lang w:val="fr-FR"/>
        </w:rPr>
        <w:tab/>
      </w:r>
      <w:r w:rsidRPr="003D5013">
        <w:rPr>
          <w:u w:val="single"/>
          <w:lang w:val="fr-FR"/>
        </w:rPr>
        <w:t>Des</w:t>
      </w:r>
      <w:r>
        <w:rPr>
          <w:u w:val="single"/>
          <w:lang w:val="fr-FR"/>
        </w:rPr>
        <w:t xml:space="preserve"> matières</w:t>
      </w:r>
      <w:r w:rsidRPr="003D5013">
        <w:rPr>
          <w:u w:val="single"/>
          <w:lang w:val="fr-FR"/>
        </w:rPr>
        <w:t xml:space="preserve"> récupéré</w:t>
      </w:r>
      <w:r>
        <w:rPr>
          <w:u w:val="single"/>
          <w:lang w:val="fr-FR"/>
        </w:rPr>
        <w:t>e</w:t>
      </w:r>
      <w:r w:rsidRPr="003D5013">
        <w:rPr>
          <w:u w:val="single"/>
          <w:lang w:val="fr-FR"/>
        </w:rPr>
        <w:t>s à partir de produits en plastique usagés, à l</w:t>
      </w:r>
      <w:r>
        <w:rPr>
          <w:u w:val="single"/>
          <w:lang w:val="fr-FR"/>
        </w:rPr>
        <w:t>’</w:t>
      </w:r>
      <w:r w:rsidRPr="003D5013">
        <w:rPr>
          <w:u w:val="single"/>
          <w:lang w:val="fr-FR"/>
        </w:rPr>
        <w:t xml:space="preserve">exception de ce qui est déjà prévu ci-dessus, lorsque les propriétés </w:t>
      </w:r>
      <w:proofErr w:type="gramStart"/>
      <w:r w:rsidRPr="003D5013">
        <w:rPr>
          <w:u w:val="single"/>
          <w:lang w:val="fr-FR"/>
        </w:rPr>
        <w:t>des</w:t>
      </w:r>
      <w:r>
        <w:rPr>
          <w:u w:val="single"/>
          <w:lang w:val="fr-FR"/>
        </w:rPr>
        <w:t xml:space="preserve">dites </w:t>
      </w:r>
      <w:r w:rsidRPr="003D5013">
        <w:rPr>
          <w:u w:val="single"/>
          <w:lang w:val="fr-FR"/>
        </w:rPr>
        <w:t xml:space="preserve"> </w:t>
      </w:r>
      <w:r>
        <w:rPr>
          <w:u w:val="single"/>
          <w:lang w:val="fr-FR"/>
        </w:rPr>
        <w:t>matières</w:t>
      </w:r>
      <w:proofErr w:type="gramEnd"/>
      <w:r>
        <w:rPr>
          <w:u w:val="single"/>
          <w:lang w:val="fr-FR"/>
        </w:rPr>
        <w:t xml:space="preserve"> </w:t>
      </w:r>
      <w:r w:rsidRPr="003D5013">
        <w:rPr>
          <w:u w:val="single"/>
          <w:lang w:val="fr-FR"/>
        </w:rPr>
        <w:t>sont garanties et attestées par le fournisseur de résine conformément à un programme d</w:t>
      </w:r>
      <w:r>
        <w:rPr>
          <w:u w:val="single"/>
          <w:lang w:val="fr-FR"/>
        </w:rPr>
        <w:t>’</w:t>
      </w:r>
      <w:r w:rsidRPr="003D5013">
        <w:rPr>
          <w:u w:val="single"/>
          <w:lang w:val="fr-FR"/>
        </w:rPr>
        <w:t>assurance qualité, qui garantit un tri préalable, un nettoyage et une vérification appropriés des propriétés de chaque lot de composition homogène, y compris l</w:t>
      </w:r>
      <w:r>
        <w:rPr>
          <w:u w:val="single"/>
          <w:lang w:val="fr-FR"/>
        </w:rPr>
        <w:t>’</w:t>
      </w:r>
      <w:r w:rsidRPr="003D5013">
        <w:rPr>
          <w:u w:val="single"/>
          <w:lang w:val="fr-FR"/>
        </w:rPr>
        <w:t>indice de fluidité, la densité et la résistance à la traction.</w:t>
      </w:r>
      <w:r w:rsidRPr="0012114A">
        <w:rPr>
          <w:u w:val="single"/>
          <w:lang w:val="fr-FR"/>
        </w:rPr>
        <w:t xml:space="preserve"> </w:t>
      </w:r>
      <w:r w:rsidRPr="003D5013">
        <w:rPr>
          <w:u w:val="single"/>
          <w:lang w:val="fr-FR"/>
        </w:rPr>
        <w:t>Le programme d</w:t>
      </w:r>
      <w:r>
        <w:rPr>
          <w:u w:val="single"/>
          <w:lang w:val="fr-FR"/>
        </w:rPr>
        <w:t>’</w:t>
      </w:r>
      <w:r w:rsidRPr="003D5013">
        <w:rPr>
          <w:u w:val="single"/>
          <w:lang w:val="fr-FR"/>
        </w:rPr>
        <w:t>assurance qualité du fabricant d</w:t>
      </w:r>
      <w:r>
        <w:rPr>
          <w:u w:val="single"/>
          <w:lang w:val="fr-FR"/>
        </w:rPr>
        <w:t>’</w:t>
      </w:r>
      <w:r w:rsidRPr="003D5013">
        <w:rPr>
          <w:u w:val="single"/>
          <w:lang w:val="fr-FR"/>
        </w:rPr>
        <w:t>emballages prévu au 6.1.1.4 ou au 6.5.4.1 doit garantir que les propriétés du matériau recyclé sont conformes à celles du modèle type applicable et doit comprendre la réalisation des épreuves mécaniques appropriées prévues au 6.1.5 ou au 6.5.6 sur les emballages fabriqués à partir de chaque lot de matières plastiques recyclées de composition homogène.</w:t>
      </w:r>
      <w:r w:rsidRPr="00AF2A52">
        <w:rPr>
          <w:u w:val="single"/>
          <w:lang w:val="fr-FR"/>
        </w:rPr>
        <w:t xml:space="preserve"> </w:t>
      </w:r>
      <w:r w:rsidRPr="003D5013">
        <w:rPr>
          <w:u w:val="single"/>
          <w:lang w:val="fr-FR"/>
        </w:rPr>
        <w:t>Dans ces épreuves, la résistance au gerbage peut être vérifiée par une épreuve appropriée de compression dynamique, au lieu d</w:t>
      </w:r>
      <w:r>
        <w:rPr>
          <w:u w:val="single"/>
          <w:lang w:val="fr-FR"/>
        </w:rPr>
        <w:t>’</w:t>
      </w:r>
      <w:r w:rsidRPr="003D5013">
        <w:rPr>
          <w:u w:val="single"/>
          <w:lang w:val="fr-FR"/>
        </w:rPr>
        <w:t>une épreuve statique de charge appliquée à la face supérieure de l</w:t>
      </w:r>
      <w:r>
        <w:rPr>
          <w:u w:val="single"/>
          <w:lang w:val="fr-FR"/>
        </w:rPr>
        <w:t>’</w:t>
      </w:r>
      <w:r w:rsidRPr="003D5013">
        <w:rPr>
          <w:u w:val="single"/>
          <w:lang w:val="fr-FR"/>
        </w:rPr>
        <w:t>emballage.</w:t>
      </w:r>
    </w:p>
    <w:p w14:paraId="3281A395" w14:textId="06A6155F" w:rsidR="00F5195C" w:rsidRPr="003D5013" w:rsidRDefault="00F5195C" w:rsidP="00A75320">
      <w:pPr>
        <w:pStyle w:val="SingleTxtG"/>
        <w:ind w:left="1701"/>
      </w:pPr>
      <w:r w:rsidRPr="003D5013">
        <w:rPr>
          <w:b/>
          <w:bCs/>
          <w:i/>
          <w:iCs/>
          <w:lang w:val="fr-FR"/>
        </w:rPr>
        <w:t>NOTA</w:t>
      </w:r>
      <w:r>
        <w:rPr>
          <w:b/>
          <w:bCs/>
          <w:i/>
          <w:iCs/>
          <w:lang w:val="fr-FR"/>
        </w:rPr>
        <w:t xml:space="preserve"> </w:t>
      </w:r>
      <w:r w:rsidRPr="003D5013">
        <w:rPr>
          <w:b/>
          <w:bCs/>
          <w:i/>
          <w:iCs/>
          <w:lang w:val="fr-FR"/>
        </w:rPr>
        <w:t>:</w:t>
      </w:r>
      <w:r w:rsidRPr="003D5013">
        <w:rPr>
          <w:i/>
          <w:iCs/>
          <w:lang w:val="fr-FR"/>
        </w:rPr>
        <w:t xml:space="preserve"> La norme ISO </w:t>
      </w:r>
      <w:proofErr w:type="gramStart"/>
      <w:r w:rsidRPr="003D5013">
        <w:rPr>
          <w:i/>
          <w:iCs/>
          <w:lang w:val="fr-FR"/>
        </w:rPr>
        <w:t>16103:</w:t>
      </w:r>
      <w:proofErr w:type="gramEnd"/>
      <w:r w:rsidRPr="003D5013">
        <w:rPr>
          <w:i/>
          <w:iCs/>
          <w:lang w:val="fr-FR"/>
        </w:rPr>
        <w:t xml:space="preserve">2005 « Emballages − Emballages de transport pour marchandises dangereuses − Matériaux plastiques recyclés », fournit des indications supplémentaires sur les procédures </w:t>
      </w:r>
      <w:r w:rsidRPr="003D5013">
        <w:rPr>
          <w:i/>
          <w:iCs/>
          <w:strike/>
          <w:lang w:val="fr-FR"/>
        </w:rPr>
        <w:t>à suivre</w:t>
      </w:r>
      <w:r w:rsidRPr="00F5195C">
        <w:rPr>
          <w:i/>
          <w:iCs/>
          <w:strike/>
          <w:lang w:val="fr-FR"/>
        </w:rPr>
        <w:t xml:space="preserve"> </w:t>
      </w:r>
      <w:r w:rsidRPr="003D5013">
        <w:rPr>
          <w:i/>
          <w:iCs/>
          <w:u w:val="single"/>
          <w:lang w:val="fr-FR"/>
        </w:rPr>
        <w:t>qui peuvent être suivies</w:t>
      </w:r>
      <w:r w:rsidRPr="003D5013">
        <w:rPr>
          <w:i/>
          <w:iCs/>
          <w:lang w:val="fr-FR"/>
        </w:rPr>
        <w:t xml:space="preserve"> pour approuver l</w:t>
      </w:r>
      <w:r>
        <w:rPr>
          <w:i/>
          <w:iCs/>
          <w:lang w:val="fr-FR"/>
        </w:rPr>
        <w:t>’</w:t>
      </w:r>
      <w:r w:rsidRPr="003D5013">
        <w:rPr>
          <w:i/>
          <w:iCs/>
          <w:lang w:val="fr-FR"/>
        </w:rPr>
        <w:t>utilisation de matières plastiques recyclées. Ces indications supplémentaires ont été élaborées sur la base de l</w:t>
      </w:r>
      <w:r>
        <w:rPr>
          <w:i/>
          <w:iCs/>
          <w:lang w:val="fr-FR"/>
        </w:rPr>
        <w:t>’</w:t>
      </w:r>
      <w:r w:rsidRPr="003D5013">
        <w:rPr>
          <w:i/>
          <w:iCs/>
          <w:lang w:val="fr-FR"/>
        </w:rPr>
        <w:t>expérience acquise dans la fabrication de fûts et de bidons à partir de matières plastiques recyclées et, à ce titre, elles devront peut-être être adaptées à d</w:t>
      </w:r>
      <w:r>
        <w:rPr>
          <w:i/>
          <w:iCs/>
          <w:lang w:val="fr-FR"/>
        </w:rPr>
        <w:t>’</w:t>
      </w:r>
      <w:r w:rsidRPr="003D5013">
        <w:rPr>
          <w:i/>
          <w:iCs/>
          <w:lang w:val="fr-FR"/>
        </w:rPr>
        <w:t>autres types d</w:t>
      </w:r>
      <w:r>
        <w:rPr>
          <w:i/>
          <w:iCs/>
          <w:lang w:val="fr-FR"/>
        </w:rPr>
        <w:t>’</w:t>
      </w:r>
      <w:r w:rsidRPr="003D5013">
        <w:rPr>
          <w:i/>
          <w:iCs/>
          <w:lang w:val="fr-FR"/>
        </w:rPr>
        <w:t>emballages, GRV et grands emballages en matière plastique recyclée. ».</w:t>
      </w:r>
    </w:p>
    <w:bookmarkEnd w:id="0"/>
    <w:p w14:paraId="7DFB9CE0" w14:textId="166CF044" w:rsidR="003A1DA3" w:rsidRDefault="00F5195C" w:rsidP="00A75320">
      <w:pPr>
        <w:pStyle w:val="SingleTxtG"/>
        <w:rPr>
          <w:lang w:val="fr-FR"/>
        </w:rPr>
      </w:pPr>
      <w:r w:rsidRPr="003D5013">
        <w:rPr>
          <w:lang w:val="fr-FR"/>
        </w:rPr>
        <w:t>9.</w:t>
      </w:r>
      <w:r w:rsidRPr="003D5013">
        <w:rPr>
          <w:lang w:val="fr-FR"/>
        </w:rPr>
        <w:tab/>
        <w:t xml:space="preserve">Sur la base des observations reçues </w:t>
      </w:r>
      <w:r>
        <w:rPr>
          <w:lang w:val="fr-FR"/>
        </w:rPr>
        <w:t xml:space="preserve">précédemment </w:t>
      </w:r>
      <w:r w:rsidRPr="003D5013">
        <w:rPr>
          <w:lang w:val="fr-FR"/>
        </w:rPr>
        <w:t>par les auteurs, le Sous-Comité pourrait souhaiter</w:t>
      </w:r>
      <w:r>
        <w:rPr>
          <w:lang w:val="fr-FR"/>
        </w:rPr>
        <w:t xml:space="preserve"> déterminer</w:t>
      </w:r>
      <w:r w:rsidRPr="003D5013">
        <w:rPr>
          <w:lang w:val="fr-FR"/>
        </w:rPr>
        <w:t xml:space="preserve"> s</w:t>
      </w:r>
      <w:r>
        <w:rPr>
          <w:lang w:val="fr-FR"/>
        </w:rPr>
        <w:t>’</w:t>
      </w:r>
      <w:r w:rsidRPr="003D5013">
        <w:rPr>
          <w:lang w:val="fr-FR"/>
        </w:rPr>
        <w:t>il est nécessaire de préciser que le mot « emballage » tel qu</w:t>
      </w:r>
      <w:r>
        <w:rPr>
          <w:lang w:val="fr-FR"/>
        </w:rPr>
        <w:t>’</w:t>
      </w:r>
      <w:r w:rsidRPr="003D5013">
        <w:rPr>
          <w:lang w:val="fr-FR"/>
        </w:rPr>
        <w:t>il est utilisé dans la définition fait également référence aux grands récipients pour vrac (</w:t>
      </w:r>
      <w:r w:rsidRPr="00A75320">
        <w:rPr>
          <w:u w:val="single"/>
        </w:rPr>
        <w:t>GRV</w:t>
      </w:r>
      <w:r w:rsidRPr="003D5013">
        <w:rPr>
          <w:lang w:val="fr-FR"/>
        </w:rPr>
        <w:t>).</w:t>
      </w:r>
      <w:r>
        <w:rPr>
          <w:lang w:val="fr-FR"/>
        </w:rPr>
        <w:t xml:space="preserve"> S’il est vrai </w:t>
      </w:r>
      <w:r w:rsidRPr="003D5013">
        <w:rPr>
          <w:lang w:val="fr-FR"/>
        </w:rPr>
        <w:t>que la définition du terme « </w:t>
      </w:r>
      <w:r w:rsidRPr="00A75320">
        <w:rPr>
          <w:u w:val="single"/>
        </w:rPr>
        <w:t>emballage</w:t>
      </w:r>
      <w:r w:rsidRPr="003D5013">
        <w:rPr>
          <w:lang w:val="fr-FR"/>
        </w:rPr>
        <w:t> » au 1.2.1 n</w:t>
      </w:r>
      <w:r>
        <w:rPr>
          <w:lang w:val="fr-FR"/>
        </w:rPr>
        <w:t>’</w:t>
      </w:r>
      <w:r w:rsidRPr="003D5013">
        <w:rPr>
          <w:lang w:val="fr-FR"/>
        </w:rPr>
        <w:t>exclut pas les GRV, les prescriptions de la partie 4 font souvent référence aux « emballages, y compris les GRV ».</w:t>
      </w:r>
    </w:p>
    <w:p w14:paraId="0AA4F84B" w14:textId="3FE16712" w:rsidR="00F5195C" w:rsidRPr="00F5195C" w:rsidRDefault="00F5195C" w:rsidP="00F5195C">
      <w:pPr>
        <w:pStyle w:val="SingleTxtG"/>
        <w:spacing w:before="240" w:after="0"/>
        <w:jc w:val="center"/>
        <w:rPr>
          <w:u w:val="single"/>
        </w:rPr>
      </w:pPr>
      <w:r>
        <w:rPr>
          <w:u w:val="single"/>
        </w:rPr>
        <w:tab/>
      </w:r>
      <w:r>
        <w:rPr>
          <w:u w:val="single"/>
        </w:rPr>
        <w:tab/>
      </w:r>
      <w:r>
        <w:rPr>
          <w:u w:val="single"/>
        </w:rPr>
        <w:tab/>
      </w:r>
    </w:p>
    <w:sectPr w:rsidR="00F5195C" w:rsidRPr="00F5195C" w:rsidSect="003A1DA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AD5D4" w14:textId="77777777" w:rsidR="009717CA" w:rsidRDefault="009717CA" w:rsidP="00F95C08">
      <w:pPr>
        <w:spacing w:line="240" w:lineRule="auto"/>
      </w:pPr>
    </w:p>
  </w:endnote>
  <w:endnote w:type="continuationSeparator" w:id="0">
    <w:p w14:paraId="777004E1" w14:textId="77777777" w:rsidR="009717CA" w:rsidRPr="00AC3823" w:rsidRDefault="009717CA" w:rsidP="00AC3823">
      <w:pPr>
        <w:pStyle w:val="Footer"/>
      </w:pPr>
    </w:p>
  </w:endnote>
  <w:endnote w:type="continuationNotice" w:id="1">
    <w:p w14:paraId="5D0D12D2" w14:textId="77777777" w:rsidR="009717CA" w:rsidRDefault="009717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D5C2" w14:textId="77E5E8EA" w:rsidR="003A1DA3" w:rsidRPr="003A1DA3" w:rsidRDefault="003A1DA3" w:rsidP="003A1DA3">
    <w:pPr>
      <w:pStyle w:val="Footer"/>
      <w:tabs>
        <w:tab w:val="right" w:pos="9638"/>
      </w:tabs>
    </w:pPr>
    <w:r w:rsidRPr="003A1DA3">
      <w:rPr>
        <w:b/>
        <w:sz w:val="18"/>
      </w:rPr>
      <w:fldChar w:fldCharType="begin"/>
    </w:r>
    <w:r w:rsidRPr="003A1DA3">
      <w:rPr>
        <w:b/>
        <w:sz w:val="18"/>
      </w:rPr>
      <w:instrText xml:space="preserve"> PAGE  \* MERGEFORMAT </w:instrText>
    </w:r>
    <w:r w:rsidRPr="003A1DA3">
      <w:rPr>
        <w:b/>
        <w:sz w:val="18"/>
      </w:rPr>
      <w:fldChar w:fldCharType="separate"/>
    </w:r>
    <w:r w:rsidRPr="003A1DA3">
      <w:rPr>
        <w:b/>
        <w:noProof/>
        <w:sz w:val="18"/>
      </w:rPr>
      <w:t>2</w:t>
    </w:r>
    <w:r w:rsidRPr="003A1DA3">
      <w:rPr>
        <w:b/>
        <w:sz w:val="18"/>
      </w:rPr>
      <w:fldChar w:fldCharType="end"/>
    </w:r>
    <w:r>
      <w:rPr>
        <w:b/>
        <w:sz w:val="18"/>
      </w:rPr>
      <w:tab/>
    </w:r>
    <w:r>
      <w:t>GE.22-14014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A60C" w14:textId="7356BC4B" w:rsidR="003A1DA3" w:rsidRPr="003A1DA3" w:rsidRDefault="003A1DA3" w:rsidP="003A1DA3">
    <w:pPr>
      <w:pStyle w:val="Footer"/>
      <w:tabs>
        <w:tab w:val="right" w:pos="9638"/>
      </w:tabs>
      <w:rPr>
        <w:b/>
        <w:sz w:val="18"/>
      </w:rPr>
    </w:pPr>
    <w:r>
      <w:t>GE.22-14014</w:t>
    </w:r>
    <w:r>
      <w:tab/>
    </w:r>
    <w:r w:rsidRPr="003A1DA3">
      <w:rPr>
        <w:b/>
        <w:sz w:val="18"/>
      </w:rPr>
      <w:fldChar w:fldCharType="begin"/>
    </w:r>
    <w:r w:rsidRPr="003A1DA3">
      <w:rPr>
        <w:b/>
        <w:sz w:val="18"/>
      </w:rPr>
      <w:instrText xml:space="preserve"> PAGE  \* MERGEFORMAT </w:instrText>
    </w:r>
    <w:r w:rsidRPr="003A1DA3">
      <w:rPr>
        <w:b/>
        <w:sz w:val="18"/>
      </w:rPr>
      <w:fldChar w:fldCharType="separate"/>
    </w:r>
    <w:r w:rsidRPr="003A1DA3">
      <w:rPr>
        <w:b/>
        <w:noProof/>
        <w:sz w:val="18"/>
      </w:rPr>
      <w:t>3</w:t>
    </w:r>
    <w:r w:rsidRPr="003A1DA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B5ED" w14:textId="1D48F7E6" w:rsidR="0068456F" w:rsidRPr="003A1DA3" w:rsidRDefault="003A1DA3" w:rsidP="003A1DA3">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287B712" wp14:editId="5A68D44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22-14014</w:t>
    </w:r>
    <w:r w:rsidR="00F5195C">
      <w:rPr>
        <w:sz w:val="20"/>
      </w:rPr>
      <w:t xml:space="preserve"> </w:t>
    </w:r>
    <w:r>
      <w:rPr>
        <w:sz w:val="20"/>
      </w:rPr>
      <w:t>(F)</w:t>
    </w:r>
    <w:r>
      <w:rPr>
        <w:noProof/>
        <w:sz w:val="20"/>
      </w:rPr>
      <w:drawing>
        <wp:anchor distT="0" distB="0" distL="114300" distR="114300" simplePos="0" relativeHeight="251660288" behindDoc="0" locked="0" layoutInCell="1" allowOverlap="1" wp14:anchorId="73F52980" wp14:editId="7D0FBC1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95C">
      <w:rPr>
        <w:sz w:val="20"/>
      </w:rPr>
      <w:t xml:space="preserve">  </w:t>
    </w:r>
    <w:r>
      <w:rPr>
        <w:sz w:val="20"/>
      </w:rPr>
      <w:t>031022</w:t>
    </w:r>
    <w:r w:rsidR="00F5195C">
      <w:rPr>
        <w:sz w:val="20"/>
      </w:rPr>
      <w:t xml:space="preserve">  </w:t>
    </w:r>
    <w:r>
      <w:rPr>
        <w:sz w:val="20"/>
      </w:rPr>
      <w:t>031022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F7A6B" w14:textId="77777777" w:rsidR="009717CA" w:rsidRPr="00AC3823" w:rsidRDefault="009717CA" w:rsidP="00AC3823">
      <w:pPr>
        <w:pStyle w:val="Footer"/>
        <w:tabs>
          <w:tab w:val="right" w:pos="2155"/>
        </w:tabs>
        <w:spacing w:after="80" w:line="240" w:lineRule="atLeast"/>
        <w:ind w:left="680"/>
        <w:rPr>
          <w:u w:val="single"/>
        </w:rPr>
      </w:pPr>
      <w:r>
        <w:rPr>
          <w:u w:val="single"/>
        </w:rPr>
        <w:tab/>
      </w:r>
    </w:p>
  </w:footnote>
  <w:footnote w:type="continuationSeparator" w:id="0">
    <w:p w14:paraId="4C9DB64D" w14:textId="77777777" w:rsidR="009717CA" w:rsidRPr="00AC3823" w:rsidRDefault="009717CA" w:rsidP="00AC3823">
      <w:pPr>
        <w:pStyle w:val="Footer"/>
        <w:tabs>
          <w:tab w:val="right" w:pos="2155"/>
        </w:tabs>
        <w:spacing w:after="80" w:line="240" w:lineRule="atLeast"/>
        <w:ind w:left="680"/>
        <w:rPr>
          <w:u w:val="single"/>
        </w:rPr>
      </w:pPr>
      <w:r>
        <w:rPr>
          <w:u w:val="single"/>
        </w:rPr>
        <w:tab/>
      </w:r>
    </w:p>
  </w:footnote>
  <w:footnote w:type="continuationNotice" w:id="1">
    <w:p w14:paraId="72FA3996" w14:textId="77777777" w:rsidR="009717CA" w:rsidRPr="00AC3823" w:rsidRDefault="009717CA">
      <w:pPr>
        <w:spacing w:line="240" w:lineRule="auto"/>
        <w:rPr>
          <w:sz w:val="2"/>
          <w:szCs w:val="2"/>
        </w:rPr>
      </w:pPr>
    </w:p>
  </w:footnote>
  <w:footnote w:id="2">
    <w:p w14:paraId="0637FE3E" w14:textId="1D9CE76F" w:rsidR="00F5195C" w:rsidRPr="00F5195C" w:rsidRDefault="00F5195C">
      <w:pPr>
        <w:pStyle w:val="FootnoteText"/>
      </w:pPr>
      <w:r>
        <w:rPr>
          <w:rStyle w:val="FootnoteReference"/>
        </w:rPr>
        <w:tab/>
      </w:r>
      <w:r w:rsidRPr="00F5195C">
        <w:rPr>
          <w:rStyle w:val="FootnoteReference"/>
          <w:sz w:val="20"/>
          <w:vertAlign w:val="baseline"/>
        </w:rPr>
        <w:t>*</w:t>
      </w:r>
      <w:r>
        <w:rPr>
          <w:rStyle w:val="FootnoteReference"/>
          <w:sz w:val="20"/>
          <w:vertAlign w:val="baseline"/>
        </w:rPr>
        <w:tab/>
      </w:r>
      <w:r>
        <w:rPr>
          <w:lang w:val="fr-FR"/>
        </w:rP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38EA" w14:textId="5BA896CB" w:rsidR="003A1DA3" w:rsidRPr="003A1DA3" w:rsidRDefault="00E01DD6">
    <w:pPr>
      <w:pStyle w:val="Header"/>
    </w:pPr>
    <w:r>
      <w:fldChar w:fldCharType="begin"/>
    </w:r>
    <w:r>
      <w:instrText xml:space="preserve"> TITLE  \* MERGEFORMAT </w:instrText>
    </w:r>
    <w:r>
      <w:fldChar w:fldCharType="separate"/>
    </w:r>
    <w:r>
      <w:t>ST/SG/AC.10/C.3/2022/69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89BD" w14:textId="41E9B87D" w:rsidR="003A1DA3" w:rsidRPr="003A1DA3" w:rsidRDefault="00E01DD6" w:rsidP="003A1DA3">
    <w:pPr>
      <w:pStyle w:val="Header"/>
      <w:jc w:val="right"/>
    </w:pPr>
    <w:r>
      <w:fldChar w:fldCharType="begin"/>
    </w:r>
    <w:r>
      <w:instrText xml:space="preserve"> TITLE  \* MERGEFORMAT </w:instrText>
    </w:r>
    <w:r>
      <w:fldChar w:fldCharType="separate"/>
    </w:r>
    <w:r>
      <w:t>ST/SG/AC.10/C.3/2022/69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7CA"/>
    <w:rsid w:val="00017F94"/>
    <w:rsid w:val="00023842"/>
    <w:rsid w:val="000305D3"/>
    <w:rsid w:val="000334F9"/>
    <w:rsid w:val="0007796D"/>
    <w:rsid w:val="00082D63"/>
    <w:rsid w:val="000B7790"/>
    <w:rsid w:val="00111F2F"/>
    <w:rsid w:val="0012114A"/>
    <w:rsid w:val="00132EA9"/>
    <w:rsid w:val="0014365E"/>
    <w:rsid w:val="00172E49"/>
    <w:rsid w:val="00176178"/>
    <w:rsid w:val="001F525A"/>
    <w:rsid w:val="00223272"/>
    <w:rsid w:val="0024779E"/>
    <w:rsid w:val="00270D09"/>
    <w:rsid w:val="00283190"/>
    <w:rsid w:val="002832AC"/>
    <w:rsid w:val="002D7C93"/>
    <w:rsid w:val="00346E95"/>
    <w:rsid w:val="003A1DA3"/>
    <w:rsid w:val="00441C3B"/>
    <w:rsid w:val="00446FE5"/>
    <w:rsid w:val="00452396"/>
    <w:rsid w:val="004E468C"/>
    <w:rsid w:val="005505B7"/>
    <w:rsid w:val="00573BE5"/>
    <w:rsid w:val="00584DC4"/>
    <w:rsid w:val="00586ED3"/>
    <w:rsid w:val="00596AA9"/>
    <w:rsid w:val="0068456F"/>
    <w:rsid w:val="0071601D"/>
    <w:rsid w:val="007A62E6"/>
    <w:rsid w:val="0080684C"/>
    <w:rsid w:val="008123E0"/>
    <w:rsid w:val="00871C75"/>
    <w:rsid w:val="008776DC"/>
    <w:rsid w:val="008B40CD"/>
    <w:rsid w:val="00967918"/>
    <w:rsid w:val="009705C8"/>
    <w:rsid w:val="009717CA"/>
    <w:rsid w:val="009B420F"/>
    <w:rsid w:val="009C1CF4"/>
    <w:rsid w:val="00A30353"/>
    <w:rsid w:val="00A75320"/>
    <w:rsid w:val="00A81281"/>
    <w:rsid w:val="00AC3823"/>
    <w:rsid w:val="00AE323C"/>
    <w:rsid w:val="00AF2A52"/>
    <w:rsid w:val="00B00181"/>
    <w:rsid w:val="00B00B0D"/>
    <w:rsid w:val="00B765F7"/>
    <w:rsid w:val="00BA0CA9"/>
    <w:rsid w:val="00C02897"/>
    <w:rsid w:val="00D3439C"/>
    <w:rsid w:val="00DB1831"/>
    <w:rsid w:val="00DD3BFD"/>
    <w:rsid w:val="00DF6678"/>
    <w:rsid w:val="00E01DD6"/>
    <w:rsid w:val="00EF2E22"/>
    <w:rsid w:val="00F01738"/>
    <w:rsid w:val="00F5195C"/>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2D6D0"/>
  <w15:docId w15:val="{36718043-9590-4815-B3E3-5829DE03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9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F5195C"/>
    <w:pPr>
      <w:keepNext/>
      <w:keepLines/>
      <w:spacing w:after="0" w:line="240" w:lineRule="auto"/>
      <w:ind w:right="0"/>
      <w:jc w:val="left"/>
      <w:outlineLvl w:val="0"/>
    </w:pPr>
  </w:style>
  <w:style w:type="paragraph" w:styleId="Heading2">
    <w:name w:val="heading 2"/>
    <w:basedOn w:val="Normal"/>
    <w:next w:val="Normal"/>
    <w:link w:val="Heading2Char"/>
    <w:semiHidden/>
    <w:qFormat/>
    <w:rsid w:val="00F5195C"/>
    <w:pPr>
      <w:outlineLvl w:val="1"/>
    </w:pPr>
  </w:style>
  <w:style w:type="paragraph" w:styleId="Heading3">
    <w:name w:val="heading 3"/>
    <w:basedOn w:val="Normal"/>
    <w:next w:val="Normal"/>
    <w:link w:val="Heading3Char"/>
    <w:semiHidden/>
    <w:qFormat/>
    <w:rsid w:val="00F5195C"/>
    <w:pPr>
      <w:outlineLvl w:val="2"/>
    </w:pPr>
  </w:style>
  <w:style w:type="paragraph" w:styleId="Heading4">
    <w:name w:val="heading 4"/>
    <w:basedOn w:val="Normal"/>
    <w:next w:val="Normal"/>
    <w:link w:val="Heading4Char"/>
    <w:semiHidden/>
    <w:qFormat/>
    <w:rsid w:val="00F5195C"/>
    <w:pPr>
      <w:outlineLvl w:val="3"/>
    </w:pPr>
  </w:style>
  <w:style w:type="paragraph" w:styleId="Heading5">
    <w:name w:val="heading 5"/>
    <w:basedOn w:val="Normal"/>
    <w:next w:val="Normal"/>
    <w:link w:val="Heading5Char"/>
    <w:semiHidden/>
    <w:qFormat/>
    <w:rsid w:val="00F5195C"/>
    <w:pPr>
      <w:outlineLvl w:val="4"/>
    </w:pPr>
  </w:style>
  <w:style w:type="paragraph" w:styleId="Heading6">
    <w:name w:val="heading 6"/>
    <w:basedOn w:val="Normal"/>
    <w:next w:val="Normal"/>
    <w:link w:val="Heading6Char"/>
    <w:semiHidden/>
    <w:qFormat/>
    <w:rsid w:val="00F5195C"/>
    <w:pPr>
      <w:outlineLvl w:val="5"/>
    </w:pPr>
  </w:style>
  <w:style w:type="paragraph" w:styleId="Heading7">
    <w:name w:val="heading 7"/>
    <w:basedOn w:val="Normal"/>
    <w:next w:val="Normal"/>
    <w:link w:val="Heading7Char"/>
    <w:semiHidden/>
    <w:qFormat/>
    <w:rsid w:val="00F5195C"/>
    <w:pPr>
      <w:outlineLvl w:val="6"/>
    </w:pPr>
  </w:style>
  <w:style w:type="paragraph" w:styleId="Heading8">
    <w:name w:val="heading 8"/>
    <w:basedOn w:val="Normal"/>
    <w:next w:val="Normal"/>
    <w:link w:val="Heading8Char"/>
    <w:semiHidden/>
    <w:qFormat/>
    <w:rsid w:val="00F5195C"/>
    <w:pPr>
      <w:outlineLvl w:val="7"/>
    </w:pPr>
  </w:style>
  <w:style w:type="paragraph" w:styleId="Heading9">
    <w:name w:val="heading 9"/>
    <w:basedOn w:val="Normal"/>
    <w:next w:val="Normal"/>
    <w:link w:val="Heading9Char"/>
    <w:semiHidden/>
    <w:qFormat/>
    <w:rsid w:val="00F5195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F5195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F5195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F5195C"/>
    <w:pPr>
      <w:spacing w:line="240" w:lineRule="auto"/>
    </w:pPr>
    <w:rPr>
      <w:sz w:val="16"/>
    </w:rPr>
  </w:style>
  <w:style w:type="character" w:customStyle="1" w:styleId="FooterChar">
    <w:name w:val="Footer Char"/>
    <w:aliases w:val="3_G Char"/>
    <w:basedOn w:val="DefaultParagraphFont"/>
    <w:link w:val="Footer"/>
    <w:rsid w:val="00F5195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F5195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F5195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F5195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F5195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F5195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F5195C"/>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F5195C"/>
    <w:pPr>
      <w:tabs>
        <w:tab w:val="left" w:pos="1701"/>
        <w:tab w:val="left" w:pos="2268"/>
        <w:tab w:val="left" w:pos="2835"/>
      </w:tabs>
      <w:spacing w:after="120"/>
      <w:ind w:left="1134" w:right="1134"/>
      <w:jc w:val="both"/>
    </w:pPr>
  </w:style>
  <w:style w:type="paragraph" w:customStyle="1" w:styleId="SLG">
    <w:name w:val="__S_L_G"/>
    <w:basedOn w:val="Normal"/>
    <w:next w:val="Normal"/>
    <w:rsid w:val="00F5195C"/>
    <w:pPr>
      <w:keepNext/>
      <w:keepLines/>
      <w:spacing w:before="240" w:after="240" w:line="580" w:lineRule="exact"/>
      <w:ind w:left="1134" w:right="1134"/>
    </w:pPr>
    <w:rPr>
      <w:b/>
      <w:sz w:val="56"/>
    </w:rPr>
  </w:style>
  <w:style w:type="paragraph" w:customStyle="1" w:styleId="SMG">
    <w:name w:val="__S_M_G"/>
    <w:basedOn w:val="Normal"/>
    <w:next w:val="Normal"/>
    <w:rsid w:val="00F5195C"/>
    <w:pPr>
      <w:keepNext/>
      <w:keepLines/>
      <w:spacing w:before="240" w:after="240" w:line="420" w:lineRule="exact"/>
      <w:ind w:left="1134" w:right="1134"/>
    </w:pPr>
    <w:rPr>
      <w:b/>
      <w:sz w:val="40"/>
    </w:rPr>
  </w:style>
  <w:style w:type="paragraph" w:customStyle="1" w:styleId="SSG">
    <w:name w:val="__S_S_G"/>
    <w:basedOn w:val="Normal"/>
    <w:next w:val="Normal"/>
    <w:rsid w:val="00F5195C"/>
    <w:pPr>
      <w:keepNext/>
      <w:keepLines/>
      <w:spacing w:before="240" w:after="240" w:line="300" w:lineRule="exact"/>
      <w:ind w:left="1134" w:right="1134"/>
    </w:pPr>
    <w:rPr>
      <w:b/>
      <w:sz w:val="28"/>
    </w:rPr>
  </w:style>
  <w:style w:type="paragraph" w:customStyle="1" w:styleId="XLargeG">
    <w:name w:val="__XLarge_G"/>
    <w:basedOn w:val="Normal"/>
    <w:next w:val="Normal"/>
    <w:rsid w:val="00F5195C"/>
    <w:pPr>
      <w:keepNext/>
      <w:keepLines/>
      <w:spacing w:before="240" w:after="240" w:line="420" w:lineRule="exact"/>
      <w:ind w:left="1134" w:right="1134"/>
    </w:pPr>
    <w:rPr>
      <w:b/>
      <w:sz w:val="40"/>
    </w:rPr>
  </w:style>
  <w:style w:type="paragraph" w:customStyle="1" w:styleId="Bullet1G">
    <w:name w:val="_Bullet 1_G"/>
    <w:basedOn w:val="Normal"/>
    <w:qFormat/>
    <w:rsid w:val="00F5195C"/>
    <w:pPr>
      <w:numPr>
        <w:numId w:val="1"/>
      </w:numPr>
      <w:spacing w:after="120"/>
      <w:ind w:right="1134"/>
      <w:jc w:val="both"/>
    </w:pPr>
  </w:style>
  <w:style w:type="paragraph" w:customStyle="1" w:styleId="Bullet2G">
    <w:name w:val="_Bullet 2_G"/>
    <w:basedOn w:val="Normal"/>
    <w:qFormat/>
    <w:rsid w:val="00F5195C"/>
    <w:pPr>
      <w:numPr>
        <w:numId w:val="2"/>
      </w:numPr>
      <w:spacing w:after="120"/>
      <w:ind w:right="1134"/>
      <w:jc w:val="both"/>
    </w:pPr>
  </w:style>
  <w:style w:type="paragraph" w:customStyle="1" w:styleId="ParNoG">
    <w:name w:val="_ParNo_G"/>
    <w:basedOn w:val="Normal"/>
    <w:qFormat/>
    <w:rsid w:val="00F5195C"/>
    <w:pPr>
      <w:numPr>
        <w:numId w:val="3"/>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F5195C"/>
    <w:rPr>
      <w:rFonts w:ascii="Times New Roman" w:hAnsi="Times New Roman"/>
      <w:sz w:val="18"/>
      <w:vertAlign w:val="superscript"/>
      <w:lang w:val="fr-CH"/>
    </w:rPr>
  </w:style>
  <w:style w:type="character" w:styleId="EndnoteReference">
    <w:name w:val="endnote reference"/>
    <w:aliases w:val="1_G"/>
    <w:basedOn w:val="FootnoteReference"/>
    <w:qFormat/>
    <w:rsid w:val="00F5195C"/>
    <w:rPr>
      <w:rFonts w:ascii="Times New Roman" w:hAnsi="Times New Roman"/>
      <w:sz w:val="18"/>
      <w:vertAlign w:val="superscript"/>
      <w:lang w:val="fr-CH"/>
    </w:rPr>
  </w:style>
  <w:style w:type="table" w:styleId="TableGrid">
    <w:name w:val="Table Grid"/>
    <w:basedOn w:val="TableNormal"/>
    <w:rsid w:val="00F5195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F5195C"/>
    <w:rPr>
      <w:color w:val="0000FF"/>
      <w:u w:val="none"/>
    </w:rPr>
  </w:style>
  <w:style w:type="character" w:styleId="FollowedHyperlink">
    <w:name w:val="FollowedHyperlink"/>
    <w:basedOn w:val="DefaultParagraphFont"/>
    <w:unhideWhenUsed/>
    <w:rsid w:val="00F5195C"/>
    <w:rPr>
      <w:color w:val="0000FF"/>
      <w:u w:val="none"/>
    </w:rPr>
  </w:style>
  <w:style w:type="paragraph" w:styleId="FootnoteText">
    <w:name w:val="footnote text"/>
    <w:aliases w:val="5_G"/>
    <w:basedOn w:val="Normal"/>
    <w:link w:val="FootnoteTextChar"/>
    <w:qFormat/>
    <w:rsid w:val="00F5195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F5195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F5195C"/>
  </w:style>
  <w:style w:type="character" w:customStyle="1" w:styleId="EndnoteTextChar">
    <w:name w:val="Endnote Text Char"/>
    <w:aliases w:val="2_G Char"/>
    <w:basedOn w:val="DefaultParagraphFont"/>
    <w:link w:val="EndnoteText"/>
    <w:rsid w:val="00F5195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F5195C"/>
    <w:rPr>
      <w:rFonts w:ascii="Times New Roman" w:hAnsi="Times New Roman"/>
      <w:b/>
      <w:sz w:val="18"/>
      <w:lang w:val="fr-CH"/>
    </w:rPr>
  </w:style>
  <w:style w:type="character" w:customStyle="1" w:styleId="Heading1Char">
    <w:name w:val="Heading 1 Char"/>
    <w:aliases w:val="Table_G Char"/>
    <w:basedOn w:val="DefaultParagraphFont"/>
    <w:link w:val="Heading1"/>
    <w:rsid w:val="00F5195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F5195C"/>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F5195C"/>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F5195C"/>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F5195C"/>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F5195C"/>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F5195C"/>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F5195C"/>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F5195C"/>
    <w:rPr>
      <w:rFonts w:ascii="Times New Roman" w:eastAsiaTheme="minorHAnsi" w:hAnsi="Times New Roman" w:cs="Times New Roman"/>
      <w:sz w:val="20"/>
      <w:szCs w:val="20"/>
      <w:lang w:eastAsia="en-US"/>
    </w:rPr>
  </w:style>
  <w:style w:type="paragraph" w:styleId="BalloonText">
    <w:name w:val="Balloon Text"/>
    <w:basedOn w:val="Normal"/>
    <w:link w:val="BalloonTextChar"/>
    <w:uiPriority w:val="99"/>
    <w:semiHidden/>
    <w:unhideWhenUsed/>
    <w:rsid w:val="00F519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95C"/>
    <w:rPr>
      <w:rFonts w:ascii="Tahoma" w:eastAsiaTheme="minorHAnsi" w:hAnsi="Tahoma" w:cs="Tahoma"/>
      <w:sz w:val="16"/>
      <w:szCs w:val="16"/>
      <w:lang w:eastAsia="en-US"/>
    </w:rPr>
  </w:style>
  <w:style w:type="character" w:customStyle="1" w:styleId="HChGChar">
    <w:name w:val="_ H _Ch_G Char"/>
    <w:link w:val="HChG"/>
    <w:qFormat/>
    <w:locked/>
    <w:rsid w:val="00F5195C"/>
    <w:rPr>
      <w:rFonts w:ascii="Times New Roman" w:eastAsiaTheme="minorHAnsi" w:hAnsi="Times New Roman" w:cs="Times New Roman"/>
      <w:b/>
      <w:sz w:val="28"/>
      <w:szCs w:val="20"/>
      <w:lang w:eastAsia="en-US"/>
    </w:rPr>
  </w:style>
  <w:style w:type="character" w:customStyle="1" w:styleId="H1GChar">
    <w:name w:val="_ H_1_G Char"/>
    <w:link w:val="H1G"/>
    <w:locked/>
    <w:rsid w:val="00F5195C"/>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3BBC840-3CC6-49FF-BAA5-9A1FCF79E230}"/>
</file>

<file path=customXml/itemProps2.xml><?xml version="1.0" encoding="utf-8"?>
<ds:datastoreItem xmlns:ds="http://schemas.openxmlformats.org/officeDocument/2006/customXml" ds:itemID="{7A022ED6-9F0C-467A-8D6E-D9A8B4F610C3}"/>
</file>

<file path=customXml/itemProps3.xml><?xml version="1.0" encoding="utf-8"?>
<ds:datastoreItem xmlns:ds="http://schemas.openxmlformats.org/officeDocument/2006/customXml" ds:itemID="{D877EA7B-85B8-49F7-A8A9-933C6A9B2615}"/>
</file>

<file path=docProps/app.xml><?xml version="1.0" encoding="utf-8"?>
<Properties xmlns="http://schemas.openxmlformats.org/officeDocument/2006/extended-properties" xmlns:vt="http://schemas.openxmlformats.org/officeDocument/2006/docPropsVTypes">
  <Template>Normal.dotm</Template>
  <TotalTime>1</TotalTime>
  <Pages>3</Pages>
  <Words>1351</Words>
  <Characters>7701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ST/SG/AC.10/C.3/2022/69</vt:lpstr>
    </vt:vector>
  </TitlesOfParts>
  <Company>DCM</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ST/SG/AC.10/C.3/2022/69</dc:title>
  <dc:subject/>
  <dc:creator>Corinne ROBERT</dc:creator>
  <cp:keywords/>
  <cp:lastModifiedBy>Laurence Berthet</cp:lastModifiedBy>
  <cp:revision>3</cp:revision>
  <cp:lastPrinted>2022-10-03T13:20:00Z</cp:lastPrinted>
  <dcterms:created xsi:type="dcterms:W3CDTF">2022-10-03T13:20:00Z</dcterms:created>
  <dcterms:modified xsi:type="dcterms:W3CDTF">2022-10-03T13:20:00Z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