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32DF4" w14:paraId="73BA597C" w14:textId="77777777" w:rsidTr="00F01738">
        <w:trPr>
          <w:trHeight w:hRule="exact" w:val="851"/>
        </w:trPr>
        <w:tc>
          <w:tcPr>
            <w:tcW w:w="1276" w:type="dxa"/>
            <w:tcBorders>
              <w:bottom w:val="single" w:sz="4" w:space="0" w:color="auto"/>
            </w:tcBorders>
          </w:tcPr>
          <w:p w14:paraId="05DD2E79" w14:textId="77777777" w:rsidR="00132EA9" w:rsidRPr="00DB58B5" w:rsidRDefault="00132EA9" w:rsidP="00B32DF4"/>
        </w:tc>
        <w:tc>
          <w:tcPr>
            <w:tcW w:w="2268" w:type="dxa"/>
            <w:tcBorders>
              <w:bottom w:val="single" w:sz="4" w:space="0" w:color="auto"/>
            </w:tcBorders>
            <w:vAlign w:val="bottom"/>
          </w:tcPr>
          <w:p w14:paraId="114C7E1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8E4A04" w14:textId="3DFA01D1" w:rsidR="00B32DF4" w:rsidRPr="00B32DF4" w:rsidRDefault="00B32DF4" w:rsidP="00B32DF4">
            <w:pPr>
              <w:jc w:val="right"/>
              <w:rPr>
                <w:lang w:val="en-US"/>
              </w:rPr>
            </w:pPr>
            <w:r w:rsidRPr="00B32DF4">
              <w:rPr>
                <w:sz w:val="40"/>
                <w:lang w:val="en-US"/>
              </w:rPr>
              <w:t>ST</w:t>
            </w:r>
            <w:r w:rsidRPr="00B32DF4">
              <w:rPr>
                <w:lang w:val="en-US"/>
              </w:rPr>
              <w:t>/SG/AC.10/C.3/2022/66−</w:t>
            </w:r>
            <w:r w:rsidRPr="00B32DF4">
              <w:rPr>
                <w:sz w:val="40"/>
                <w:lang w:val="en-US"/>
              </w:rPr>
              <w:t>ST</w:t>
            </w:r>
            <w:r w:rsidRPr="00B32DF4">
              <w:rPr>
                <w:lang w:val="en-US"/>
              </w:rPr>
              <w:t>/SG/AC.10/C.4/2022/17</w:t>
            </w:r>
          </w:p>
        </w:tc>
      </w:tr>
      <w:tr w:rsidR="00132EA9" w:rsidRPr="00DB58B5" w14:paraId="3A610E86" w14:textId="77777777" w:rsidTr="00F01738">
        <w:trPr>
          <w:trHeight w:hRule="exact" w:val="2835"/>
        </w:trPr>
        <w:tc>
          <w:tcPr>
            <w:tcW w:w="1276" w:type="dxa"/>
            <w:tcBorders>
              <w:top w:val="single" w:sz="4" w:space="0" w:color="auto"/>
              <w:bottom w:val="single" w:sz="12" w:space="0" w:color="auto"/>
            </w:tcBorders>
          </w:tcPr>
          <w:p w14:paraId="4F07E8AD" w14:textId="77777777" w:rsidR="00132EA9" w:rsidRPr="00DB58B5" w:rsidRDefault="00132EA9" w:rsidP="00F01738">
            <w:pPr>
              <w:spacing w:before="120"/>
              <w:jc w:val="center"/>
            </w:pPr>
            <w:r>
              <w:rPr>
                <w:noProof/>
                <w:lang w:eastAsia="fr-CH"/>
              </w:rPr>
              <w:drawing>
                <wp:inline distT="0" distB="0" distL="0" distR="0" wp14:anchorId="48A1D7BD" wp14:editId="03DE4B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760DC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108979D" w14:textId="77777777" w:rsidR="00132EA9" w:rsidRDefault="00B32DF4" w:rsidP="00F01738">
            <w:pPr>
              <w:spacing w:before="240"/>
            </w:pPr>
            <w:r>
              <w:t xml:space="preserve">Distr. </w:t>
            </w:r>
            <w:proofErr w:type="gramStart"/>
            <w:r>
              <w:t>générale</w:t>
            </w:r>
            <w:proofErr w:type="gramEnd"/>
          </w:p>
          <w:p w14:paraId="1696E2FF" w14:textId="77777777" w:rsidR="00B32DF4" w:rsidRDefault="00B32DF4" w:rsidP="00B32DF4">
            <w:pPr>
              <w:spacing w:line="240" w:lineRule="exact"/>
            </w:pPr>
            <w:r>
              <w:t>12 septembre 2022</w:t>
            </w:r>
          </w:p>
          <w:p w14:paraId="6808DDF3" w14:textId="77777777" w:rsidR="00B32DF4" w:rsidRDefault="00B32DF4" w:rsidP="00B32DF4">
            <w:pPr>
              <w:spacing w:line="240" w:lineRule="exact"/>
            </w:pPr>
            <w:r>
              <w:t>Français</w:t>
            </w:r>
          </w:p>
          <w:p w14:paraId="34FBC92A" w14:textId="6CB9E0B3" w:rsidR="00B32DF4" w:rsidRPr="00DB58B5" w:rsidRDefault="00B32DF4" w:rsidP="00B32DF4">
            <w:pPr>
              <w:spacing w:line="240" w:lineRule="exact"/>
            </w:pPr>
            <w:r>
              <w:t>Original : anglais</w:t>
            </w:r>
          </w:p>
        </w:tc>
      </w:tr>
    </w:tbl>
    <w:p w14:paraId="3D8E2849" w14:textId="77777777" w:rsidR="00B32DF4" w:rsidRPr="00CA0680" w:rsidRDefault="00B32DF4"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B32DF4" w14:paraId="492C84DB" w14:textId="77777777" w:rsidTr="009C3129">
        <w:tc>
          <w:tcPr>
            <w:tcW w:w="4820" w:type="dxa"/>
          </w:tcPr>
          <w:p w14:paraId="11AC512A" w14:textId="77777777" w:rsidR="00B32DF4" w:rsidRDefault="00B32DF4" w:rsidP="009C3129">
            <w:pPr>
              <w:spacing w:before="120"/>
              <w:rPr>
                <w:b/>
              </w:rPr>
            </w:pPr>
            <w:r w:rsidRPr="00CA0680">
              <w:rPr>
                <w:b/>
              </w:rPr>
              <w:t>Sous</w:t>
            </w:r>
            <w:r>
              <w:rPr>
                <w:b/>
              </w:rPr>
              <w:t>-</w:t>
            </w:r>
            <w:r w:rsidRPr="00CA0680">
              <w:rPr>
                <w:b/>
              </w:rPr>
              <w:t>Comité d’experts du transport</w:t>
            </w:r>
            <w:r>
              <w:rPr>
                <w:b/>
              </w:rPr>
              <w:br/>
            </w:r>
            <w:r w:rsidRPr="00CA0680">
              <w:rPr>
                <w:b/>
              </w:rPr>
              <w:t>des marchandises dangereuses</w:t>
            </w:r>
          </w:p>
        </w:tc>
        <w:tc>
          <w:tcPr>
            <w:tcW w:w="4820" w:type="dxa"/>
          </w:tcPr>
          <w:p w14:paraId="1AB2672A" w14:textId="77777777" w:rsidR="00B32DF4" w:rsidRDefault="00B32DF4" w:rsidP="009C3129">
            <w:pPr>
              <w:spacing w:before="120"/>
              <w:rPr>
                <w:b/>
              </w:rPr>
            </w:pPr>
            <w:r>
              <w:rPr>
                <w:b/>
              </w:rPr>
              <w:t>Sous-Comité d’experts du Système général harmonisé de classification et d’étiquetage des produits chimiques</w:t>
            </w:r>
          </w:p>
        </w:tc>
      </w:tr>
      <w:tr w:rsidR="00B32DF4" w14:paraId="168395AD" w14:textId="77777777" w:rsidTr="009C3129">
        <w:tc>
          <w:tcPr>
            <w:tcW w:w="4820" w:type="dxa"/>
          </w:tcPr>
          <w:p w14:paraId="4BF1B427" w14:textId="2F8ADBB4" w:rsidR="00B32DF4" w:rsidRPr="00CA0680" w:rsidRDefault="00B32DF4" w:rsidP="009C3129">
            <w:pPr>
              <w:spacing w:before="120"/>
              <w:rPr>
                <w:b/>
              </w:rPr>
            </w:pPr>
            <w:r>
              <w:rPr>
                <w:b/>
                <w:bCs/>
                <w:lang w:val="fr-FR"/>
              </w:rPr>
              <w:t>Soixante et unième session</w:t>
            </w:r>
          </w:p>
        </w:tc>
        <w:tc>
          <w:tcPr>
            <w:tcW w:w="4820" w:type="dxa"/>
          </w:tcPr>
          <w:p w14:paraId="129919E8" w14:textId="583EA913" w:rsidR="00B32DF4" w:rsidRDefault="00B32DF4" w:rsidP="009C3129">
            <w:pPr>
              <w:spacing w:before="120"/>
              <w:rPr>
                <w:b/>
              </w:rPr>
            </w:pPr>
            <w:r>
              <w:rPr>
                <w:b/>
                <w:bCs/>
                <w:lang w:val="fr-FR"/>
              </w:rPr>
              <w:t>Quarante-troisième session</w:t>
            </w:r>
          </w:p>
        </w:tc>
      </w:tr>
      <w:tr w:rsidR="00B32DF4" w14:paraId="2273F92C" w14:textId="77777777" w:rsidTr="009C3129">
        <w:tc>
          <w:tcPr>
            <w:tcW w:w="4820" w:type="dxa"/>
          </w:tcPr>
          <w:p w14:paraId="5111D0C2" w14:textId="5DAD1A6F" w:rsidR="00B32DF4" w:rsidRDefault="00B32DF4" w:rsidP="009C3129">
            <w:r>
              <w:rPr>
                <w:lang w:val="fr-FR"/>
              </w:rPr>
              <w:t>Genève, 28 novembre-6 décembre 2022</w:t>
            </w:r>
          </w:p>
          <w:p w14:paraId="3382842F" w14:textId="043D50E0" w:rsidR="00B32DF4" w:rsidRDefault="00B32DF4" w:rsidP="009C3129">
            <w:r>
              <w:rPr>
                <w:lang w:val="fr-FR"/>
              </w:rPr>
              <w:t>Point 10 c) de l’ordre du jour provisoire</w:t>
            </w:r>
          </w:p>
          <w:p w14:paraId="3115D385" w14:textId="32EDC255" w:rsidR="00B32DF4" w:rsidRPr="003B79D9" w:rsidRDefault="00B32DF4" w:rsidP="009C3129">
            <w:pPr>
              <w:rPr>
                <w:b/>
              </w:rPr>
            </w:pPr>
            <w:r>
              <w:rPr>
                <w:b/>
                <w:bCs/>
                <w:lang w:val="fr-FR"/>
              </w:rPr>
              <w:t xml:space="preserve">Questions relatives au Système général harmonisé </w:t>
            </w:r>
            <w:r>
              <w:rPr>
                <w:b/>
                <w:bCs/>
                <w:lang w:val="fr-FR"/>
              </w:rPr>
              <w:br/>
              <w:t xml:space="preserve">de classification et d’étiquetage des produits </w:t>
            </w:r>
            <w:r>
              <w:rPr>
                <w:b/>
                <w:bCs/>
                <w:lang w:val="fr-FR"/>
              </w:rPr>
              <w:br/>
              <w:t>chimiques (SGH) : Divers</w:t>
            </w:r>
          </w:p>
        </w:tc>
        <w:tc>
          <w:tcPr>
            <w:tcW w:w="4820" w:type="dxa"/>
          </w:tcPr>
          <w:p w14:paraId="2D6063FE" w14:textId="314E2713" w:rsidR="00B32DF4" w:rsidRDefault="00B32DF4" w:rsidP="009C3129">
            <w:r>
              <w:rPr>
                <w:lang w:val="fr-FR"/>
              </w:rPr>
              <w:t>Genève, 7-9 décembre 2022</w:t>
            </w:r>
          </w:p>
          <w:p w14:paraId="65E8D678" w14:textId="4D07AAE9" w:rsidR="00B32DF4" w:rsidRDefault="00B32DF4" w:rsidP="009C3129">
            <w:r>
              <w:rPr>
                <w:lang w:val="fr-FR"/>
              </w:rPr>
              <w:t>Point 3 a) de l’ordre du jour provisoire</w:t>
            </w:r>
          </w:p>
          <w:p w14:paraId="3078B993" w14:textId="664500FB" w:rsidR="00B32DF4" w:rsidRPr="003B79D9" w:rsidRDefault="00B32DF4" w:rsidP="009C3129">
            <w:pPr>
              <w:rPr>
                <w:b/>
              </w:rPr>
            </w:pPr>
            <w:r w:rsidRPr="00145A56">
              <w:rPr>
                <w:b/>
                <w:bCs/>
                <w:lang w:val="fr-FR"/>
              </w:rPr>
              <w:t>Travaux relatifs au Système général harmonisé de classification et d</w:t>
            </w:r>
            <w:r>
              <w:rPr>
                <w:b/>
                <w:bCs/>
                <w:lang w:val="fr-FR"/>
              </w:rPr>
              <w:t>’</w:t>
            </w:r>
            <w:r w:rsidRPr="00145A56">
              <w:rPr>
                <w:b/>
                <w:bCs/>
                <w:lang w:val="fr-FR"/>
              </w:rPr>
              <w:t>étiquetage des produits chimiques :</w:t>
            </w:r>
            <w:r>
              <w:rPr>
                <w:b/>
                <w:bCs/>
                <w:lang w:val="fr-FR"/>
              </w:rPr>
              <w:t xml:space="preserve"> Travaux du Sous-Comité d’experts du transport </w:t>
            </w:r>
            <w:r>
              <w:rPr>
                <w:b/>
                <w:bCs/>
                <w:lang w:val="fr-FR"/>
              </w:rPr>
              <w:br/>
              <w:t>des marchandises dangereuses sur des questions intéressant le Sous-Comité</w:t>
            </w:r>
            <w:r w:rsidRPr="00B32DF4">
              <w:rPr>
                <w:b/>
                <w:bCs/>
                <w:sz w:val="18"/>
                <w:szCs w:val="18"/>
                <w:vertAlign w:val="superscript"/>
                <w:lang w:val="fr-FR"/>
              </w:rPr>
              <w:t>1</w:t>
            </w:r>
          </w:p>
        </w:tc>
      </w:tr>
    </w:tbl>
    <w:p w14:paraId="703A0A61" w14:textId="77777777" w:rsidR="00B32DF4" w:rsidRPr="00F10D31" w:rsidRDefault="00B32DF4" w:rsidP="00B32DF4">
      <w:pPr>
        <w:pStyle w:val="HChG"/>
        <w:rPr>
          <w:lang w:val="fr-FR"/>
        </w:rPr>
      </w:pPr>
      <w:r>
        <w:rPr>
          <w:lang w:val="fr-FR"/>
        </w:rPr>
        <w:tab/>
      </w:r>
      <w:r>
        <w:rPr>
          <w:lang w:val="fr-FR"/>
        </w:rPr>
        <w:tab/>
        <w:t>Poudres métalliques et poudres de métaux ou d’alliages métalliques dans l’épreuve N.1</w:t>
      </w:r>
    </w:p>
    <w:p w14:paraId="7DAD2F55" w14:textId="4C5FF40B" w:rsidR="00B32DF4" w:rsidRPr="00F10D31" w:rsidRDefault="00B32DF4" w:rsidP="00B32DF4">
      <w:pPr>
        <w:pStyle w:val="H1G"/>
        <w:rPr>
          <w:lang w:val="fr-FR"/>
        </w:rPr>
      </w:pPr>
      <w:r>
        <w:rPr>
          <w:lang w:val="fr-FR"/>
        </w:rPr>
        <w:tab/>
      </w:r>
      <w:r>
        <w:rPr>
          <w:lang w:val="fr-FR"/>
        </w:rPr>
        <w:tab/>
        <w:t>Communication de l’expert de la Chine</w:t>
      </w:r>
      <w:r w:rsidRPr="00B32DF4">
        <w:rPr>
          <w:rStyle w:val="FootnoteReference"/>
          <w:b w:val="0"/>
          <w:bCs/>
          <w:sz w:val="20"/>
          <w:vertAlign w:val="baseline"/>
        </w:rPr>
        <w:footnoteReference w:customMarkFollows="1" w:id="2"/>
        <w:t>*</w:t>
      </w:r>
    </w:p>
    <w:p w14:paraId="77FDD912" w14:textId="77777777" w:rsidR="00B32DF4" w:rsidRPr="00F10D31" w:rsidRDefault="00B32DF4" w:rsidP="00B32DF4">
      <w:pPr>
        <w:pStyle w:val="HChG"/>
        <w:rPr>
          <w:lang w:val="fr-FR"/>
        </w:rPr>
      </w:pPr>
      <w:r>
        <w:rPr>
          <w:lang w:val="fr-FR"/>
        </w:rPr>
        <w:tab/>
      </w:r>
      <w:r>
        <w:rPr>
          <w:lang w:val="fr-FR"/>
        </w:rPr>
        <w:tab/>
        <w:t xml:space="preserve">Introduction </w:t>
      </w:r>
    </w:p>
    <w:p w14:paraId="607D77DB" w14:textId="77777777" w:rsidR="00B32DF4" w:rsidRPr="00F10D31" w:rsidRDefault="00B32DF4" w:rsidP="00B32DF4">
      <w:pPr>
        <w:pStyle w:val="SingleTxtG"/>
        <w:tabs>
          <w:tab w:val="clear" w:pos="1701"/>
          <w:tab w:val="clear" w:pos="2268"/>
          <w:tab w:val="clear" w:pos="2835"/>
        </w:tabs>
        <w:rPr>
          <w:lang w:val="fr-FR"/>
        </w:rPr>
      </w:pPr>
      <w:r>
        <w:rPr>
          <w:lang w:val="fr-FR"/>
        </w:rPr>
        <w:t>1.</w:t>
      </w:r>
      <w:r>
        <w:rPr>
          <w:lang w:val="fr-FR"/>
        </w:rPr>
        <w:tab/>
        <w:t xml:space="preserve">Il existe deux critères de classement différents pour l’inflammabilité d’une matière pulvérulente, granulaire ou pâteuse, fondés sur les résultats de l’épreuve N.1. Il est indiqué au 2.4.2.2.2.1 du Règlement type, au 2.7.2 du Système général harmonisé de classification et d’étiquetage des produits chimiques (SGH) et au 33.2.4.4.1 du Manuel d’épreuves et de critères, que ces deux critères concernent respectivement les « poudres de métaux ou </w:t>
      </w:r>
      <w:proofErr w:type="gramStart"/>
      <w:r>
        <w:rPr>
          <w:lang w:val="fr-FR"/>
        </w:rPr>
        <w:t>d’alliages</w:t>
      </w:r>
      <w:proofErr w:type="gramEnd"/>
      <w:r>
        <w:rPr>
          <w:lang w:val="fr-FR"/>
        </w:rPr>
        <w:t xml:space="preserve"> métalliques » et les autres substances ou mélanges. Il est nécessaire d’accorder une </w:t>
      </w:r>
      <w:proofErr w:type="gramStart"/>
      <w:r>
        <w:rPr>
          <w:lang w:val="fr-FR"/>
        </w:rPr>
        <w:t>attention</w:t>
      </w:r>
      <w:proofErr w:type="gramEnd"/>
      <w:r>
        <w:rPr>
          <w:lang w:val="fr-FR"/>
        </w:rPr>
        <w:t xml:space="preserve"> particulière aux poudres de métaux ou d’alliages métalliques lors de la détermination de l’inflammabilité.</w:t>
      </w:r>
    </w:p>
    <w:p w14:paraId="486BF130" w14:textId="77777777" w:rsidR="00B32DF4" w:rsidRPr="00F10D31" w:rsidRDefault="00B32DF4" w:rsidP="00B32DF4">
      <w:pPr>
        <w:pStyle w:val="SingleTxtG"/>
        <w:rPr>
          <w:lang w:val="fr-FR"/>
        </w:rPr>
      </w:pPr>
      <w:r>
        <w:rPr>
          <w:lang w:val="fr-FR"/>
        </w:rPr>
        <w:t>2.</w:t>
      </w:r>
      <w:r>
        <w:rPr>
          <w:lang w:val="fr-FR"/>
        </w:rPr>
        <w:tab/>
        <w:t>Toutefois, dans certains autres paragraphes relatifs à l’épreuve N.1 et aux critères applicables, par exemple au 33.2.4.3.2.3 du Manuel d’épreuves et de critères, il est indiqué que seules les poudres de métaux doivent être considérées séparément.</w:t>
      </w:r>
    </w:p>
    <w:p w14:paraId="7010961A" w14:textId="39AF9D55" w:rsidR="00B32DF4" w:rsidRPr="00F10D31" w:rsidRDefault="00B32DF4" w:rsidP="00B32DF4">
      <w:pPr>
        <w:pStyle w:val="SingleTxtG"/>
        <w:rPr>
          <w:lang w:val="fr-FR"/>
        </w:rPr>
      </w:pPr>
      <w:r>
        <w:rPr>
          <w:lang w:val="fr-FR"/>
        </w:rPr>
        <w:t>3.</w:t>
      </w:r>
      <w:r>
        <w:rPr>
          <w:lang w:val="fr-FR"/>
        </w:rPr>
        <w:tab/>
        <w:t>La raison pour laquelle deux critères différents sont fixés est expliquée au 2.4.2.2.1.2 du Règlement type comme suit :</w:t>
      </w:r>
    </w:p>
    <w:p w14:paraId="475B5137" w14:textId="31550DF4" w:rsidR="00B32DF4" w:rsidRPr="00F10D31" w:rsidRDefault="00B32DF4" w:rsidP="00B32DF4">
      <w:pPr>
        <w:pStyle w:val="SingleTxtG"/>
        <w:ind w:left="1701"/>
        <w:rPr>
          <w:i/>
          <w:iCs/>
          <w:lang w:val="fr-FR"/>
        </w:rPr>
      </w:pPr>
      <w:r w:rsidRPr="00B32DF4">
        <w:rPr>
          <w:lang w:val="fr-FR"/>
        </w:rPr>
        <w:t>«</w:t>
      </w:r>
      <w:r>
        <w:rPr>
          <w:i/>
          <w:iCs/>
          <w:lang w:val="fr-FR"/>
        </w:rPr>
        <w:t> ... Les poudres de métal sont particulièrement dangereuses car elles sont difficiles à éteindre une fois enflammées − les agents extincteurs normaux, tels que le dioxyde de carbone et l’eau pouvant accroître le danger. </w:t>
      </w:r>
      <w:r w:rsidRPr="00DD247D">
        <w:rPr>
          <w:lang w:val="fr-FR"/>
        </w:rPr>
        <w:t>»</w:t>
      </w:r>
      <w:r>
        <w:rPr>
          <w:i/>
          <w:iCs/>
          <w:lang w:val="fr-FR"/>
        </w:rPr>
        <w:t>.</w:t>
      </w:r>
    </w:p>
    <w:p w14:paraId="154788DE" w14:textId="77777777" w:rsidR="00B32DF4" w:rsidRPr="00F10D31" w:rsidRDefault="00B32DF4" w:rsidP="00B32DF4">
      <w:pPr>
        <w:pStyle w:val="SingleTxtG"/>
        <w:rPr>
          <w:lang w:val="fr-FR"/>
        </w:rPr>
      </w:pPr>
      <w:r>
        <w:rPr>
          <w:lang w:val="fr-FR"/>
        </w:rPr>
        <w:t>4.</w:t>
      </w:r>
      <w:r>
        <w:rPr>
          <w:lang w:val="fr-FR"/>
        </w:rPr>
        <w:tab/>
        <w:t xml:space="preserve">Si le 2.4.2.2.1.2 ne fait référence qu’aux poudres de métal, les poudres d’alliages métalliques présentent également ces mêmes caractéristiques. Il est donc plus raisonnable de </w:t>
      </w:r>
      <w:r>
        <w:rPr>
          <w:lang w:val="fr-FR"/>
        </w:rPr>
        <w:lastRenderedPageBreak/>
        <w:t>classer les poudres d’alliages métalliques à l’aide des critères applicables aux poudres de métal plutôt que de ceux applicables aux autres substances ou mélanges.</w:t>
      </w:r>
    </w:p>
    <w:p w14:paraId="745A76F9" w14:textId="77777777" w:rsidR="00B32DF4" w:rsidRPr="00F10D31" w:rsidRDefault="00B32DF4" w:rsidP="00B32DF4">
      <w:pPr>
        <w:pStyle w:val="SingleTxtG"/>
        <w:rPr>
          <w:lang w:val="fr-FR"/>
        </w:rPr>
      </w:pPr>
      <w:r>
        <w:rPr>
          <w:lang w:val="fr-FR"/>
        </w:rPr>
        <w:t>5.</w:t>
      </w:r>
      <w:r>
        <w:rPr>
          <w:lang w:val="fr-FR"/>
        </w:rPr>
        <w:tab/>
        <w:t>Il convient d’harmoniser dans l’ensemble des textes réglementaires le fait que, pour déterminer l’inflammabilité des solides, deux critères différents sont appliqués aux poudres de métaux ou d’alliages métalliques d’une part et aux substances ou mélanges autres que les poudres de métaux ou d’alliages métalliques d’autre part.</w:t>
      </w:r>
    </w:p>
    <w:p w14:paraId="4D9335DA" w14:textId="77777777" w:rsidR="00B32DF4" w:rsidRPr="00F10D31" w:rsidRDefault="00B32DF4" w:rsidP="00B32DF4">
      <w:pPr>
        <w:pStyle w:val="SingleTxtG"/>
        <w:rPr>
          <w:lang w:val="fr-FR"/>
        </w:rPr>
      </w:pPr>
      <w:r>
        <w:rPr>
          <w:lang w:val="fr-FR"/>
        </w:rPr>
        <w:t>6.</w:t>
      </w:r>
      <w:r>
        <w:rPr>
          <w:lang w:val="fr-FR"/>
        </w:rPr>
        <w:tab/>
        <w:t>Par conséquent, l’expert de la Chine propose de remplacer l’expression « poudres métalliques » « poudres de métaux » et « poudres de métal » par « poudres de métaux ou d’alliages métalliques » dans les textes relatifs à l’épreuve N.1 et aux critères de classement correspondants.</w:t>
      </w:r>
    </w:p>
    <w:p w14:paraId="2385CEBA" w14:textId="77777777" w:rsidR="00B32DF4" w:rsidRPr="00F10D31" w:rsidRDefault="00B32DF4" w:rsidP="00B32DF4">
      <w:pPr>
        <w:pStyle w:val="SingleTxtG"/>
        <w:rPr>
          <w:lang w:val="fr-FR"/>
        </w:rPr>
      </w:pPr>
      <w:r>
        <w:rPr>
          <w:lang w:val="fr-FR"/>
        </w:rPr>
        <w:t>7.</w:t>
      </w:r>
      <w:r>
        <w:rPr>
          <w:lang w:val="fr-FR"/>
        </w:rPr>
        <w:tab/>
        <w:t>Nous tenons à remercier le Président du Groupe de travail des explosifs pour son aide dans l’élaboration de la présente proposition.</w:t>
      </w:r>
    </w:p>
    <w:p w14:paraId="5F5889F0" w14:textId="76DF4474" w:rsidR="00B32DF4" w:rsidRPr="00F10D31" w:rsidRDefault="00B32DF4" w:rsidP="00DD247D">
      <w:pPr>
        <w:pStyle w:val="H1G"/>
        <w:rPr>
          <w:i/>
          <w:lang w:val="fr-FR"/>
        </w:rPr>
      </w:pPr>
      <w:r>
        <w:rPr>
          <w:lang w:val="fr-FR"/>
        </w:rPr>
        <w:tab/>
      </w:r>
      <w:r>
        <w:rPr>
          <w:lang w:val="fr-FR"/>
        </w:rPr>
        <w:tab/>
        <w:t>Proposition 1</w:t>
      </w:r>
      <w:r w:rsidR="00DD247D">
        <w:rPr>
          <w:lang w:val="fr-FR"/>
        </w:rPr>
        <w:t> </w:t>
      </w:r>
      <w:r>
        <w:rPr>
          <w:lang w:val="fr-FR"/>
        </w:rPr>
        <w:t xml:space="preserve">: modifications à apporter au Manuel d’épreuves </w:t>
      </w:r>
      <w:r w:rsidR="00DD247D">
        <w:rPr>
          <w:lang w:val="fr-FR"/>
        </w:rPr>
        <w:br/>
      </w:r>
      <w:r>
        <w:rPr>
          <w:lang w:val="fr-FR"/>
        </w:rPr>
        <w:t>et de critères</w:t>
      </w:r>
    </w:p>
    <w:p w14:paraId="62B0AA41" w14:textId="77777777" w:rsidR="00B32DF4" w:rsidRPr="00F10D31" w:rsidRDefault="00B32DF4" w:rsidP="00B32DF4">
      <w:pPr>
        <w:pStyle w:val="SingleTxtG"/>
        <w:rPr>
          <w:lang w:val="fr-FR"/>
        </w:rPr>
      </w:pPr>
      <w:r>
        <w:rPr>
          <w:lang w:val="fr-FR"/>
        </w:rPr>
        <w:t>8.</w:t>
      </w:r>
      <w:r>
        <w:rPr>
          <w:lang w:val="fr-FR"/>
        </w:rPr>
        <w:tab/>
      </w:r>
      <w:r w:rsidRPr="003A5B71">
        <w:rPr>
          <w:lang w:val="fr-FR"/>
        </w:rPr>
        <w:t>Les modifications qu</w:t>
      </w:r>
      <w:r>
        <w:rPr>
          <w:lang w:val="fr-FR"/>
        </w:rPr>
        <w:t>’</w:t>
      </w:r>
      <w:r w:rsidRPr="003A5B71">
        <w:rPr>
          <w:lang w:val="fr-FR"/>
        </w:rPr>
        <w:t>il est proposé d</w:t>
      </w:r>
      <w:r>
        <w:rPr>
          <w:lang w:val="fr-FR"/>
        </w:rPr>
        <w:t>’</w:t>
      </w:r>
      <w:r w:rsidRPr="003A5B71">
        <w:rPr>
          <w:lang w:val="fr-FR"/>
        </w:rPr>
        <w:t xml:space="preserve">apporter figurent en </w:t>
      </w:r>
      <w:r w:rsidRPr="003A5B71">
        <w:rPr>
          <w:b/>
          <w:bCs/>
          <w:u w:val="single"/>
          <w:lang w:val="fr-FR"/>
        </w:rPr>
        <w:t>caractères gras soulignés</w:t>
      </w:r>
      <w:r w:rsidRPr="003A5B71">
        <w:rPr>
          <w:lang w:val="fr-FR"/>
        </w:rPr>
        <w:t xml:space="preserve"> pour les ajouts et </w:t>
      </w:r>
      <w:r w:rsidRPr="003A5B71">
        <w:rPr>
          <w:strike/>
          <w:lang w:val="fr-FR"/>
        </w:rPr>
        <w:t>biffés</w:t>
      </w:r>
      <w:r w:rsidRPr="003A5B71">
        <w:rPr>
          <w:lang w:val="fr-FR"/>
        </w:rPr>
        <w:t xml:space="preserve"> pour les suppressions.</w:t>
      </w:r>
    </w:p>
    <w:p w14:paraId="2E80794C" w14:textId="77777777" w:rsidR="00B32DF4" w:rsidRDefault="00B32DF4" w:rsidP="00B32DF4">
      <w:pPr>
        <w:pStyle w:val="SingleTxtG"/>
        <w:rPr>
          <w:lang w:val="fr-FR"/>
        </w:rPr>
      </w:pPr>
      <w:r w:rsidRPr="003A5B71">
        <w:rPr>
          <w:lang w:val="fr-FR"/>
        </w:rPr>
        <w:t>9.</w:t>
      </w:r>
      <w:r w:rsidRPr="003A5B71">
        <w:rPr>
          <w:lang w:val="fr-FR"/>
        </w:rPr>
        <w:tab/>
      </w:r>
      <w:r>
        <w:rPr>
          <w:lang w:val="fr-FR"/>
        </w:rPr>
        <w:t>Modifier le titre de la figure 33.2.3 comme suit :</w:t>
      </w:r>
    </w:p>
    <w:p w14:paraId="11BA31DA" w14:textId="77777777" w:rsidR="00B32DF4" w:rsidRDefault="00B32DF4" w:rsidP="00A70888">
      <w:pPr>
        <w:pStyle w:val="SingleTxtG"/>
        <w:ind w:left="1701"/>
        <w:rPr>
          <w:i/>
          <w:iCs/>
          <w:lang w:val="fr-FR"/>
        </w:rPr>
      </w:pPr>
      <w:r>
        <w:rPr>
          <w:lang w:val="fr-FR"/>
        </w:rPr>
        <w:t>« </w:t>
      </w:r>
      <w:r w:rsidRPr="00F5644D">
        <w:rPr>
          <w:i/>
          <w:iCs/>
          <w:lang w:val="fr-FR"/>
        </w:rPr>
        <w:t>Figure 33.2.3 :</w:t>
      </w:r>
      <w:r>
        <w:rPr>
          <w:i/>
          <w:iCs/>
          <w:lang w:val="fr-FR"/>
        </w:rPr>
        <w:t xml:space="preserve"> Diagramme de décision pour le classement des matières inflammables, à l’exception des </w:t>
      </w:r>
      <w:r w:rsidRPr="00F5644D">
        <w:rPr>
          <w:i/>
          <w:iCs/>
          <w:strike/>
          <w:lang w:val="fr-FR"/>
        </w:rPr>
        <w:t>poudres métalliques</w:t>
      </w:r>
      <w:r>
        <w:rPr>
          <w:i/>
          <w:iCs/>
          <w:lang w:val="fr-FR"/>
        </w:rPr>
        <w:t xml:space="preserve"> </w:t>
      </w:r>
      <w:r w:rsidRPr="00F5644D">
        <w:rPr>
          <w:b/>
          <w:bCs/>
          <w:i/>
          <w:iCs/>
          <w:u w:val="single"/>
          <w:lang w:val="fr-FR"/>
        </w:rPr>
        <w:t>poudres de métaux ou d</w:t>
      </w:r>
      <w:r>
        <w:rPr>
          <w:b/>
          <w:bCs/>
          <w:i/>
          <w:iCs/>
          <w:u w:val="single"/>
          <w:lang w:val="fr-FR"/>
        </w:rPr>
        <w:t>’</w:t>
      </w:r>
      <w:r w:rsidRPr="00F5644D">
        <w:rPr>
          <w:b/>
          <w:bCs/>
          <w:i/>
          <w:iCs/>
          <w:u w:val="single"/>
          <w:lang w:val="fr-FR"/>
        </w:rPr>
        <w:t>alliages métalliques</w:t>
      </w:r>
      <w:r>
        <w:rPr>
          <w:i/>
          <w:iCs/>
          <w:lang w:val="fr-FR"/>
        </w:rPr>
        <w:t> </w:t>
      </w:r>
      <w:r w:rsidRPr="00DD247D">
        <w:rPr>
          <w:lang w:val="fr-FR"/>
        </w:rPr>
        <w:t>»</w:t>
      </w:r>
    </w:p>
    <w:p w14:paraId="2F17387C" w14:textId="0340040A" w:rsidR="00B32DF4" w:rsidRPr="00F10D31" w:rsidRDefault="00B32DF4" w:rsidP="00B32DF4">
      <w:pPr>
        <w:pStyle w:val="SingleTxtG"/>
        <w:rPr>
          <w:lang w:val="fr-FR"/>
        </w:rPr>
      </w:pPr>
      <w:r w:rsidRPr="003A5B71">
        <w:rPr>
          <w:lang w:val="fr-FR"/>
        </w:rPr>
        <w:t>10.</w:t>
      </w:r>
      <w:r w:rsidRPr="003A5B71">
        <w:rPr>
          <w:lang w:val="fr-FR"/>
        </w:rPr>
        <w:tab/>
        <w:t>Modifier le 33.2.4.3.1 comme suit</w:t>
      </w:r>
      <w:r w:rsidR="00A70888">
        <w:rPr>
          <w:lang w:val="fr-FR"/>
        </w:rPr>
        <w:t> </w:t>
      </w:r>
      <w:r w:rsidRPr="003A5B71">
        <w:rPr>
          <w:lang w:val="fr-FR"/>
        </w:rPr>
        <w:t>:</w:t>
      </w:r>
    </w:p>
    <w:p w14:paraId="28DEC10B" w14:textId="3B115908" w:rsidR="00B32DF4" w:rsidRPr="00F10D31" w:rsidRDefault="00B32DF4" w:rsidP="00A70888">
      <w:pPr>
        <w:pStyle w:val="SingleTxtG"/>
        <w:ind w:left="2268" w:hanging="1134"/>
        <w:rPr>
          <w:iCs/>
          <w:lang w:val="fr-FR"/>
        </w:rPr>
      </w:pPr>
      <w:r w:rsidRPr="003A5B71">
        <w:rPr>
          <w:lang w:val="fr-FR"/>
        </w:rPr>
        <w:t>« 33.2.4.3.1</w:t>
      </w:r>
      <w:r w:rsidRPr="003A5B71">
        <w:rPr>
          <w:lang w:val="fr-FR"/>
        </w:rPr>
        <w:tab/>
        <w:t>Sur une plaque non imprégnable, de faible conductivité thermique et maintenue à la température ambiante, on dépose un échantillon de la matière sous sa forme commerciale, en un cordon ou une traînée de poudre continus d</w:t>
      </w:r>
      <w:r>
        <w:rPr>
          <w:lang w:val="fr-FR"/>
        </w:rPr>
        <w:t>’</w:t>
      </w:r>
      <w:r w:rsidRPr="003A5B71">
        <w:rPr>
          <w:lang w:val="fr-FR"/>
        </w:rPr>
        <w:t>environ 250 mm de long sur 20 mm de large et 10 mm de haut. Une flamme chaude (température minimale 1 000 °C) produite par un brûleur à gaz (diamètre minimal 5 mm) est appliquée à une extrémité de l</w:t>
      </w:r>
      <w:r>
        <w:rPr>
          <w:lang w:val="fr-FR"/>
        </w:rPr>
        <w:t>’</w:t>
      </w:r>
      <w:r w:rsidRPr="003A5B71">
        <w:rPr>
          <w:lang w:val="fr-FR"/>
        </w:rPr>
        <w:t>échantillon jusqu</w:t>
      </w:r>
      <w:r>
        <w:rPr>
          <w:lang w:val="fr-FR"/>
        </w:rPr>
        <w:t>’</w:t>
      </w:r>
      <w:r w:rsidRPr="003A5B71">
        <w:rPr>
          <w:lang w:val="fr-FR"/>
        </w:rPr>
        <w:t>à ce que la matière s</w:t>
      </w:r>
      <w:r>
        <w:rPr>
          <w:lang w:val="fr-FR"/>
        </w:rPr>
        <w:t>’</w:t>
      </w:r>
      <w:r w:rsidRPr="003A5B71">
        <w:rPr>
          <w:lang w:val="fr-FR"/>
        </w:rPr>
        <w:t>enflamme, mais pendant une durée maximale de 2</w:t>
      </w:r>
      <w:r w:rsidR="00A70888">
        <w:rPr>
          <w:lang w:val="fr-FR"/>
        </w:rPr>
        <w:t> </w:t>
      </w:r>
      <w:r w:rsidRPr="003A5B71">
        <w:rPr>
          <w:lang w:val="fr-FR"/>
        </w:rPr>
        <w:t>min (ou de 5 min pour les poudres de métaux ou d</w:t>
      </w:r>
      <w:r>
        <w:rPr>
          <w:lang w:val="fr-FR"/>
        </w:rPr>
        <w:t>’</w:t>
      </w:r>
      <w:r w:rsidRPr="003A5B71">
        <w:rPr>
          <w:lang w:val="fr-FR"/>
        </w:rPr>
        <w:t xml:space="preserve">alliages </w:t>
      </w:r>
      <w:r w:rsidRPr="00F5644D">
        <w:rPr>
          <w:strike/>
          <w:lang w:val="fr-FR"/>
        </w:rPr>
        <w:t>de métaux</w:t>
      </w:r>
      <w:r>
        <w:rPr>
          <w:lang w:val="fr-FR"/>
        </w:rPr>
        <w:t xml:space="preserve"> </w:t>
      </w:r>
      <w:r>
        <w:rPr>
          <w:b/>
          <w:bCs/>
          <w:u w:val="single"/>
          <w:lang w:val="fr-FR"/>
        </w:rPr>
        <w:t>métalliques</w:t>
      </w:r>
      <w:r w:rsidRPr="003A5B71">
        <w:rPr>
          <w:lang w:val="fr-FR"/>
        </w:rPr>
        <w:t>). On note si la combustion s</w:t>
      </w:r>
      <w:r>
        <w:rPr>
          <w:lang w:val="fr-FR"/>
        </w:rPr>
        <w:t>’</w:t>
      </w:r>
      <w:r w:rsidRPr="003A5B71">
        <w:rPr>
          <w:lang w:val="fr-FR"/>
        </w:rPr>
        <w:t>est propagée sur une longueur de 200</w:t>
      </w:r>
      <w:r w:rsidR="00A70888">
        <w:rPr>
          <w:lang w:val="fr-FR"/>
        </w:rPr>
        <w:t> </w:t>
      </w:r>
      <w:r w:rsidRPr="003A5B71">
        <w:rPr>
          <w:lang w:val="fr-FR"/>
        </w:rPr>
        <w:t>mm pendant la durée d</w:t>
      </w:r>
      <w:r>
        <w:rPr>
          <w:lang w:val="fr-FR"/>
        </w:rPr>
        <w:t>’</w:t>
      </w:r>
      <w:r w:rsidRPr="003A5B71">
        <w:rPr>
          <w:lang w:val="fr-FR"/>
        </w:rPr>
        <w:t xml:space="preserve">épreuve de 2 min (ou de 20 min pour les </w:t>
      </w:r>
      <w:r w:rsidRPr="003A5B71">
        <w:rPr>
          <w:strike/>
          <w:lang w:val="fr-FR"/>
        </w:rPr>
        <w:t>poudres métalliques</w:t>
      </w:r>
      <w:r w:rsidRPr="003A5B71">
        <w:rPr>
          <w:lang w:val="fr-FR"/>
        </w:rPr>
        <w:t xml:space="preserve"> </w:t>
      </w:r>
      <w:r w:rsidRPr="003A5B71">
        <w:rPr>
          <w:b/>
          <w:bCs/>
          <w:u w:val="single"/>
          <w:lang w:val="fr-FR"/>
        </w:rPr>
        <w:t>poudres de métaux ou d</w:t>
      </w:r>
      <w:r>
        <w:rPr>
          <w:b/>
          <w:bCs/>
          <w:u w:val="single"/>
          <w:lang w:val="fr-FR"/>
        </w:rPr>
        <w:t>’</w:t>
      </w:r>
      <w:r w:rsidRPr="003A5B71">
        <w:rPr>
          <w:b/>
          <w:bCs/>
          <w:u w:val="single"/>
          <w:lang w:val="fr-FR"/>
        </w:rPr>
        <w:t>alliages métalliques</w:t>
      </w:r>
      <w:r w:rsidRPr="003A5B71">
        <w:rPr>
          <w:lang w:val="fr-FR"/>
        </w:rPr>
        <w:t>). S</w:t>
      </w:r>
      <w:r>
        <w:rPr>
          <w:lang w:val="fr-FR"/>
        </w:rPr>
        <w:t>’</w:t>
      </w:r>
      <w:r w:rsidRPr="003A5B71">
        <w:rPr>
          <w:lang w:val="fr-FR"/>
        </w:rPr>
        <w:t>il n</w:t>
      </w:r>
      <w:r>
        <w:rPr>
          <w:lang w:val="fr-FR"/>
        </w:rPr>
        <w:t>’</w:t>
      </w:r>
      <w:r w:rsidRPr="003A5B71">
        <w:rPr>
          <w:lang w:val="fr-FR"/>
        </w:rPr>
        <w:t>y a pas inflammation de la matière, ni propagation de la combustion avec ou sans flamme sur les 200 mm de mesure pendant la durée d</w:t>
      </w:r>
      <w:r>
        <w:rPr>
          <w:lang w:val="fr-FR"/>
        </w:rPr>
        <w:t>’</w:t>
      </w:r>
      <w:r w:rsidRPr="003A5B71">
        <w:rPr>
          <w:lang w:val="fr-FR"/>
        </w:rPr>
        <w:t>épreuve de 2 min (ou de 20</w:t>
      </w:r>
      <w:r w:rsidR="00A70888">
        <w:rPr>
          <w:lang w:val="fr-FR"/>
        </w:rPr>
        <w:t> </w:t>
      </w:r>
      <w:r w:rsidRPr="003A5B71">
        <w:rPr>
          <w:lang w:val="fr-FR"/>
        </w:rPr>
        <w:t>min selon le cas), la matière n</w:t>
      </w:r>
      <w:r>
        <w:rPr>
          <w:lang w:val="fr-FR"/>
        </w:rPr>
        <w:t>’</w:t>
      </w:r>
      <w:r w:rsidRPr="003A5B71">
        <w:rPr>
          <w:lang w:val="fr-FR"/>
        </w:rPr>
        <w:t>est pas à classer dans la catégorie des matières solides inflammables et n</w:t>
      </w:r>
      <w:r>
        <w:rPr>
          <w:lang w:val="fr-FR"/>
        </w:rPr>
        <w:t>’</w:t>
      </w:r>
      <w:r w:rsidRPr="003A5B71">
        <w:rPr>
          <w:lang w:val="fr-FR"/>
        </w:rPr>
        <w:t>a pas à être soumise à d</w:t>
      </w:r>
      <w:r>
        <w:rPr>
          <w:lang w:val="fr-FR"/>
        </w:rPr>
        <w:t>’</w:t>
      </w:r>
      <w:r w:rsidRPr="003A5B71">
        <w:rPr>
          <w:lang w:val="fr-FR"/>
        </w:rPr>
        <w:t>autres épreuves. S</w:t>
      </w:r>
      <w:r>
        <w:rPr>
          <w:lang w:val="fr-FR"/>
        </w:rPr>
        <w:t>’</w:t>
      </w:r>
      <w:r w:rsidRPr="003A5B71">
        <w:rPr>
          <w:lang w:val="fr-FR"/>
        </w:rPr>
        <w:t>il y a propagation de la combustion sur les 200 mm de mesure en moins de 2</w:t>
      </w:r>
      <w:r w:rsidR="00A70888">
        <w:rPr>
          <w:lang w:val="fr-FR"/>
        </w:rPr>
        <w:t> </w:t>
      </w:r>
      <w:r w:rsidRPr="003A5B71">
        <w:rPr>
          <w:lang w:val="fr-FR"/>
        </w:rPr>
        <w:t xml:space="preserve">min, ou respectivement en moins de 20 min pour les </w:t>
      </w:r>
      <w:r w:rsidRPr="003A5B71">
        <w:rPr>
          <w:strike/>
          <w:lang w:val="fr-FR"/>
        </w:rPr>
        <w:t>poudres métalliques</w:t>
      </w:r>
      <w:r w:rsidRPr="003A5B71">
        <w:rPr>
          <w:lang w:val="fr-FR"/>
        </w:rPr>
        <w:t xml:space="preserve"> </w:t>
      </w:r>
      <w:r w:rsidRPr="003A5B71">
        <w:rPr>
          <w:b/>
          <w:bCs/>
          <w:u w:val="single"/>
          <w:lang w:val="fr-FR"/>
        </w:rPr>
        <w:t>poudres de métaux ou d</w:t>
      </w:r>
      <w:r>
        <w:rPr>
          <w:b/>
          <w:bCs/>
          <w:u w:val="single"/>
          <w:lang w:val="fr-FR"/>
        </w:rPr>
        <w:t>’</w:t>
      </w:r>
      <w:r w:rsidRPr="003A5B71">
        <w:rPr>
          <w:b/>
          <w:bCs/>
          <w:u w:val="single"/>
          <w:lang w:val="fr-FR"/>
        </w:rPr>
        <w:t>alliages métalliques</w:t>
      </w:r>
      <w:r w:rsidRPr="003A5B71">
        <w:rPr>
          <w:lang w:val="fr-FR"/>
        </w:rPr>
        <w:t>, la matière doit être soumise au programme d</w:t>
      </w:r>
      <w:r>
        <w:rPr>
          <w:lang w:val="fr-FR"/>
        </w:rPr>
        <w:t>’</w:t>
      </w:r>
      <w:r w:rsidRPr="003A5B71">
        <w:rPr>
          <w:lang w:val="fr-FR"/>
        </w:rPr>
        <w:t>épreuve complet décrit en 33.2.4.3.2. ».</w:t>
      </w:r>
    </w:p>
    <w:p w14:paraId="04A08E3A" w14:textId="1C62626C" w:rsidR="00B32DF4" w:rsidRPr="00F10D31" w:rsidRDefault="00B32DF4" w:rsidP="00B32DF4">
      <w:pPr>
        <w:pStyle w:val="SingleTxtG"/>
        <w:rPr>
          <w:lang w:val="fr-FR"/>
        </w:rPr>
      </w:pPr>
      <w:r w:rsidRPr="003A5B71">
        <w:rPr>
          <w:lang w:val="fr-FR"/>
        </w:rPr>
        <w:t>11.</w:t>
      </w:r>
      <w:r w:rsidRPr="003A5B71">
        <w:rPr>
          <w:lang w:val="fr-FR"/>
        </w:rPr>
        <w:tab/>
        <w:t>Modifier la première phrase du 33.2.4.3.2.2 comme suit</w:t>
      </w:r>
      <w:r w:rsidR="00A70888">
        <w:rPr>
          <w:lang w:val="fr-FR"/>
        </w:rPr>
        <w:t> </w:t>
      </w:r>
      <w:r w:rsidRPr="003A5B71">
        <w:rPr>
          <w:lang w:val="fr-FR"/>
        </w:rPr>
        <w:t>:</w:t>
      </w:r>
    </w:p>
    <w:p w14:paraId="1E7D08A3" w14:textId="49A28E94" w:rsidR="00B32DF4" w:rsidRPr="00F10D31" w:rsidRDefault="00B32DF4" w:rsidP="00A70888">
      <w:pPr>
        <w:pStyle w:val="SingleTxtG"/>
        <w:ind w:left="2268" w:hanging="1134"/>
        <w:rPr>
          <w:iCs/>
          <w:lang w:val="fr-FR"/>
        </w:rPr>
      </w:pPr>
      <w:r w:rsidRPr="003A5B71">
        <w:rPr>
          <w:lang w:val="fr-FR"/>
        </w:rPr>
        <w:t>« 33.2.4.3.2.2</w:t>
      </w:r>
      <w:r w:rsidRPr="003A5B71">
        <w:rPr>
          <w:lang w:val="fr-FR"/>
        </w:rPr>
        <w:tab/>
        <w:t xml:space="preserve">Pour les matières autres que les </w:t>
      </w:r>
      <w:r w:rsidRPr="003A5B71">
        <w:rPr>
          <w:strike/>
          <w:lang w:val="fr-FR"/>
        </w:rPr>
        <w:t>poudres métalliques</w:t>
      </w:r>
      <w:r w:rsidRPr="003A5B71">
        <w:rPr>
          <w:lang w:val="fr-FR"/>
        </w:rPr>
        <w:t xml:space="preserve"> </w:t>
      </w:r>
      <w:r w:rsidRPr="003A5B71">
        <w:rPr>
          <w:b/>
          <w:bCs/>
          <w:u w:val="single"/>
          <w:lang w:val="fr-FR"/>
        </w:rPr>
        <w:t>poudres de métaux ou d</w:t>
      </w:r>
      <w:r>
        <w:rPr>
          <w:b/>
          <w:bCs/>
          <w:u w:val="single"/>
          <w:lang w:val="fr-FR"/>
        </w:rPr>
        <w:t>’</w:t>
      </w:r>
      <w:r w:rsidRPr="003A5B71">
        <w:rPr>
          <w:b/>
          <w:bCs/>
          <w:u w:val="single"/>
          <w:lang w:val="fr-FR"/>
        </w:rPr>
        <w:t>alliages métalliques</w:t>
      </w:r>
      <w:r w:rsidRPr="003A5B71">
        <w:rPr>
          <w:lang w:val="fr-FR"/>
        </w:rPr>
        <w:t xml:space="preserve">, </w:t>
      </w:r>
      <w:proofErr w:type="gramStart"/>
      <w:r w:rsidRPr="003A5B71">
        <w:rPr>
          <w:lang w:val="fr-FR"/>
        </w:rPr>
        <w:t>on verse goutte</w:t>
      </w:r>
      <w:proofErr w:type="gramEnd"/>
      <w:r w:rsidRPr="003A5B71">
        <w:rPr>
          <w:lang w:val="fr-FR"/>
        </w:rPr>
        <w:t xml:space="preserve"> à goutte 1 ml d</w:t>
      </w:r>
      <w:r>
        <w:rPr>
          <w:lang w:val="fr-FR"/>
        </w:rPr>
        <w:t>’</w:t>
      </w:r>
      <w:r w:rsidRPr="003A5B71">
        <w:rPr>
          <w:lang w:val="fr-FR"/>
        </w:rPr>
        <w:t xml:space="preserve">une solution </w:t>
      </w:r>
      <w:proofErr w:type="spellStart"/>
      <w:r w:rsidRPr="003A5B71">
        <w:rPr>
          <w:lang w:val="fr-FR"/>
        </w:rPr>
        <w:t>humidifiante</w:t>
      </w:r>
      <w:proofErr w:type="spellEnd"/>
      <w:r w:rsidRPr="003A5B71">
        <w:rPr>
          <w:lang w:val="fr-FR"/>
        </w:rPr>
        <w:t xml:space="preserve"> sur l</w:t>
      </w:r>
      <w:r>
        <w:rPr>
          <w:lang w:val="fr-FR"/>
        </w:rPr>
        <w:t>’</w:t>
      </w:r>
      <w:r w:rsidRPr="003A5B71">
        <w:rPr>
          <w:lang w:val="fr-FR"/>
        </w:rPr>
        <w:t>échantillon, à 30-40 mm au-delà de la zone de mesure de 100</w:t>
      </w:r>
      <w:r w:rsidR="00A70888">
        <w:rPr>
          <w:lang w:val="fr-FR"/>
        </w:rPr>
        <w:t> </w:t>
      </w:r>
      <w:proofErr w:type="spellStart"/>
      <w:r w:rsidRPr="003A5B71">
        <w:rPr>
          <w:lang w:val="fr-FR"/>
        </w:rPr>
        <w:t>mm.</w:t>
      </w:r>
      <w:proofErr w:type="spellEnd"/>
      <w:r w:rsidRPr="003A5B71">
        <w:rPr>
          <w:lang w:val="fr-FR"/>
        </w:rPr>
        <w:t xml:space="preserve"> ». </w:t>
      </w:r>
    </w:p>
    <w:p w14:paraId="3DC10638" w14:textId="77777777" w:rsidR="00B32DF4" w:rsidRPr="00F10D31" w:rsidRDefault="00B32DF4" w:rsidP="00B32DF4">
      <w:pPr>
        <w:pStyle w:val="SingleTxtG"/>
        <w:rPr>
          <w:lang w:val="fr-FR"/>
        </w:rPr>
      </w:pPr>
      <w:r w:rsidRPr="003A5B71">
        <w:rPr>
          <w:lang w:val="fr-FR"/>
        </w:rPr>
        <w:t>12.</w:t>
      </w:r>
      <w:r w:rsidRPr="003A5B71">
        <w:rPr>
          <w:lang w:val="fr-FR"/>
        </w:rPr>
        <w:tab/>
        <w:t>Modifier la troisième phrase du 33.2.4.3.2.3 comme suit :</w:t>
      </w:r>
    </w:p>
    <w:p w14:paraId="3118643E" w14:textId="12347156" w:rsidR="00B32DF4" w:rsidRPr="00F10D31" w:rsidRDefault="00B32DF4" w:rsidP="00A70888">
      <w:pPr>
        <w:pStyle w:val="SingleTxtG"/>
        <w:ind w:left="1701"/>
        <w:rPr>
          <w:iCs/>
          <w:lang w:val="fr-FR"/>
        </w:rPr>
      </w:pPr>
      <w:r w:rsidRPr="003A5B71">
        <w:rPr>
          <w:lang w:val="fr-FR"/>
        </w:rPr>
        <w:t xml:space="preserve">« Pour les matières autres que les </w:t>
      </w:r>
      <w:r w:rsidRPr="003A5B71">
        <w:rPr>
          <w:strike/>
          <w:lang w:val="fr-FR"/>
        </w:rPr>
        <w:t>poudres métalliques</w:t>
      </w:r>
      <w:r w:rsidRPr="003A5B71">
        <w:rPr>
          <w:lang w:val="fr-FR"/>
        </w:rPr>
        <w:t xml:space="preserve"> </w:t>
      </w:r>
      <w:r w:rsidRPr="003A5B71">
        <w:rPr>
          <w:b/>
          <w:bCs/>
          <w:u w:val="single"/>
          <w:lang w:val="fr-FR"/>
        </w:rPr>
        <w:t>poudres de métaux ou d</w:t>
      </w:r>
      <w:r>
        <w:rPr>
          <w:b/>
          <w:bCs/>
          <w:u w:val="single"/>
          <w:lang w:val="fr-FR"/>
        </w:rPr>
        <w:t>’</w:t>
      </w:r>
      <w:r w:rsidRPr="003A5B71">
        <w:rPr>
          <w:b/>
          <w:bCs/>
          <w:u w:val="single"/>
          <w:lang w:val="fr-FR"/>
        </w:rPr>
        <w:t>alliages métalliques</w:t>
      </w:r>
      <w:r w:rsidRPr="003A5B71">
        <w:rPr>
          <w:lang w:val="fr-FR"/>
        </w:rPr>
        <w:t xml:space="preserve">, on note si la zone humidifiée a arrêté ou non la propagation de la flamme pendant au moins 4 min. ». </w:t>
      </w:r>
    </w:p>
    <w:p w14:paraId="0FCA6675" w14:textId="71813C68" w:rsidR="00B32DF4" w:rsidRPr="00F10D31" w:rsidRDefault="00B32DF4" w:rsidP="00A70888">
      <w:pPr>
        <w:pStyle w:val="SingleTxtG"/>
        <w:keepNext/>
        <w:rPr>
          <w:lang w:val="fr-FR"/>
        </w:rPr>
      </w:pPr>
      <w:r w:rsidRPr="003A5B71">
        <w:rPr>
          <w:lang w:val="fr-FR"/>
        </w:rPr>
        <w:lastRenderedPageBreak/>
        <w:t>13.</w:t>
      </w:r>
      <w:r w:rsidRPr="003A5B71">
        <w:rPr>
          <w:lang w:val="fr-FR"/>
        </w:rPr>
        <w:tab/>
        <w:t>Modifier la première phrase du 33.2.4.4.2 comme suit</w:t>
      </w:r>
      <w:r w:rsidR="00A70888">
        <w:rPr>
          <w:lang w:val="fr-FR"/>
        </w:rPr>
        <w:t> </w:t>
      </w:r>
      <w:r w:rsidRPr="003A5B71">
        <w:rPr>
          <w:lang w:val="fr-FR"/>
        </w:rPr>
        <w:t>:</w:t>
      </w:r>
    </w:p>
    <w:p w14:paraId="62C9585D" w14:textId="05F751CE" w:rsidR="00B32DF4" w:rsidRPr="00F10D31" w:rsidRDefault="00B32DF4" w:rsidP="00A70888">
      <w:pPr>
        <w:pStyle w:val="SingleTxtG"/>
        <w:ind w:left="2268" w:hanging="1134"/>
        <w:rPr>
          <w:iCs/>
          <w:lang w:val="fr-FR"/>
        </w:rPr>
      </w:pPr>
      <w:r w:rsidRPr="003A5B71">
        <w:rPr>
          <w:lang w:val="fr-FR"/>
        </w:rPr>
        <w:t>« 33.2.4.4.2</w:t>
      </w:r>
      <w:r w:rsidRPr="003A5B71">
        <w:rPr>
          <w:lang w:val="fr-FR"/>
        </w:rPr>
        <w:tab/>
        <w:t xml:space="preserve">Les matières solides inflammables (autres que les </w:t>
      </w:r>
      <w:r w:rsidRPr="003A5B71">
        <w:rPr>
          <w:strike/>
          <w:lang w:val="fr-FR"/>
        </w:rPr>
        <w:t>poudres métalliques</w:t>
      </w:r>
      <w:r w:rsidRPr="003A5B71">
        <w:rPr>
          <w:u w:val="single"/>
          <w:lang w:val="fr-FR"/>
        </w:rPr>
        <w:t xml:space="preserve"> </w:t>
      </w:r>
      <w:r w:rsidRPr="003A5B71">
        <w:rPr>
          <w:b/>
          <w:bCs/>
          <w:u w:val="single"/>
          <w:lang w:val="fr-FR"/>
        </w:rPr>
        <w:t>poudres de métaux ou d</w:t>
      </w:r>
      <w:r>
        <w:rPr>
          <w:b/>
          <w:bCs/>
          <w:u w:val="single"/>
          <w:lang w:val="fr-FR"/>
        </w:rPr>
        <w:t>’</w:t>
      </w:r>
      <w:r w:rsidRPr="003A5B71">
        <w:rPr>
          <w:b/>
          <w:bCs/>
          <w:u w:val="single"/>
          <w:lang w:val="fr-FR"/>
        </w:rPr>
        <w:t>alliages métalliques</w:t>
      </w:r>
      <w:r w:rsidRPr="003A5B71">
        <w:rPr>
          <w:lang w:val="fr-FR"/>
        </w:rPr>
        <w:t>) doivent être affectées au groupe d</w:t>
      </w:r>
      <w:r>
        <w:rPr>
          <w:lang w:val="fr-FR"/>
        </w:rPr>
        <w:t>’</w:t>
      </w:r>
      <w:r w:rsidRPr="003A5B71">
        <w:rPr>
          <w:lang w:val="fr-FR"/>
        </w:rPr>
        <w:t>emballage II/à la catégorie 1 si la durée de combustion est inférieure à 45 s et si la flamme dépasse la zone humidifiée. ».</w:t>
      </w:r>
    </w:p>
    <w:p w14:paraId="614FDB06" w14:textId="77777777" w:rsidR="00B32DF4" w:rsidRPr="00F10D31" w:rsidRDefault="00B32DF4" w:rsidP="00B32DF4">
      <w:pPr>
        <w:pStyle w:val="SingleTxtG"/>
        <w:rPr>
          <w:lang w:val="fr-FR"/>
        </w:rPr>
      </w:pPr>
      <w:r w:rsidRPr="003A5B71">
        <w:rPr>
          <w:lang w:val="fr-FR"/>
        </w:rPr>
        <w:t>14.</w:t>
      </w:r>
      <w:r w:rsidRPr="003A5B71">
        <w:rPr>
          <w:lang w:val="fr-FR"/>
        </w:rPr>
        <w:tab/>
        <w:t>Modifier le 33.2.4.4.3 comme suit :</w:t>
      </w:r>
    </w:p>
    <w:p w14:paraId="4F925CF4" w14:textId="00ECB568" w:rsidR="00B32DF4" w:rsidRPr="00F10D31" w:rsidRDefault="00B32DF4" w:rsidP="00A70888">
      <w:pPr>
        <w:pStyle w:val="SingleTxtG"/>
        <w:ind w:left="2268" w:hanging="1134"/>
        <w:rPr>
          <w:iCs/>
          <w:sz w:val="18"/>
          <w:szCs w:val="18"/>
          <w:lang w:val="fr-FR"/>
        </w:rPr>
      </w:pPr>
      <w:r w:rsidRPr="00934A53">
        <w:rPr>
          <w:szCs w:val="18"/>
          <w:lang w:val="fr-FR"/>
        </w:rPr>
        <w:t>« 33.2.4.4.3</w:t>
      </w:r>
      <w:r w:rsidRPr="00934A53">
        <w:rPr>
          <w:szCs w:val="18"/>
          <w:lang w:val="fr-FR"/>
        </w:rPr>
        <w:tab/>
        <w:t xml:space="preserve">Les matières solides inflammables (autres que les </w:t>
      </w:r>
      <w:r w:rsidRPr="00934A53">
        <w:rPr>
          <w:strike/>
          <w:szCs w:val="18"/>
          <w:lang w:val="fr-FR"/>
        </w:rPr>
        <w:t>poudres métalliques</w:t>
      </w:r>
      <w:r w:rsidRPr="00934A53">
        <w:rPr>
          <w:szCs w:val="18"/>
          <w:lang w:val="fr-FR"/>
        </w:rPr>
        <w:t xml:space="preserve"> </w:t>
      </w:r>
      <w:r w:rsidRPr="00934A53">
        <w:rPr>
          <w:b/>
          <w:bCs/>
          <w:szCs w:val="18"/>
          <w:u w:val="single"/>
          <w:lang w:val="fr-FR"/>
        </w:rPr>
        <w:t>poudres de métaux ou d</w:t>
      </w:r>
      <w:r>
        <w:rPr>
          <w:b/>
          <w:bCs/>
          <w:szCs w:val="18"/>
          <w:u w:val="single"/>
          <w:lang w:val="fr-FR"/>
        </w:rPr>
        <w:t>’</w:t>
      </w:r>
      <w:r w:rsidRPr="00934A53">
        <w:rPr>
          <w:b/>
          <w:bCs/>
          <w:szCs w:val="18"/>
          <w:u w:val="single"/>
          <w:lang w:val="fr-FR"/>
        </w:rPr>
        <w:t>alliages métalliques</w:t>
      </w:r>
      <w:r w:rsidRPr="00934A53">
        <w:rPr>
          <w:szCs w:val="18"/>
          <w:lang w:val="fr-FR"/>
        </w:rPr>
        <w:t>) doivent être affectées au groupe d</w:t>
      </w:r>
      <w:r>
        <w:rPr>
          <w:szCs w:val="18"/>
          <w:lang w:val="fr-FR"/>
        </w:rPr>
        <w:t>’</w:t>
      </w:r>
      <w:r w:rsidRPr="00934A53">
        <w:rPr>
          <w:szCs w:val="18"/>
          <w:lang w:val="fr-FR"/>
        </w:rPr>
        <w:t>emballage III/à la catégorie 2 si la durée de combustion est inférieure à 45 s et si la zone humidifiée arrête la propagation de la flamme pendant 4</w:t>
      </w:r>
      <w:r w:rsidR="002B63C4">
        <w:rPr>
          <w:szCs w:val="18"/>
          <w:lang w:val="fr-FR"/>
        </w:rPr>
        <w:t> </w:t>
      </w:r>
      <w:r w:rsidRPr="00934A53">
        <w:rPr>
          <w:szCs w:val="18"/>
          <w:lang w:val="fr-FR"/>
        </w:rPr>
        <w:t xml:space="preserve">min au moins. Les </w:t>
      </w:r>
      <w:r w:rsidRPr="00934A53">
        <w:rPr>
          <w:strike/>
          <w:szCs w:val="18"/>
          <w:lang w:val="fr-FR"/>
        </w:rPr>
        <w:t>poudres métalliques</w:t>
      </w:r>
      <w:r w:rsidRPr="00934A53">
        <w:rPr>
          <w:szCs w:val="18"/>
          <w:lang w:val="fr-FR"/>
        </w:rPr>
        <w:t xml:space="preserve"> </w:t>
      </w:r>
      <w:r w:rsidRPr="00934A53">
        <w:rPr>
          <w:b/>
          <w:bCs/>
          <w:szCs w:val="18"/>
          <w:u w:val="single"/>
          <w:lang w:val="fr-FR"/>
        </w:rPr>
        <w:t>poudres de métaux ou d</w:t>
      </w:r>
      <w:r>
        <w:rPr>
          <w:b/>
          <w:bCs/>
          <w:szCs w:val="18"/>
          <w:u w:val="single"/>
          <w:lang w:val="fr-FR"/>
        </w:rPr>
        <w:t>’</w:t>
      </w:r>
      <w:r w:rsidRPr="00934A53">
        <w:rPr>
          <w:b/>
          <w:bCs/>
          <w:szCs w:val="18"/>
          <w:u w:val="single"/>
          <w:lang w:val="fr-FR"/>
        </w:rPr>
        <w:t>alliages métalliques</w:t>
      </w:r>
      <w:r w:rsidRPr="00934A53">
        <w:rPr>
          <w:szCs w:val="18"/>
          <w:lang w:val="fr-FR"/>
        </w:rPr>
        <w:t xml:space="preserve"> doivent être affectées au groupe d</w:t>
      </w:r>
      <w:r>
        <w:rPr>
          <w:szCs w:val="18"/>
          <w:lang w:val="fr-FR"/>
        </w:rPr>
        <w:t>’</w:t>
      </w:r>
      <w:r w:rsidRPr="00934A53">
        <w:rPr>
          <w:szCs w:val="18"/>
          <w:lang w:val="fr-FR"/>
        </w:rPr>
        <w:t>emballage III/à la catégorie 2 si la réaction se propage sur toute la longueur de l</w:t>
      </w:r>
      <w:r>
        <w:rPr>
          <w:szCs w:val="18"/>
          <w:lang w:val="fr-FR"/>
        </w:rPr>
        <w:t>’</w:t>
      </w:r>
      <w:r w:rsidRPr="00934A53">
        <w:rPr>
          <w:szCs w:val="18"/>
          <w:lang w:val="fr-FR"/>
        </w:rPr>
        <w:t>échantillon (100 mm) en plus de 5 min mais moins de 10 min. ».</w:t>
      </w:r>
    </w:p>
    <w:p w14:paraId="3D04EC6F" w14:textId="73B53F09" w:rsidR="00B32DF4" w:rsidRPr="00F10D31" w:rsidRDefault="00B32DF4" w:rsidP="002B63C4">
      <w:pPr>
        <w:pStyle w:val="H1G"/>
        <w:rPr>
          <w:iCs/>
          <w:lang w:val="fr-FR"/>
        </w:rPr>
      </w:pPr>
      <w:r>
        <w:rPr>
          <w:lang w:val="fr-FR"/>
        </w:rPr>
        <w:tab/>
      </w:r>
      <w:r>
        <w:rPr>
          <w:lang w:val="fr-FR"/>
        </w:rPr>
        <w:tab/>
        <w:t>Proposition 2</w:t>
      </w:r>
      <w:r w:rsidR="002B63C4">
        <w:rPr>
          <w:lang w:val="fr-FR"/>
        </w:rPr>
        <w:t> </w:t>
      </w:r>
      <w:r>
        <w:rPr>
          <w:lang w:val="fr-FR"/>
        </w:rPr>
        <w:t>: modifications à apporter au Règlement type</w:t>
      </w:r>
    </w:p>
    <w:p w14:paraId="00EF3878" w14:textId="77777777" w:rsidR="00B32DF4" w:rsidRPr="00F5644D" w:rsidRDefault="00B32DF4" w:rsidP="00B32DF4">
      <w:pPr>
        <w:pStyle w:val="SingleTxtG"/>
        <w:rPr>
          <w:lang w:val="fr-FR"/>
        </w:rPr>
      </w:pPr>
      <w:r w:rsidRPr="00F5644D">
        <w:rPr>
          <w:lang w:val="fr-FR"/>
        </w:rPr>
        <w:t>15.</w:t>
      </w:r>
      <w:r w:rsidRPr="00F5644D">
        <w:rPr>
          <w:lang w:val="fr-FR"/>
        </w:rPr>
        <w:tab/>
        <w:t xml:space="preserve">Les modifications qu’il est proposé d’apporter figurent en </w:t>
      </w:r>
      <w:r w:rsidRPr="00F5644D">
        <w:rPr>
          <w:b/>
          <w:bCs/>
          <w:u w:val="single"/>
          <w:lang w:val="fr-FR"/>
        </w:rPr>
        <w:t>caractères gras soulignés</w:t>
      </w:r>
      <w:r w:rsidRPr="00F5644D">
        <w:rPr>
          <w:lang w:val="fr-FR"/>
        </w:rPr>
        <w:t xml:space="preserve"> pour les ajouts et </w:t>
      </w:r>
      <w:r w:rsidRPr="00F5644D">
        <w:rPr>
          <w:strike/>
          <w:lang w:val="fr-FR"/>
        </w:rPr>
        <w:t>biffés</w:t>
      </w:r>
      <w:r w:rsidRPr="00F5644D">
        <w:rPr>
          <w:lang w:val="fr-FR"/>
        </w:rPr>
        <w:t xml:space="preserve"> pour les suppressions.</w:t>
      </w:r>
    </w:p>
    <w:p w14:paraId="7455F469" w14:textId="37DBBC78" w:rsidR="00B32DF4" w:rsidRPr="00F5644D" w:rsidRDefault="00B32DF4" w:rsidP="00B32DF4">
      <w:pPr>
        <w:pStyle w:val="SingleTxtG"/>
        <w:rPr>
          <w:i/>
          <w:lang w:val="fr-FR"/>
        </w:rPr>
      </w:pPr>
      <w:r w:rsidRPr="00F5644D">
        <w:rPr>
          <w:lang w:val="fr-FR"/>
        </w:rPr>
        <w:t>16.</w:t>
      </w:r>
      <w:r w:rsidRPr="00F5644D">
        <w:rPr>
          <w:lang w:val="fr-FR"/>
        </w:rPr>
        <w:tab/>
        <w:t>Modifier le 2.4.2.2.1.2 comme suit</w:t>
      </w:r>
      <w:r w:rsidR="002B63C4">
        <w:rPr>
          <w:lang w:val="fr-FR"/>
        </w:rPr>
        <w:t> </w:t>
      </w:r>
      <w:r w:rsidRPr="00F5644D">
        <w:rPr>
          <w:lang w:val="fr-FR"/>
        </w:rPr>
        <w:t>:</w:t>
      </w:r>
    </w:p>
    <w:p w14:paraId="208E4F6B" w14:textId="61EE14BF" w:rsidR="00B32DF4" w:rsidRPr="00F5644D" w:rsidRDefault="00B32DF4" w:rsidP="00A70888">
      <w:pPr>
        <w:pStyle w:val="SingleTxtG"/>
        <w:ind w:left="2268" w:hanging="1134"/>
        <w:rPr>
          <w:iCs/>
          <w:lang w:val="fr-FR"/>
        </w:rPr>
      </w:pPr>
      <w:r w:rsidRPr="00F5644D">
        <w:rPr>
          <w:lang w:val="fr-FR"/>
        </w:rPr>
        <w:t>« 2.4.2.2.1.2</w:t>
      </w:r>
      <w:r w:rsidR="002B63C4">
        <w:rPr>
          <w:lang w:val="fr-FR"/>
        </w:rPr>
        <w:tab/>
      </w:r>
      <w:r w:rsidRPr="00F5644D">
        <w:rPr>
          <w:lang w:val="fr-FR"/>
        </w:rPr>
        <w:t xml:space="preserve">Les matières solides facilement inflammables sont des matières pulvérulentes, granulaires ou pâteuses, qui sont dangereuses si elles prennent feu facilement au contact bref d’une source d’inflammation, telle qu’une allumette qui brûle, et si la flamme se propage rapidement. Le danger peut provenir non seulement du feu mais aussi des produits de combustion toxiques. Les </w:t>
      </w:r>
      <w:r w:rsidRPr="00F5644D">
        <w:rPr>
          <w:strike/>
          <w:lang w:val="fr-FR"/>
        </w:rPr>
        <w:t>poudres de métal</w:t>
      </w:r>
      <w:r w:rsidRPr="00F5644D">
        <w:rPr>
          <w:lang w:val="fr-FR"/>
        </w:rPr>
        <w:t xml:space="preserve"> </w:t>
      </w:r>
      <w:r w:rsidRPr="00F5644D">
        <w:rPr>
          <w:b/>
          <w:bCs/>
          <w:u w:val="single"/>
          <w:lang w:val="fr-FR"/>
        </w:rPr>
        <w:t>poudres de métaux ou d’alliages métalliques</w:t>
      </w:r>
      <w:r w:rsidRPr="00F5644D">
        <w:rPr>
          <w:lang w:val="fr-FR"/>
        </w:rPr>
        <w:t xml:space="preserve"> sont particulièrement dangereuses car elles sont difficiles à éteindre une fois enflammées les agents extincteurs normaux, tels que le dioxyde de carbone et l’eau pouvant accroître le danger. ».</w:t>
      </w:r>
    </w:p>
    <w:p w14:paraId="0E8970D9" w14:textId="366684E4" w:rsidR="00B32DF4" w:rsidRPr="00F5644D" w:rsidRDefault="00B32DF4" w:rsidP="00B32DF4">
      <w:pPr>
        <w:pStyle w:val="SingleTxtG"/>
        <w:rPr>
          <w:lang w:val="fr-FR"/>
        </w:rPr>
      </w:pPr>
      <w:r w:rsidRPr="00F5644D">
        <w:rPr>
          <w:lang w:val="fr-FR"/>
        </w:rPr>
        <w:t>17.</w:t>
      </w:r>
      <w:r w:rsidRPr="00F5644D">
        <w:rPr>
          <w:lang w:val="fr-FR"/>
        </w:rPr>
        <w:tab/>
        <w:t>Modifier le 2.4.2.2.3.1 comme suit</w:t>
      </w:r>
      <w:r w:rsidR="002B63C4">
        <w:rPr>
          <w:lang w:val="fr-FR"/>
        </w:rPr>
        <w:t> </w:t>
      </w:r>
      <w:r w:rsidRPr="00F5644D">
        <w:rPr>
          <w:lang w:val="fr-FR"/>
        </w:rPr>
        <w:t>:</w:t>
      </w:r>
    </w:p>
    <w:p w14:paraId="49BAF86B" w14:textId="2BB18E8B" w:rsidR="00B32DF4" w:rsidRPr="00F5644D" w:rsidRDefault="00B32DF4" w:rsidP="00A70888">
      <w:pPr>
        <w:pStyle w:val="SingleTxtG"/>
        <w:ind w:left="2268" w:hanging="1134"/>
        <w:rPr>
          <w:lang w:val="fr-FR"/>
        </w:rPr>
      </w:pPr>
      <w:r w:rsidRPr="00F5644D">
        <w:rPr>
          <w:lang w:val="fr-FR"/>
        </w:rPr>
        <w:t>« 2.4.2.2.3.1</w:t>
      </w:r>
      <w:r w:rsidRPr="00F5644D">
        <w:rPr>
          <w:lang w:val="fr-FR"/>
        </w:rPr>
        <w:tab/>
        <w:t xml:space="preserve">Les groupes d’emballage sont affectés sur la base des méthodes d’épreuve définies au 2.4.2.2.2.1. Les matières solides facilement inflammables (autres que les </w:t>
      </w:r>
      <w:r w:rsidRPr="00F5644D">
        <w:rPr>
          <w:strike/>
          <w:lang w:val="fr-FR"/>
        </w:rPr>
        <w:t>poudres de métaux</w:t>
      </w:r>
      <w:r w:rsidRPr="00F5644D">
        <w:rPr>
          <w:lang w:val="fr-FR"/>
        </w:rPr>
        <w:t xml:space="preserve"> </w:t>
      </w:r>
      <w:r w:rsidRPr="00F5644D">
        <w:rPr>
          <w:b/>
          <w:bCs/>
          <w:u w:val="single"/>
          <w:lang w:val="fr-FR"/>
        </w:rPr>
        <w:t>poudres de métaux ou d’alliages métalliques</w:t>
      </w:r>
      <w:r w:rsidRPr="00F5644D">
        <w:rPr>
          <w:lang w:val="fr-FR"/>
        </w:rPr>
        <w:t xml:space="preserve">) doivent être affectées au groupe d’emballage II si la durée de combustion est inférieure à 45 s et si la flamme franchit la zone humidifiée. Les poudres de métaux ou </w:t>
      </w:r>
      <w:r w:rsidRPr="00F5644D">
        <w:rPr>
          <w:strike/>
          <w:lang w:val="fr-FR"/>
        </w:rPr>
        <w:t>les poudres</w:t>
      </w:r>
      <w:r w:rsidRPr="00F5644D">
        <w:rPr>
          <w:lang w:val="fr-FR"/>
        </w:rPr>
        <w:t xml:space="preserve"> d’alliages </w:t>
      </w:r>
      <w:r w:rsidRPr="00F5644D">
        <w:rPr>
          <w:strike/>
          <w:lang w:val="fr-FR"/>
        </w:rPr>
        <w:t>de métaux</w:t>
      </w:r>
      <w:r w:rsidRPr="00F5644D">
        <w:rPr>
          <w:lang w:val="fr-FR"/>
        </w:rPr>
        <w:t xml:space="preserve"> </w:t>
      </w:r>
      <w:r w:rsidRPr="00F5644D">
        <w:rPr>
          <w:b/>
          <w:bCs/>
          <w:u w:val="single"/>
          <w:lang w:val="fr-FR"/>
        </w:rPr>
        <w:t xml:space="preserve">métalliques </w:t>
      </w:r>
      <w:r w:rsidRPr="00F5644D">
        <w:rPr>
          <w:lang w:val="fr-FR"/>
        </w:rPr>
        <w:t>doivent être affectées au groupe d’emballage II si la réaction se propage sur toute la longueur de l’échantillon en 5 min ou moins. ».</w:t>
      </w:r>
    </w:p>
    <w:p w14:paraId="24D8F491" w14:textId="289BB79C" w:rsidR="00B32DF4" w:rsidRPr="00F5644D" w:rsidRDefault="00B32DF4" w:rsidP="00B32DF4">
      <w:pPr>
        <w:pStyle w:val="SingleTxtG"/>
        <w:rPr>
          <w:lang w:val="fr-FR"/>
        </w:rPr>
      </w:pPr>
      <w:r w:rsidRPr="00F5644D">
        <w:rPr>
          <w:lang w:val="fr-FR"/>
        </w:rPr>
        <w:t>18.</w:t>
      </w:r>
      <w:r w:rsidRPr="00F5644D">
        <w:rPr>
          <w:lang w:val="fr-FR"/>
        </w:rPr>
        <w:tab/>
        <w:t>Modifier le 2.4.2.2.3.2 comme suit</w:t>
      </w:r>
      <w:r w:rsidR="002B63C4">
        <w:rPr>
          <w:lang w:val="fr-FR"/>
        </w:rPr>
        <w:t> </w:t>
      </w:r>
      <w:r w:rsidRPr="00F5644D">
        <w:rPr>
          <w:lang w:val="fr-FR"/>
        </w:rPr>
        <w:t>:</w:t>
      </w:r>
    </w:p>
    <w:p w14:paraId="322B3465" w14:textId="76C582B6" w:rsidR="00B32DF4" w:rsidRPr="00F5644D" w:rsidRDefault="00B32DF4" w:rsidP="00A70888">
      <w:pPr>
        <w:pStyle w:val="SingleTxtG"/>
        <w:ind w:left="2268" w:hanging="1134"/>
        <w:rPr>
          <w:lang w:val="fr-FR"/>
        </w:rPr>
      </w:pPr>
      <w:r w:rsidRPr="00F5644D">
        <w:rPr>
          <w:lang w:val="fr-FR"/>
        </w:rPr>
        <w:t xml:space="preserve">« 2.4.2.2.3.2 </w:t>
      </w:r>
      <w:r w:rsidRPr="00F5644D">
        <w:rPr>
          <w:lang w:val="fr-FR"/>
        </w:rPr>
        <w:tab/>
        <w:t xml:space="preserve">Les groupes d’emballage sont affectés sur la base des méthodes d’épreuve définies au 2.4.2.2.2.1. Les matières solides facilement inflammables (autres que les </w:t>
      </w:r>
      <w:r w:rsidRPr="00F5644D">
        <w:rPr>
          <w:strike/>
          <w:lang w:val="fr-FR"/>
        </w:rPr>
        <w:t>poudres de métaux</w:t>
      </w:r>
      <w:r w:rsidRPr="00F5644D">
        <w:rPr>
          <w:lang w:val="fr-FR"/>
        </w:rPr>
        <w:t xml:space="preserve"> </w:t>
      </w:r>
      <w:r w:rsidRPr="00F5644D">
        <w:rPr>
          <w:b/>
          <w:bCs/>
          <w:u w:val="single"/>
          <w:lang w:val="fr-FR"/>
        </w:rPr>
        <w:t>poudres de métaux ou d’alliages métalliques</w:t>
      </w:r>
      <w:r w:rsidRPr="00F5644D">
        <w:rPr>
          <w:lang w:val="fr-FR"/>
        </w:rPr>
        <w:t xml:space="preserve">) doivent être affectées au groupe d’emballage III si la durée de combustion est inférieure à 45 s, mais si la zone humidifiée arrête la propagation de la flamme pendant au moins 4 min. Les </w:t>
      </w:r>
      <w:r w:rsidRPr="00F5644D">
        <w:rPr>
          <w:strike/>
          <w:lang w:val="fr-FR"/>
        </w:rPr>
        <w:t>poudres métalliques</w:t>
      </w:r>
      <w:r w:rsidRPr="00F5644D">
        <w:rPr>
          <w:lang w:val="fr-FR"/>
        </w:rPr>
        <w:t xml:space="preserve"> </w:t>
      </w:r>
      <w:r w:rsidRPr="00F5644D">
        <w:rPr>
          <w:b/>
          <w:bCs/>
          <w:u w:val="single"/>
          <w:lang w:val="fr-FR"/>
        </w:rPr>
        <w:t>poudres de métaux ou d’alliages métalliques</w:t>
      </w:r>
      <w:r w:rsidRPr="00F5644D">
        <w:rPr>
          <w:lang w:val="fr-FR"/>
        </w:rPr>
        <w:t xml:space="preserve"> doivent être affectées au groupe d’emballage III si la propagation de la réaction sur toute la longueur de l’échantillon prend plus de 5</w:t>
      </w:r>
      <w:r w:rsidR="002B63C4">
        <w:rPr>
          <w:lang w:val="fr-FR"/>
        </w:rPr>
        <w:t> </w:t>
      </w:r>
      <w:r w:rsidRPr="00F5644D">
        <w:rPr>
          <w:lang w:val="fr-FR"/>
        </w:rPr>
        <w:t>min mais ne dépasse pas 10 min. ».</w:t>
      </w:r>
    </w:p>
    <w:p w14:paraId="3E85D8BD" w14:textId="4864C726" w:rsidR="00B32DF4" w:rsidRPr="00F10D31" w:rsidRDefault="00B32DF4" w:rsidP="002B63C4">
      <w:pPr>
        <w:pStyle w:val="H1G"/>
        <w:rPr>
          <w:lang w:val="fr-FR"/>
        </w:rPr>
      </w:pPr>
      <w:r>
        <w:rPr>
          <w:lang w:val="fr-FR"/>
        </w:rPr>
        <w:lastRenderedPageBreak/>
        <w:tab/>
      </w:r>
      <w:r>
        <w:rPr>
          <w:lang w:val="fr-FR"/>
        </w:rPr>
        <w:tab/>
        <w:t>Proposition 3</w:t>
      </w:r>
      <w:r w:rsidR="002B63C4">
        <w:rPr>
          <w:lang w:val="fr-FR"/>
        </w:rPr>
        <w:t> </w:t>
      </w:r>
      <w:r>
        <w:rPr>
          <w:lang w:val="fr-FR"/>
        </w:rPr>
        <w:t>: modifications à apporter au Système général harmonisé de classification et d’étiquetage des produits chimiques</w:t>
      </w:r>
    </w:p>
    <w:p w14:paraId="2FD8A087" w14:textId="77777777" w:rsidR="00B32DF4" w:rsidRPr="00F10D31" w:rsidRDefault="00B32DF4" w:rsidP="00B32DF4">
      <w:pPr>
        <w:pStyle w:val="SingleTxtG"/>
        <w:rPr>
          <w:lang w:val="fr-FR"/>
        </w:rPr>
      </w:pPr>
      <w:r>
        <w:rPr>
          <w:lang w:val="fr-FR"/>
        </w:rPr>
        <w:t>19.</w:t>
      </w:r>
      <w:r>
        <w:rPr>
          <w:lang w:val="fr-FR"/>
        </w:rPr>
        <w:tab/>
        <w:t xml:space="preserve">Les modifications qu’il est proposé d’apporter figurent en </w:t>
      </w:r>
      <w:r>
        <w:rPr>
          <w:b/>
          <w:bCs/>
          <w:u w:val="single"/>
          <w:lang w:val="fr-FR"/>
        </w:rPr>
        <w:t>caractères gras soulignés</w:t>
      </w:r>
      <w:r>
        <w:rPr>
          <w:lang w:val="fr-FR"/>
        </w:rPr>
        <w:t xml:space="preserve"> pour les ajouts et </w:t>
      </w:r>
      <w:r>
        <w:rPr>
          <w:strike/>
          <w:lang w:val="fr-FR"/>
        </w:rPr>
        <w:t>biffés</w:t>
      </w:r>
      <w:r>
        <w:rPr>
          <w:lang w:val="fr-FR"/>
        </w:rPr>
        <w:t xml:space="preserve"> pour les suppressions.</w:t>
      </w:r>
    </w:p>
    <w:p w14:paraId="24933B07" w14:textId="77777777" w:rsidR="00B32DF4" w:rsidRPr="00F10D31" w:rsidRDefault="00B32DF4" w:rsidP="00B32DF4">
      <w:pPr>
        <w:pStyle w:val="SingleTxtG"/>
        <w:rPr>
          <w:lang w:val="fr-FR"/>
        </w:rPr>
      </w:pPr>
      <w:r>
        <w:rPr>
          <w:lang w:val="fr-FR"/>
        </w:rPr>
        <w:t>20.</w:t>
      </w:r>
      <w:r>
        <w:rPr>
          <w:lang w:val="fr-FR"/>
        </w:rPr>
        <w:tab/>
        <w:t>Modifier le tableau 2.7.1 du SGH comme suit :</w:t>
      </w:r>
    </w:p>
    <w:p w14:paraId="3F4C492B" w14:textId="63E2EBCF" w:rsidR="00B32DF4" w:rsidRPr="00F10D31" w:rsidRDefault="00B32DF4" w:rsidP="00212268">
      <w:pPr>
        <w:pStyle w:val="SingleTxtG"/>
        <w:ind w:left="1701"/>
        <w:rPr>
          <w:lang w:val="fr-FR"/>
        </w:rPr>
      </w:pPr>
      <w:r w:rsidRPr="004036B7">
        <w:rPr>
          <w:lang w:val="fr-FR"/>
        </w:rPr>
        <w:t>« Tableau 2.7.1</w:t>
      </w:r>
      <w:r w:rsidR="00212268">
        <w:rPr>
          <w:lang w:val="fr-FR"/>
        </w:rPr>
        <w:t> </w:t>
      </w:r>
      <w:r w:rsidRPr="004036B7">
        <w:rPr>
          <w:lang w:val="fr-FR"/>
        </w:rPr>
        <w:t>: Critères de classification des matières solides inflammables</w:t>
      </w:r>
    </w:p>
    <w:tbl>
      <w:tblPr>
        <w:tblStyle w:val="TableGrid"/>
        <w:tblW w:w="7371" w:type="dxa"/>
        <w:tblInd w:w="1134" w:type="dxa"/>
        <w:tblLayout w:type="fixed"/>
        <w:tblLook w:val="04A0" w:firstRow="1" w:lastRow="0" w:firstColumn="1" w:lastColumn="0" w:noHBand="0" w:noVBand="1"/>
      </w:tblPr>
      <w:tblGrid>
        <w:gridCol w:w="1108"/>
        <w:gridCol w:w="6263"/>
      </w:tblGrid>
      <w:tr w:rsidR="00B32DF4" w:rsidRPr="004036B7" w14:paraId="138E659E" w14:textId="77777777" w:rsidTr="0040269F">
        <w:tc>
          <w:tcPr>
            <w:tcW w:w="1053" w:type="dxa"/>
            <w:tcBorders>
              <w:top w:val="single" w:sz="4" w:space="0" w:color="auto"/>
              <w:left w:val="single" w:sz="4" w:space="0" w:color="auto"/>
              <w:bottom w:val="single" w:sz="4" w:space="0" w:color="auto"/>
              <w:right w:val="single" w:sz="4" w:space="0" w:color="auto"/>
            </w:tcBorders>
            <w:vAlign w:val="center"/>
            <w:hideMark/>
          </w:tcPr>
          <w:p w14:paraId="6C9FD75A" w14:textId="77777777" w:rsidR="00B32DF4" w:rsidRPr="004036B7" w:rsidRDefault="00B32DF4" w:rsidP="0040269F">
            <w:pPr>
              <w:pStyle w:val="ListParagraph"/>
              <w:spacing w:before="60" w:after="60" w:line="240" w:lineRule="atLeast"/>
              <w:ind w:left="57" w:right="113" w:firstLineChars="0" w:firstLine="0"/>
              <w:jc w:val="center"/>
              <w:rPr>
                <w:rFonts w:asciiTheme="majorBidi" w:hAnsiTheme="majorBidi" w:cstheme="majorBidi"/>
                <w:b/>
                <w:iCs/>
                <w:sz w:val="20"/>
              </w:rPr>
            </w:pPr>
            <w:r w:rsidRPr="004036B7">
              <w:rPr>
                <w:b/>
                <w:bCs/>
                <w:sz w:val="20"/>
                <w:lang w:val="fr-FR"/>
              </w:rPr>
              <w:t>Catégorie</w:t>
            </w:r>
          </w:p>
        </w:tc>
        <w:tc>
          <w:tcPr>
            <w:tcW w:w="5953" w:type="dxa"/>
            <w:tcBorders>
              <w:top w:val="single" w:sz="4" w:space="0" w:color="auto"/>
              <w:left w:val="single" w:sz="4" w:space="0" w:color="auto"/>
              <w:bottom w:val="single" w:sz="4" w:space="0" w:color="auto"/>
              <w:right w:val="single" w:sz="4" w:space="0" w:color="auto"/>
            </w:tcBorders>
            <w:hideMark/>
          </w:tcPr>
          <w:p w14:paraId="4B1584A4" w14:textId="77777777" w:rsidR="00B32DF4" w:rsidRPr="004036B7" w:rsidRDefault="00B32DF4" w:rsidP="0040269F">
            <w:pPr>
              <w:pStyle w:val="ListParagraph"/>
              <w:spacing w:before="60" w:after="60" w:line="240" w:lineRule="atLeast"/>
              <w:ind w:left="57" w:right="113" w:firstLineChars="0" w:firstLine="0"/>
              <w:jc w:val="center"/>
              <w:rPr>
                <w:rFonts w:asciiTheme="majorBidi" w:hAnsiTheme="majorBidi" w:cstheme="majorBidi"/>
                <w:b/>
                <w:iCs/>
                <w:sz w:val="20"/>
              </w:rPr>
            </w:pPr>
            <w:r w:rsidRPr="004036B7">
              <w:rPr>
                <w:b/>
                <w:bCs/>
                <w:sz w:val="20"/>
                <w:lang w:val="fr-FR"/>
              </w:rPr>
              <w:t>Critères</w:t>
            </w:r>
          </w:p>
        </w:tc>
      </w:tr>
      <w:tr w:rsidR="00B32DF4" w:rsidRPr="00F5644D" w14:paraId="16E26DC5" w14:textId="77777777" w:rsidTr="0040269F">
        <w:tc>
          <w:tcPr>
            <w:tcW w:w="1053" w:type="dxa"/>
            <w:tcBorders>
              <w:top w:val="single" w:sz="4" w:space="0" w:color="auto"/>
              <w:left w:val="single" w:sz="4" w:space="0" w:color="auto"/>
              <w:bottom w:val="single" w:sz="4" w:space="0" w:color="auto"/>
              <w:right w:val="single" w:sz="4" w:space="0" w:color="auto"/>
            </w:tcBorders>
            <w:vAlign w:val="center"/>
            <w:hideMark/>
          </w:tcPr>
          <w:p w14:paraId="58DD104D" w14:textId="77777777" w:rsidR="00B32DF4" w:rsidRPr="004036B7" w:rsidRDefault="00B32DF4" w:rsidP="0040269F">
            <w:pPr>
              <w:pStyle w:val="ListParagraph"/>
              <w:spacing w:before="60" w:after="60" w:line="240" w:lineRule="atLeast"/>
              <w:ind w:left="57" w:right="113" w:firstLineChars="0" w:firstLine="0"/>
              <w:jc w:val="center"/>
              <w:rPr>
                <w:rFonts w:asciiTheme="majorBidi" w:hAnsiTheme="majorBidi" w:cstheme="majorBidi"/>
                <w:b/>
                <w:iCs/>
                <w:sz w:val="20"/>
              </w:rPr>
            </w:pPr>
            <w:r w:rsidRPr="004036B7">
              <w:rPr>
                <w:b/>
                <w:bCs/>
                <w:sz w:val="20"/>
                <w:lang w:val="fr-FR"/>
              </w:rPr>
              <w:t>1</w:t>
            </w:r>
          </w:p>
        </w:tc>
        <w:tc>
          <w:tcPr>
            <w:tcW w:w="5953" w:type="dxa"/>
            <w:tcBorders>
              <w:top w:val="single" w:sz="4" w:space="0" w:color="auto"/>
              <w:left w:val="single" w:sz="4" w:space="0" w:color="auto"/>
              <w:bottom w:val="single" w:sz="4" w:space="0" w:color="auto"/>
              <w:right w:val="single" w:sz="4" w:space="0" w:color="auto"/>
            </w:tcBorders>
            <w:hideMark/>
          </w:tcPr>
          <w:p w14:paraId="33C732C4" w14:textId="4917BC68" w:rsidR="00B32DF4" w:rsidRPr="00F10D31" w:rsidRDefault="00B32DF4" w:rsidP="0040269F">
            <w:pPr>
              <w:pStyle w:val="ListParagraph"/>
              <w:spacing w:before="60" w:after="60" w:line="240" w:lineRule="atLeast"/>
              <w:ind w:left="57" w:right="113" w:firstLineChars="0" w:firstLine="0"/>
              <w:rPr>
                <w:rFonts w:asciiTheme="majorBidi" w:hAnsiTheme="majorBidi" w:cstheme="majorBidi"/>
                <w:iCs/>
                <w:sz w:val="20"/>
                <w:lang w:val="fr-FR"/>
              </w:rPr>
            </w:pPr>
            <w:r w:rsidRPr="004036B7">
              <w:rPr>
                <w:sz w:val="20"/>
                <w:lang w:val="fr-FR"/>
              </w:rPr>
              <w:t>Épreuve de vitesse de combustion</w:t>
            </w:r>
            <w:r w:rsidR="00212268">
              <w:rPr>
                <w:sz w:val="20"/>
                <w:lang w:val="fr-FR"/>
              </w:rPr>
              <w:t> </w:t>
            </w:r>
            <w:r w:rsidRPr="004036B7">
              <w:rPr>
                <w:sz w:val="20"/>
                <w:lang w:val="fr-FR"/>
              </w:rPr>
              <w:t>:</w:t>
            </w:r>
          </w:p>
          <w:p w14:paraId="7BF3460B" w14:textId="77777777" w:rsidR="00B32DF4" w:rsidRPr="00F10D31" w:rsidRDefault="00B32DF4" w:rsidP="0040269F">
            <w:pPr>
              <w:pStyle w:val="ListParagraph"/>
              <w:spacing w:before="60" w:after="60" w:line="240" w:lineRule="atLeast"/>
              <w:ind w:left="57" w:right="113" w:firstLineChars="0" w:firstLine="0"/>
              <w:rPr>
                <w:rFonts w:asciiTheme="majorBidi" w:hAnsiTheme="majorBidi" w:cstheme="majorBidi"/>
                <w:iCs/>
                <w:sz w:val="20"/>
                <w:lang w:val="fr-FR"/>
              </w:rPr>
            </w:pPr>
            <w:r w:rsidRPr="004036B7">
              <w:rPr>
                <w:sz w:val="20"/>
                <w:lang w:val="fr-FR"/>
              </w:rPr>
              <w:t xml:space="preserve">Substances ou mélanges autres que les </w:t>
            </w:r>
            <w:r w:rsidRPr="004036B7">
              <w:rPr>
                <w:strike/>
                <w:sz w:val="20"/>
                <w:lang w:val="fr-FR"/>
              </w:rPr>
              <w:t>poudres de métaux</w:t>
            </w:r>
            <w:r w:rsidRPr="004036B7">
              <w:rPr>
                <w:sz w:val="20"/>
                <w:lang w:val="fr-FR"/>
              </w:rPr>
              <w:t xml:space="preserve"> </w:t>
            </w:r>
            <w:r w:rsidRPr="004036B7">
              <w:rPr>
                <w:b/>
                <w:bCs/>
                <w:sz w:val="20"/>
                <w:u w:val="single"/>
                <w:lang w:val="fr-FR"/>
              </w:rPr>
              <w:t>poudres de métaux ou d</w:t>
            </w:r>
            <w:r>
              <w:rPr>
                <w:b/>
                <w:bCs/>
                <w:sz w:val="20"/>
                <w:u w:val="single"/>
                <w:lang w:val="fr-FR"/>
              </w:rPr>
              <w:t>’</w:t>
            </w:r>
            <w:r w:rsidRPr="004036B7">
              <w:rPr>
                <w:b/>
                <w:bCs/>
                <w:sz w:val="20"/>
                <w:u w:val="single"/>
                <w:lang w:val="fr-FR"/>
              </w:rPr>
              <w:t>alliages métalliques</w:t>
            </w:r>
            <w:r w:rsidRPr="004036B7">
              <w:rPr>
                <w:sz w:val="20"/>
                <w:lang w:val="fr-FR"/>
              </w:rPr>
              <w:t> :</w:t>
            </w:r>
          </w:p>
          <w:p w14:paraId="3ED300B8" w14:textId="711040CD" w:rsidR="00B32DF4" w:rsidRPr="00F10D31" w:rsidRDefault="00B32DF4" w:rsidP="00212268">
            <w:pPr>
              <w:pStyle w:val="ListParagraph"/>
              <w:spacing w:before="60" w:after="60" w:line="240" w:lineRule="atLeast"/>
              <w:ind w:left="1134" w:right="113" w:firstLineChars="0" w:hanging="567"/>
              <w:rPr>
                <w:rFonts w:asciiTheme="majorBidi" w:hAnsiTheme="majorBidi" w:cstheme="majorBidi"/>
                <w:iCs/>
                <w:sz w:val="20"/>
                <w:lang w:val="fr-FR"/>
              </w:rPr>
            </w:pPr>
            <w:r w:rsidRPr="004036B7">
              <w:rPr>
                <w:sz w:val="20"/>
                <w:lang w:val="fr-FR"/>
              </w:rPr>
              <w:t>a)</w:t>
            </w:r>
            <w:r>
              <w:rPr>
                <w:sz w:val="20"/>
                <w:lang w:val="fr-FR"/>
              </w:rPr>
              <w:tab/>
            </w:r>
            <w:r w:rsidR="00212268" w:rsidRPr="004036B7">
              <w:rPr>
                <w:sz w:val="20"/>
                <w:lang w:val="fr-FR"/>
              </w:rPr>
              <w:t>L</w:t>
            </w:r>
            <w:r w:rsidRPr="004036B7">
              <w:rPr>
                <w:sz w:val="20"/>
                <w:lang w:val="fr-FR"/>
              </w:rPr>
              <w:t>a zone humidifiée n</w:t>
            </w:r>
            <w:r>
              <w:rPr>
                <w:sz w:val="20"/>
                <w:lang w:val="fr-FR"/>
              </w:rPr>
              <w:t>’</w:t>
            </w:r>
            <w:r w:rsidRPr="004036B7">
              <w:rPr>
                <w:sz w:val="20"/>
                <w:lang w:val="fr-FR"/>
              </w:rPr>
              <w:t>arrête pas la propagation de la flamme</w:t>
            </w:r>
            <w:r w:rsidR="00212268">
              <w:rPr>
                <w:sz w:val="20"/>
                <w:lang w:val="fr-FR"/>
              </w:rPr>
              <w:t> ;</w:t>
            </w:r>
          </w:p>
          <w:p w14:paraId="3FCF5BE6" w14:textId="77BD6BAB" w:rsidR="00B32DF4" w:rsidRPr="00F10D31" w:rsidRDefault="00B32DF4" w:rsidP="00212268">
            <w:pPr>
              <w:pStyle w:val="ListParagraph"/>
              <w:spacing w:before="60" w:after="60" w:line="240" w:lineRule="atLeast"/>
              <w:ind w:left="1134" w:right="113" w:firstLineChars="0" w:hanging="567"/>
              <w:rPr>
                <w:rFonts w:asciiTheme="majorBidi" w:hAnsiTheme="majorBidi" w:cstheme="majorBidi"/>
                <w:iCs/>
                <w:sz w:val="20"/>
                <w:lang w:val="fr-FR"/>
              </w:rPr>
            </w:pPr>
            <w:r w:rsidRPr="004036B7">
              <w:rPr>
                <w:sz w:val="20"/>
                <w:lang w:val="fr-FR"/>
              </w:rPr>
              <w:t>b)</w:t>
            </w:r>
            <w:r>
              <w:rPr>
                <w:sz w:val="20"/>
                <w:lang w:val="fr-FR"/>
              </w:rPr>
              <w:tab/>
            </w:r>
            <w:r w:rsidR="00212268" w:rsidRPr="004036B7">
              <w:rPr>
                <w:sz w:val="20"/>
                <w:lang w:val="fr-FR"/>
              </w:rPr>
              <w:t>L</w:t>
            </w:r>
            <w:r w:rsidRPr="004036B7">
              <w:rPr>
                <w:sz w:val="20"/>
                <w:lang w:val="fr-FR"/>
              </w:rPr>
              <w:t>a durée de combustion est &lt;45 s ou la vitesse de combustion est &gt;2,2 mm/s</w:t>
            </w:r>
            <w:r w:rsidR="00212268">
              <w:rPr>
                <w:sz w:val="20"/>
                <w:lang w:val="fr-FR"/>
              </w:rPr>
              <w:t>.</w:t>
            </w:r>
          </w:p>
          <w:p w14:paraId="11056438" w14:textId="22193DAE" w:rsidR="00B32DF4" w:rsidRPr="00F10D31" w:rsidRDefault="00B32DF4" w:rsidP="0040269F">
            <w:pPr>
              <w:pStyle w:val="ListParagraph"/>
              <w:spacing w:before="60" w:after="60" w:line="240" w:lineRule="atLeast"/>
              <w:ind w:left="57" w:right="113" w:firstLineChars="0" w:firstLine="0"/>
              <w:rPr>
                <w:rFonts w:asciiTheme="majorBidi" w:hAnsiTheme="majorBidi" w:cstheme="majorBidi"/>
                <w:iCs/>
                <w:sz w:val="20"/>
                <w:lang w:val="fr-FR"/>
              </w:rPr>
            </w:pPr>
            <w:r w:rsidRPr="004036B7">
              <w:rPr>
                <w:strike/>
                <w:sz w:val="20"/>
                <w:lang w:val="fr-FR"/>
              </w:rPr>
              <w:t>Poudres de métaux</w:t>
            </w:r>
            <w:r w:rsidRPr="004036B7">
              <w:rPr>
                <w:sz w:val="20"/>
                <w:lang w:val="fr-FR"/>
              </w:rPr>
              <w:t xml:space="preserve"> </w:t>
            </w:r>
            <w:r w:rsidRPr="004036B7">
              <w:rPr>
                <w:b/>
                <w:bCs/>
                <w:sz w:val="20"/>
                <w:u w:val="single"/>
                <w:lang w:val="fr-FR"/>
              </w:rPr>
              <w:t>Poudres de métaux ou d</w:t>
            </w:r>
            <w:r>
              <w:rPr>
                <w:b/>
                <w:bCs/>
                <w:sz w:val="20"/>
                <w:u w:val="single"/>
                <w:lang w:val="fr-FR"/>
              </w:rPr>
              <w:t>’</w:t>
            </w:r>
            <w:r w:rsidRPr="004036B7">
              <w:rPr>
                <w:b/>
                <w:bCs/>
                <w:sz w:val="20"/>
                <w:u w:val="single"/>
                <w:lang w:val="fr-FR"/>
              </w:rPr>
              <w:t>alliages métalliques</w:t>
            </w:r>
            <w:r w:rsidR="00212268">
              <w:rPr>
                <w:sz w:val="20"/>
                <w:lang w:val="fr-FR"/>
              </w:rPr>
              <w:t> </w:t>
            </w:r>
            <w:r w:rsidRPr="004036B7">
              <w:rPr>
                <w:sz w:val="20"/>
                <w:lang w:val="fr-FR"/>
              </w:rPr>
              <w:t>: la durée de combustion est ≤5 min</w:t>
            </w:r>
          </w:p>
        </w:tc>
      </w:tr>
      <w:tr w:rsidR="00B32DF4" w:rsidRPr="00F5644D" w14:paraId="446063A2" w14:textId="77777777" w:rsidTr="0040269F">
        <w:tc>
          <w:tcPr>
            <w:tcW w:w="1053" w:type="dxa"/>
            <w:tcBorders>
              <w:top w:val="single" w:sz="4" w:space="0" w:color="auto"/>
              <w:left w:val="single" w:sz="4" w:space="0" w:color="auto"/>
              <w:bottom w:val="single" w:sz="4" w:space="0" w:color="auto"/>
              <w:right w:val="single" w:sz="4" w:space="0" w:color="auto"/>
            </w:tcBorders>
            <w:vAlign w:val="center"/>
            <w:hideMark/>
          </w:tcPr>
          <w:p w14:paraId="0799E59A" w14:textId="77777777" w:rsidR="00B32DF4" w:rsidRPr="004036B7" w:rsidRDefault="00B32DF4" w:rsidP="0040269F">
            <w:pPr>
              <w:pStyle w:val="ListParagraph"/>
              <w:spacing w:before="60" w:after="60" w:line="240" w:lineRule="atLeast"/>
              <w:ind w:left="57" w:right="113" w:firstLineChars="0" w:firstLine="0"/>
              <w:jc w:val="center"/>
              <w:rPr>
                <w:rFonts w:asciiTheme="majorBidi" w:hAnsiTheme="majorBidi" w:cstheme="majorBidi"/>
                <w:b/>
                <w:iCs/>
                <w:sz w:val="20"/>
              </w:rPr>
            </w:pPr>
            <w:r w:rsidRPr="004036B7">
              <w:rPr>
                <w:b/>
                <w:bCs/>
                <w:sz w:val="20"/>
                <w:lang w:val="fr-FR"/>
              </w:rPr>
              <w:t>2</w:t>
            </w:r>
          </w:p>
        </w:tc>
        <w:tc>
          <w:tcPr>
            <w:tcW w:w="5953" w:type="dxa"/>
            <w:tcBorders>
              <w:top w:val="single" w:sz="4" w:space="0" w:color="auto"/>
              <w:left w:val="single" w:sz="4" w:space="0" w:color="auto"/>
              <w:bottom w:val="single" w:sz="4" w:space="0" w:color="auto"/>
              <w:right w:val="single" w:sz="4" w:space="0" w:color="auto"/>
            </w:tcBorders>
            <w:hideMark/>
          </w:tcPr>
          <w:p w14:paraId="3609FFEA" w14:textId="2738650E" w:rsidR="00B32DF4" w:rsidRPr="00F10D31" w:rsidRDefault="00B32DF4" w:rsidP="0040269F">
            <w:pPr>
              <w:pStyle w:val="ListParagraph"/>
              <w:spacing w:before="60" w:after="60" w:line="240" w:lineRule="atLeast"/>
              <w:ind w:left="57" w:right="113" w:firstLineChars="0" w:firstLine="0"/>
              <w:rPr>
                <w:rFonts w:asciiTheme="majorBidi" w:hAnsiTheme="majorBidi" w:cstheme="majorBidi"/>
                <w:iCs/>
                <w:sz w:val="20"/>
                <w:lang w:val="fr-FR"/>
              </w:rPr>
            </w:pPr>
            <w:r w:rsidRPr="004036B7">
              <w:rPr>
                <w:sz w:val="20"/>
                <w:lang w:val="fr-FR"/>
              </w:rPr>
              <w:t>Épreuve de vitesse de combustion</w:t>
            </w:r>
            <w:r w:rsidR="00212268">
              <w:rPr>
                <w:sz w:val="20"/>
                <w:lang w:val="fr-FR"/>
              </w:rPr>
              <w:t> </w:t>
            </w:r>
            <w:r w:rsidRPr="004036B7">
              <w:rPr>
                <w:sz w:val="20"/>
                <w:lang w:val="fr-FR"/>
              </w:rPr>
              <w:t>:</w:t>
            </w:r>
          </w:p>
          <w:p w14:paraId="38AB8BF9" w14:textId="77777777" w:rsidR="00B32DF4" w:rsidRPr="00F10D31" w:rsidRDefault="00B32DF4" w:rsidP="0040269F">
            <w:pPr>
              <w:pStyle w:val="ListParagraph"/>
              <w:spacing w:before="60" w:after="60" w:line="240" w:lineRule="atLeast"/>
              <w:ind w:left="57" w:right="113" w:firstLineChars="0" w:firstLine="0"/>
              <w:rPr>
                <w:rFonts w:asciiTheme="majorBidi" w:hAnsiTheme="majorBidi" w:cstheme="majorBidi"/>
                <w:iCs/>
                <w:sz w:val="20"/>
                <w:lang w:val="fr-FR"/>
              </w:rPr>
            </w:pPr>
            <w:r w:rsidRPr="004036B7">
              <w:rPr>
                <w:sz w:val="20"/>
                <w:lang w:val="fr-FR"/>
              </w:rPr>
              <w:t xml:space="preserve">Substances ou mélanges autres que les </w:t>
            </w:r>
            <w:r w:rsidRPr="004036B7">
              <w:rPr>
                <w:strike/>
                <w:sz w:val="20"/>
                <w:lang w:val="fr-FR"/>
              </w:rPr>
              <w:t>poudres de métaux</w:t>
            </w:r>
            <w:r w:rsidRPr="004036B7">
              <w:rPr>
                <w:sz w:val="20"/>
                <w:lang w:val="fr-FR"/>
              </w:rPr>
              <w:t xml:space="preserve"> </w:t>
            </w:r>
            <w:r w:rsidRPr="004036B7">
              <w:rPr>
                <w:b/>
                <w:bCs/>
                <w:sz w:val="20"/>
                <w:u w:val="single"/>
                <w:lang w:val="fr-FR"/>
              </w:rPr>
              <w:t>poudres de métaux ou d</w:t>
            </w:r>
            <w:r>
              <w:rPr>
                <w:b/>
                <w:bCs/>
                <w:sz w:val="20"/>
                <w:u w:val="single"/>
                <w:lang w:val="fr-FR"/>
              </w:rPr>
              <w:t>’</w:t>
            </w:r>
            <w:r w:rsidRPr="004036B7">
              <w:rPr>
                <w:b/>
                <w:bCs/>
                <w:sz w:val="20"/>
                <w:u w:val="single"/>
                <w:lang w:val="fr-FR"/>
              </w:rPr>
              <w:t>alliages métalliques</w:t>
            </w:r>
            <w:r w:rsidRPr="004036B7">
              <w:rPr>
                <w:sz w:val="20"/>
                <w:lang w:val="fr-FR"/>
              </w:rPr>
              <w:t> :</w:t>
            </w:r>
          </w:p>
          <w:p w14:paraId="2825B2BD" w14:textId="70487A65" w:rsidR="00B32DF4" w:rsidRPr="00F10D31" w:rsidRDefault="00B32DF4" w:rsidP="00212268">
            <w:pPr>
              <w:pStyle w:val="ListParagraph"/>
              <w:spacing w:before="60" w:after="60" w:line="240" w:lineRule="atLeast"/>
              <w:ind w:left="1134" w:right="113" w:firstLineChars="0" w:hanging="567"/>
              <w:rPr>
                <w:rFonts w:asciiTheme="majorBidi" w:hAnsiTheme="majorBidi" w:cstheme="majorBidi"/>
                <w:iCs/>
                <w:sz w:val="20"/>
                <w:lang w:val="fr-FR"/>
              </w:rPr>
            </w:pPr>
            <w:r w:rsidRPr="004036B7">
              <w:rPr>
                <w:sz w:val="20"/>
                <w:lang w:val="fr-FR"/>
              </w:rPr>
              <w:t>a)</w:t>
            </w:r>
            <w:r>
              <w:rPr>
                <w:sz w:val="20"/>
                <w:lang w:val="fr-FR"/>
              </w:rPr>
              <w:tab/>
            </w:r>
            <w:r w:rsidR="00212268" w:rsidRPr="004036B7">
              <w:rPr>
                <w:sz w:val="20"/>
                <w:lang w:val="fr-FR"/>
              </w:rPr>
              <w:t>L</w:t>
            </w:r>
            <w:r w:rsidRPr="004036B7">
              <w:rPr>
                <w:sz w:val="20"/>
                <w:lang w:val="fr-FR"/>
              </w:rPr>
              <w:t>a zone humidifiée arrête la propagation de la flamme pendant au moins 4 min</w:t>
            </w:r>
            <w:r w:rsidR="00212268">
              <w:rPr>
                <w:sz w:val="20"/>
                <w:lang w:val="fr-FR"/>
              </w:rPr>
              <w:t> ;</w:t>
            </w:r>
          </w:p>
          <w:p w14:paraId="4946C9FC" w14:textId="4DB5FD41" w:rsidR="00B32DF4" w:rsidRPr="00F10D31" w:rsidRDefault="00B32DF4" w:rsidP="00212268">
            <w:pPr>
              <w:pStyle w:val="ListParagraph"/>
              <w:spacing w:before="60" w:after="60" w:line="240" w:lineRule="atLeast"/>
              <w:ind w:left="1134" w:right="113" w:firstLineChars="0" w:hanging="567"/>
              <w:rPr>
                <w:rFonts w:asciiTheme="majorBidi" w:hAnsiTheme="majorBidi" w:cstheme="majorBidi"/>
                <w:iCs/>
                <w:sz w:val="20"/>
                <w:lang w:val="fr-FR"/>
              </w:rPr>
            </w:pPr>
            <w:r w:rsidRPr="004036B7">
              <w:rPr>
                <w:sz w:val="20"/>
                <w:lang w:val="fr-FR"/>
              </w:rPr>
              <w:t>b)</w:t>
            </w:r>
            <w:r>
              <w:rPr>
                <w:sz w:val="20"/>
                <w:lang w:val="fr-FR"/>
              </w:rPr>
              <w:tab/>
            </w:r>
            <w:r w:rsidR="00212268" w:rsidRPr="004036B7">
              <w:rPr>
                <w:sz w:val="20"/>
                <w:lang w:val="fr-FR"/>
              </w:rPr>
              <w:t>L</w:t>
            </w:r>
            <w:r w:rsidRPr="004036B7">
              <w:rPr>
                <w:sz w:val="20"/>
                <w:lang w:val="fr-FR"/>
              </w:rPr>
              <w:t>a durée de combustion est &lt;45 s ou la vitesse de combustion &gt;2,2 mm/s</w:t>
            </w:r>
            <w:r w:rsidR="00212268">
              <w:rPr>
                <w:sz w:val="20"/>
                <w:lang w:val="fr-FR"/>
              </w:rPr>
              <w:t>.</w:t>
            </w:r>
          </w:p>
          <w:p w14:paraId="3BBFB3C5" w14:textId="7FBB4328" w:rsidR="00B32DF4" w:rsidRPr="00F10D31" w:rsidRDefault="00B32DF4" w:rsidP="0040269F">
            <w:pPr>
              <w:pStyle w:val="ListParagraph"/>
              <w:spacing w:before="60" w:after="60" w:line="240" w:lineRule="atLeast"/>
              <w:ind w:left="57" w:right="113" w:firstLineChars="0" w:firstLine="0"/>
              <w:rPr>
                <w:rFonts w:asciiTheme="majorBidi" w:hAnsiTheme="majorBidi" w:cstheme="majorBidi"/>
                <w:iCs/>
                <w:sz w:val="20"/>
                <w:lang w:val="fr-FR"/>
              </w:rPr>
            </w:pPr>
            <w:r w:rsidRPr="004036B7">
              <w:rPr>
                <w:strike/>
                <w:sz w:val="20"/>
                <w:lang w:val="fr-FR"/>
              </w:rPr>
              <w:t>Poudres de métaux</w:t>
            </w:r>
            <w:r w:rsidRPr="004036B7">
              <w:rPr>
                <w:sz w:val="20"/>
                <w:lang w:val="fr-FR"/>
              </w:rPr>
              <w:t xml:space="preserve"> </w:t>
            </w:r>
            <w:r w:rsidRPr="004036B7">
              <w:rPr>
                <w:b/>
                <w:bCs/>
                <w:sz w:val="20"/>
                <w:u w:val="single"/>
                <w:lang w:val="fr-FR"/>
              </w:rPr>
              <w:t>Poudres de métaux ou d</w:t>
            </w:r>
            <w:r>
              <w:rPr>
                <w:b/>
                <w:bCs/>
                <w:sz w:val="20"/>
                <w:u w:val="single"/>
                <w:lang w:val="fr-FR"/>
              </w:rPr>
              <w:t>’</w:t>
            </w:r>
            <w:r w:rsidRPr="004036B7">
              <w:rPr>
                <w:b/>
                <w:bCs/>
                <w:sz w:val="20"/>
                <w:u w:val="single"/>
                <w:lang w:val="fr-FR"/>
              </w:rPr>
              <w:t>alliages métalliques</w:t>
            </w:r>
            <w:r>
              <w:rPr>
                <w:b/>
                <w:bCs/>
                <w:sz w:val="20"/>
                <w:u w:val="single"/>
                <w:lang w:val="fr-FR"/>
              </w:rPr>
              <w:t> :</w:t>
            </w:r>
            <w:r w:rsidRPr="004036B7">
              <w:rPr>
                <w:sz w:val="20"/>
                <w:lang w:val="fr-FR"/>
              </w:rPr>
              <w:t xml:space="preserve"> la durée de combustion est &gt;5 min et ≤10 min</w:t>
            </w:r>
          </w:p>
        </w:tc>
      </w:tr>
    </w:tbl>
    <w:p w14:paraId="40DB1A3D" w14:textId="77777777" w:rsidR="00B32DF4" w:rsidRPr="00F5644D" w:rsidRDefault="00B32DF4" w:rsidP="00212268">
      <w:pPr>
        <w:pStyle w:val="SingleTxtG"/>
        <w:spacing w:before="120"/>
      </w:pPr>
      <w:r w:rsidRPr="004036B7">
        <w:rPr>
          <w:lang w:val="fr-FR"/>
        </w:rPr>
        <w:t> ».</w:t>
      </w:r>
    </w:p>
    <w:p w14:paraId="308A6E94" w14:textId="77777777" w:rsidR="00B32DF4" w:rsidRPr="00F10D31" w:rsidRDefault="00B32DF4" w:rsidP="00B32DF4">
      <w:pPr>
        <w:pStyle w:val="SingleTxtG"/>
        <w:keepNext/>
        <w:keepLines/>
        <w:rPr>
          <w:lang w:val="fr-FR"/>
        </w:rPr>
      </w:pPr>
      <w:r>
        <w:rPr>
          <w:lang w:val="fr-FR"/>
        </w:rPr>
        <w:t>21.</w:t>
      </w:r>
      <w:r>
        <w:rPr>
          <w:lang w:val="fr-FR"/>
        </w:rPr>
        <w:tab/>
        <w:t xml:space="preserve">Modifier les troisième et </w:t>
      </w:r>
      <w:proofErr w:type="gramStart"/>
      <w:r>
        <w:rPr>
          <w:lang w:val="fr-FR"/>
        </w:rPr>
        <w:t>quatrième encadrés</w:t>
      </w:r>
      <w:proofErr w:type="gramEnd"/>
      <w:r>
        <w:rPr>
          <w:lang w:val="fr-FR"/>
        </w:rPr>
        <w:t xml:space="preserve"> du diagramme de décision 2.7 comme suit : </w:t>
      </w:r>
    </w:p>
    <w:p w14:paraId="49C0E421" w14:textId="77777777" w:rsidR="00B32DF4" w:rsidRPr="00F10D31" w:rsidRDefault="00B32DF4" w:rsidP="00B32DF4">
      <w:pPr>
        <w:pStyle w:val="Bullet1G"/>
        <w:numPr>
          <w:ilvl w:val="0"/>
          <w:numId w:val="17"/>
        </w:numPr>
        <w:rPr>
          <w:rFonts w:asciiTheme="majorBidi" w:hAnsiTheme="majorBidi" w:cstheme="majorBidi"/>
          <w:sz w:val="18"/>
          <w:lang w:val="fr-FR"/>
        </w:rPr>
      </w:pPr>
      <w:r w:rsidRPr="00D31670">
        <w:rPr>
          <w:lang w:val="fr-FR"/>
        </w:rPr>
        <w:t>Texte du troisième encadré en partant du haut :</w:t>
      </w:r>
    </w:p>
    <w:p w14:paraId="07FCA0F4" w14:textId="77777777" w:rsidR="00B32DF4" w:rsidRPr="00F10D31" w:rsidRDefault="00B32DF4" w:rsidP="00B32DF4">
      <w:pPr>
        <w:pStyle w:val="SingleTxtG"/>
        <w:ind w:left="2268"/>
        <w:rPr>
          <w:lang w:val="fr-FR"/>
        </w:rPr>
      </w:pPr>
      <w:r>
        <w:rPr>
          <w:lang w:val="fr-FR"/>
        </w:rPr>
        <w:t>« Épreuve de vitesse de combustion :</w:t>
      </w:r>
    </w:p>
    <w:p w14:paraId="01B777C0" w14:textId="58BC6479" w:rsidR="00B32DF4" w:rsidRPr="00F10D31" w:rsidRDefault="00B32DF4" w:rsidP="00B32DF4">
      <w:pPr>
        <w:pStyle w:val="SingleTxtG"/>
        <w:ind w:left="2835" w:hanging="567"/>
        <w:rPr>
          <w:lang w:val="fr-FR"/>
        </w:rPr>
      </w:pPr>
      <w:r>
        <w:rPr>
          <w:lang w:val="fr-FR"/>
        </w:rPr>
        <w:t>a)</w:t>
      </w:r>
      <w:r>
        <w:rPr>
          <w:lang w:val="fr-FR"/>
        </w:rPr>
        <w:tab/>
        <w:t xml:space="preserve">Pour les substances et mélanges autres que les </w:t>
      </w:r>
      <w:r>
        <w:rPr>
          <w:strike/>
          <w:lang w:val="fr-FR"/>
        </w:rPr>
        <w:t>poudres de métaux</w:t>
      </w:r>
      <w:r>
        <w:rPr>
          <w:lang w:val="fr-FR"/>
        </w:rPr>
        <w:t xml:space="preserve"> </w:t>
      </w:r>
      <w:r>
        <w:rPr>
          <w:b/>
          <w:bCs/>
          <w:u w:val="single"/>
          <w:lang w:val="fr-FR"/>
        </w:rPr>
        <w:t>poudres de métaux ou d’alliages métalliques</w:t>
      </w:r>
      <w:r w:rsidR="00212268">
        <w:rPr>
          <w:b/>
          <w:bCs/>
          <w:u w:val="single"/>
          <w:lang w:val="fr-FR"/>
        </w:rPr>
        <w:t> </w:t>
      </w:r>
      <w:r>
        <w:rPr>
          <w:lang w:val="fr-FR"/>
        </w:rPr>
        <w:t xml:space="preserve">: </w:t>
      </w:r>
    </w:p>
    <w:p w14:paraId="7679C2AF" w14:textId="5D630210" w:rsidR="00B32DF4" w:rsidRPr="00F10D31" w:rsidRDefault="00B32DF4" w:rsidP="00B32DF4">
      <w:pPr>
        <w:pStyle w:val="SingleTxtG"/>
        <w:ind w:left="2835"/>
        <w:rPr>
          <w:lang w:val="fr-FR"/>
        </w:rPr>
      </w:pPr>
      <w:r>
        <w:rPr>
          <w:lang w:val="fr-FR"/>
        </w:rPr>
        <w:t>La durée de combustion est-elle &lt;45 s ou la vitesse de combustion est</w:t>
      </w:r>
      <w:r w:rsidR="00212268">
        <w:rPr>
          <w:lang w:val="fr-FR"/>
        </w:rPr>
        <w:noBreakHyphen/>
      </w:r>
      <w:r>
        <w:rPr>
          <w:lang w:val="fr-FR"/>
        </w:rPr>
        <w:t>elle &gt;2,2 mm/s</w:t>
      </w:r>
      <w:r w:rsidR="00212268">
        <w:rPr>
          <w:lang w:val="fr-FR"/>
        </w:rPr>
        <w:t> </w:t>
      </w:r>
      <w:r>
        <w:rPr>
          <w:lang w:val="fr-FR"/>
        </w:rPr>
        <w:t>?</w:t>
      </w:r>
    </w:p>
    <w:p w14:paraId="382EADC9" w14:textId="3A531171" w:rsidR="00B32DF4" w:rsidRPr="00F10D31" w:rsidRDefault="00B32DF4" w:rsidP="00B32DF4">
      <w:pPr>
        <w:pStyle w:val="SingleTxtG"/>
        <w:ind w:left="2835" w:hanging="567"/>
        <w:rPr>
          <w:lang w:val="fr-FR"/>
        </w:rPr>
      </w:pPr>
      <w:r>
        <w:rPr>
          <w:lang w:val="fr-FR"/>
        </w:rPr>
        <w:t>b)</w:t>
      </w:r>
      <w:r>
        <w:rPr>
          <w:lang w:val="fr-FR"/>
        </w:rPr>
        <w:tab/>
      </w:r>
      <w:r>
        <w:rPr>
          <w:strike/>
          <w:lang w:val="fr-FR"/>
        </w:rPr>
        <w:t>Poudres de métaux</w:t>
      </w:r>
      <w:r>
        <w:rPr>
          <w:lang w:val="fr-FR"/>
        </w:rPr>
        <w:t xml:space="preserve"> </w:t>
      </w:r>
      <w:r>
        <w:rPr>
          <w:b/>
          <w:bCs/>
          <w:u w:val="single"/>
          <w:lang w:val="fr-FR"/>
        </w:rPr>
        <w:t>poudres de métaux ou d’alliages métalliques :</w:t>
      </w:r>
      <w:r>
        <w:rPr>
          <w:lang w:val="fr-FR"/>
        </w:rPr>
        <w:t xml:space="preserve"> La durée de combustion est-elle ≤10 min ? ».</w:t>
      </w:r>
    </w:p>
    <w:p w14:paraId="71CDCC50" w14:textId="2E39A038" w:rsidR="00B32DF4" w:rsidRPr="00F10D31" w:rsidRDefault="00B32DF4" w:rsidP="00B32DF4">
      <w:pPr>
        <w:pStyle w:val="Bullet1G"/>
        <w:numPr>
          <w:ilvl w:val="0"/>
          <w:numId w:val="17"/>
        </w:numPr>
        <w:rPr>
          <w:lang w:val="fr-FR"/>
        </w:rPr>
      </w:pPr>
      <w:r>
        <w:rPr>
          <w:lang w:val="fr-FR"/>
        </w:rPr>
        <w:t>Texte du quatrième encadré en partant du haut</w:t>
      </w:r>
      <w:r w:rsidR="00212268">
        <w:rPr>
          <w:lang w:val="fr-FR"/>
        </w:rPr>
        <w:t> </w:t>
      </w:r>
      <w:r>
        <w:rPr>
          <w:lang w:val="fr-FR"/>
        </w:rPr>
        <w:t>:</w:t>
      </w:r>
    </w:p>
    <w:p w14:paraId="7F240029" w14:textId="77777777" w:rsidR="00B32DF4" w:rsidRPr="00F10D31" w:rsidRDefault="00B32DF4" w:rsidP="00B32DF4">
      <w:pPr>
        <w:pStyle w:val="SingleTxtG"/>
        <w:ind w:left="2835" w:hanging="567"/>
        <w:rPr>
          <w:rFonts w:ascii="TimesNewRomanPSMT" w:eastAsia="TimesNewRomanPSMT" w:hAnsi="TimesNewRomanPSMT"/>
          <w:color w:val="0D0D0D"/>
          <w:lang w:val="fr-FR"/>
        </w:rPr>
      </w:pPr>
      <w:r>
        <w:rPr>
          <w:lang w:val="fr-FR"/>
        </w:rPr>
        <w:t>« </w:t>
      </w:r>
      <w:proofErr w:type="gramStart"/>
      <w:r>
        <w:rPr>
          <w:lang w:val="fr-FR"/>
        </w:rPr>
        <w:t>a</w:t>
      </w:r>
      <w:proofErr w:type="gramEnd"/>
      <w:r>
        <w:rPr>
          <w:lang w:val="fr-FR"/>
        </w:rPr>
        <w:t>)</w:t>
      </w:r>
      <w:r>
        <w:rPr>
          <w:lang w:val="fr-FR"/>
        </w:rPr>
        <w:tab/>
        <w:t xml:space="preserve">Pour les substances et mélanges autres que les </w:t>
      </w:r>
      <w:r>
        <w:rPr>
          <w:strike/>
          <w:lang w:val="fr-FR"/>
        </w:rPr>
        <w:t>poudres métalliques</w:t>
      </w:r>
      <w:r>
        <w:rPr>
          <w:lang w:val="fr-FR"/>
        </w:rPr>
        <w:t xml:space="preserve"> </w:t>
      </w:r>
      <w:r>
        <w:rPr>
          <w:b/>
          <w:bCs/>
          <w:u w:val="single"/>
          <w:lang w:val="fr-FR"/>
        </w:rPr>
        <w:t>poudres de métaux ou d’alliages métalliques :</w:t>
      </w:r>
    </w:p>
    <w:p w14:paraId="232722B4" w14:textId="73C4412F" w:rsidR="00B32DF4" w:rsidRPr="00F10D31" w:rsidRDefault="00B32DF4" w:rsidP="00B32DF4">
      <w:pPr>
        <w:pStyle w:val="SingleTxtG"/>
        <w:ind w:left="2835"/>
        <w:rPr>
          <w:rFonts w:ascii="TimesNewRomanPSMT" w:eastAsia="TimesNewRomanPSMT" w:hAnsi="TimesNewRomanPSMT"/>
          <w:color w:val="0D0D0D"/>
          <w:lang w:val="fr-FR"/>
        </w:rPr>
      </w:pPr>
      <w:r>
        <w:rPr>
          <w:lang w:val="fr-FR"/>
        </w:rPr>
        <w:t>La zone humidifiée arrête-t-elle la propagation de la flamme</w:t>
      </w:r>
      <w:r w:rsidR="00212268">
        <w:rPr>
          <w:lang w:val="fr-FR"/>
        </w:rPr>
        <w:t> </w:t>
      </w:r>
      <w:r>
        <w:rPr>
          <w:lang w:val="fr-FR"/>
        </w:rPr>
        <w:t>?</w:t>
      </w:r>
    </w:p>
    <w:p w14:paraId="2F6B05F8" w14:textId="4B0594CB" w:rsidR="00B32DF4" w:rsidRPr="00F10D31" w:rsidRDefault="00B32DF4" w:rsidP="00B32DF4">
      <w:pPr>
        <w:pStyle w:val="SingleTxtG"/>
        <w:ind w:left="2835" w:hanging="567"/>
        <w:rPr>
          <w:rFonts w:ascii="TimesNewRomanPSMT" w:eastAsia="TimesNewRomanPSMT" w:hAnsi="TimesNewRomanPSMT"/>
          <w:color w:val="0D0D0D"/>
          <w:lang w:val="fr-FR"/>
        </w:rPr>
      </w:pPr>
      <w:r>
        <w:rPr>
          <w:lang w:val="fr-FR"/>
        </w:rPr>
        <w:t>b)</w:t>
      </w:r>
      <w:r>
        <w:rPr>
          <w:lang w:val="fr-FR"/>
        </w:rPr>
        <w:tab/>
      </w:r>
      <w:r>
        <w:rPr>
          <w:strike/>
          <w:lang w:val="fr-FR"/>
        </w:rPr>
        <w:t>Poudres de métaux</w:t>
      </w:r>
      <w:r>
        <w:rPr>
          <w:lang w:val="fr-FR"/>
        </w:rPr>
        <w:t xml:space="preserve"> </w:t>
      </w:r>
      <w:r>
        <w:rPr>
          <w:b/>
          <w:bCs/>
          <w:u w:val="single"/>
          <w:lang w:val="fr-FR"/>
        </w:rPr>
        <w:t>Poudres de métaux ou d’alliages métalliques</w:t>
      </w:r>
      <w:r w:rsidR="00212268">
        <w:rPr>
          <w:b/>
          <w:bCs/>
          <w:u w:val="single"/>
          <w:lang w:val="fr-FR"/>
        </w:rPr>
        <w:t> </w:t>
      </w:r>
      <w:r>
        <w:rPr>
          <w:lang w:val="fr-FR"/>
        </w:rPr>
        <w:t>:</w:t>
      </w:r>
    </w:p>
    <w:p w14:paraId="37D0C5DF" w14:textId="540AF228" w:rsidR="00B32DF4" w:rsidRPr="00F10D31" w:rsidRDefault="00B32DF4" w:rsidP="00B32DF4">
      <w:pPr>
        <w:pStyle w:val="SingleTxtG"/>
        <w:ind w:left="2835"/>
        <w:rPr>
          <w:lang w:val="fr-FR"/>
        </w:rPr>
      </w:pPr>
      <w:r>
        <w:rPr>
          <w:lang w:val="fr-FR"/>
        </w:rPr>
        <w:t>La durée de combustion est-elle &gt;5 min</w:t>
      </w:r>
      <w:r w:rsidR="00212268">
        <w:rPr>
          <w:lang w:val="fr-FR"/>
        </w:rPr>
        <w:t> </w:t>
      </w:r>
      <w:r>
        <w:rPr>
          <w:lang w:val="fr-FR"/>
        </w:rPr>
        <w:t>? ».</w:t>
      </w:r>
    </w:p>
    <w:p w14:paraId="5F43E07D" w14:textId="77777777" w:rsidR="00B32DF4" w:rsidRPr="00F10D31" w:rsidRDefault="00B32DF4" w:rsidP="00212268">
      <w:pPr>
        <w:pStyle w:val="SingleTxtG"/>
        <w:keepNext/>
        <w:rPr>
          <w:lang w:val="fr-FR"/>
        </w:rPr>
      </w:pPr>
      <w:r>
        <w:rPr>
          <w:lang w:val="fr-FR"/>
        </w:rPr>
        <w:lastRenderedPageBreak/>
        <w:t>22.</w:t>
      </w:r>
      <w:r>
        <w:rPr>
          <w:lang w:val="fr-FR"/>
        </w:rPr>
        <w:tab/>
        <w:t>Modifier comme suit la ligne du chapitre 2.7, dans le tableau A4.3.9.2 de l’annexe 4 :</w:t>
      </w:r>
    </w:p>
    <w:tbl>
      <w:tblPr>
        <w:tblStyle w:val="TableGrid"/>
        <w:tblW w:w="7371" w:type="dxa"/>
        <w:tblInd w:w="1134" w:type="dxa"/>
        <w:tblLayout w:type="fixed"/>
        <w:tblLook w:val="04A0" w:firstRow="1" w:lastRow="0" w:firstColumn="1" w:lastColumn="0" w:noHBand="0" w:noVBand="1"/>
      </w:tblPr>
      <w:tblGrid>
        <w:gridCol w:w="458"/>
        <w:gridCol w:w="1380"/>
        <w:gridCol w:w="5533"/>
      </w:tblGrid>
      <w:tr w:rsidR="00212268" w:rsidRPr="00F5644D" w14:paraId="2EF8AC02" w14:textId="77777777" w:rsidTr="00212268">
        <w:tc>
          <w:tcPr>
            <w:tcW w:w="458" w:type="dxa"/>
            <w:tcBorders>
              <w:top w:val="single" w:sz="4" w:space="0" w:color="auto"/>
              <w:left w:val="single" w:sz="4" w:space="0" w:color="auto"/>
              <w:bottom w:val="single" w:sz="4" w:space="0" w:color="auto"/>
              <w:right w:val="single" w:sz="4" w:space="0" w:color="auto"/>
            </w:tcBorders>
            <w:hideMark/>
          </w:tcPr>
          <w:p w14:paraId="4A080B81" w14:textId="77777777" w:rsidR="00212268" w:rsidRDefault="00212268" w:rsidP="00212268">
            <w:pPr>
              <w:pStyle w:val="ListParagraph"/>
              <w:keepNext/>
              <w:spacing w:before="60" w:after="60" w:line="240" w:lineRule="atLeast"/>
              <w:ind w:left="57" w:right="57" w:firstLineChars="0" w:firstLine="0"/>
            </w:pPr>
            <w:r>
              <w:rPr>
                <w:lang w:val="fr-FR"/>
              </w:rPr>
              <w:t>2.7</w:t>
            </w:r>
          </w:p>
        </w:tc>
        <w:tc>
          <w:tcPr>
            <w:tcW w:w="1380" w:type="dxa"/>
            <w:tcBorders>
              <w:top w:val="single" w:sz="4" w:space="0" w:color="auto"/>
              <w:left w:val="single" w:sz="4" w:space="0" w:color="auto"/>
              <w:bottom w:val="single" w:sz="4" w:space="0" w:color="auto"/>
              <w:right w:val="single" w:sz="4" w:space="0" w:color="auto"/>
            </w:tcBorders>
            <w:hideMark/>
          </w:tcPr>
          <w:p w14:paraId="009535A8" w14:textId="77777777" w:rsidR="00212268" w:rsidRDefault="00212268" w:rsidP="00212268">
            <w:pPr>
              <w:keepNext/>
              <w:spacing w:before="60" w:after="60"/>
              <w:ind w:left="57" w:right="57"/>
            </w:pPr>
            <w:r>
              <w:rPr>
                <w:lang w:val="fr-FR"/>
              </w:rPr>
              <w:t>Matières solides inflammables</w:t>
            </w:r>
          </w:p>
        </w:tc>
        <w:tc>
          <w:tcPr>
            <w:tcW w:w="5533" w:type="dxa"/>
            <w:tcBorders>
              <w:top w:val="single" w:sz="4" w:space="0" w:color="auto"/>
              <w:left w:val="single" w:sz="4" w:space="0" w:color="auto"/>
              <w:bottom w:val="single" w:sz="4" w:space="0" w:color="auto"/>
              <w:right w:val="single" w:sz="4" w:space="0" w:color="auto"/>
            </w:tcBorders>
            <w:hideMark/>
          </w:tcPr>
          <w:p w14:paraId="77381212" w14:textId="01CD5C38" w:rsidR="00212268" w:rsidRPr="00F10D31" w:rsidRDefault="00212268" w:rsidP="00212268">
            <w:pPr>
              <w:keepNext/>
              <w:spacing w:before="60" w:after="60"/>
              <w:ind w:left="624" w:right="57" w:hanging="567"/>
              <w:rPr>
                <w:lang w:val="fr-FR"/>
              </w:rPr>
            </w:pPr>
            <w:r>
              <w:rPr>
                <w:lang w:val="fr-FR"/>
              </w:rPr>
              <w:t>-</w:t>
            </w:r>
            <w:r>
              <w:rPr>
                <w:lang w:val="fr-FR"/>
              </w:rPr>
              <w:tab/>
              <w:t xml:space="preserve">Indiquer le taux de combustion (ou le temps de combustion pour les </w:t>
            </w:r>
            <w:r>
              <w:rPr>
                <w:strike/>
                <w:lang w:val="fr-FR"/>
              </w:rPr>
              <w:t>poudres métalliques</w:t>
            </w:r>
            <w:r>
              <w:rPr>
                <w:lang w:val="fr-FR"/>
              </w:rPr>
              <w:t xml:space="preserve"> </w:t>
            </w:r>
            <w:r>
              <w:rPr>
                <w:b/>
                <w:bCs/>
                <w:u w:val="single"/>
                <w:lang w:val="fr-FR"/>
              </w:rPr>
              <w:t>poudres de métaux ou d’alliages métalliques</w:t>
            </w:r>
            <w:r>
              <w:rPr>
                <w:lang w:val="fr-FR"/>
              </w:rPr>
              <w:t>), en général déterminé à l’aide de l’épreuve N.1 (sect. 33.2.1 du Manuel d’épreuves et de critères)</w:t>
            </w:r>
          </w:p>
          <w:p w14:paraId="3D1A248B" w14:textId="13F7F855" w:rsidR="00212268" w:rsidRPr="00F10D31" w:rsidRDefault="00212268" w:rsidP="00212268">
            <w:pPr>
              <w:keepNext/>
              <w:spacing w:before="60" w:after="60"/>
              <w:ind w:left="624" w:right="57" w:hanging="567"/>
              <w:rPr>
                <w:lang w:val="fr-FR"/>
              </w:rPr>
            </w:pPr>
            <w:r>
              <w:rPr>
                <w:lang w:val="fr-FR"/>
              </w:rPr>
              <w:t>-</w:t>
            </w:r>
            <w:r>
              <w:rPr>
                <w:lang w:val="fr-FR"/>
              </w:rPr>
              <w:tab/>
              <w:t>Indiquer si la zone humidifiée a été dépassée ou non</w:t>
            </w:r>
          </w:p>
        </w:tc>
      </w:tr>
    </w:tbl>
    <w:p w14:paraId="3FA70F39" w14:textId="3E5772E3" w:rsidR="00446FE5" w:rsidRPr="00212268" w:rsidRDefault="00B32DF4" w:rsidP="00212268">
      <w:pPr>
        <w:spacing w:before="240"/>
        <w:jc w:val="center"/>
        <w:rPr>
          <w:u w:val="single"/>
          <w:lang w:val="fr-FR"/>
        </w:rPr>
      </w:pPr>
      <w:r w:rsidRPr="00F10D31">
        <w:rPr>
          <w:u w:val="single"/>
          <w:lang w:val="fr-FR"/>
        </w:rPr>
        <w:tab/>
      </w:r>
      <w:r w:rsidRPr="00F10D31">
        <w:rPr>
          <w:u w:val="single"/>
          <w:lang w:val="fr-FR"/>
        </w:rPr>
        <w:tab/>
      </w:r>
      <w:r w:rsidRPr="00F10D31">
        <w:rPr>
          <w:u w:val="single"/>
          <w:lang w:val="fr-FR"/>
        </w:rPr>
        <w:tab/>
      </w:r>
    </w:p>
    <w:sectPr w:rsidR="00446FE5" w:rsidRPr="00212268" w:rsidSect="00B32DF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8615" w14:textId="77777777" w:rsidR="00C30F06" w:rsidRDefault="00C30F06" w:rsidP="00F95C08">
      <w:pPr>
        <w:spacing w:line="240" w:lineRule="auto"/>
      </w:pPr>
    </w:p>
  </w:endnote>
  <w:endnote w:type="continuationSeparator" w:id="0">
    <w:p w14:paraId="7DBECFA6" w14:textId="77777777" w:rsidR="00C30F06" w:rsidRPr="00AC3823" w:rsidRDefault="00C30F06" w:rsidP="00AC3823">
      <w:pPr>
        <w:pStyle w:val="Footer"/>
      </w:pPr>
    </w:p>
  </w:endnote>
  <w:endnote w:type="continuationNotice" w:id="1">
    <w:p w14:paraId="218F965C" w14:textId="77777777" w:rsidR="00C30F06" w:rsidRDefault="00C30F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27C7" w14:textId="38889FE0" w:rsidR="00B32DF4" w:rsidRPr="00B32DF4" w:rsidRDefault="00B32DF4" w:rsidP="00B32DF4">
    <w:pPr>
      <w:pStyle w:val="Footer"/>
      <w:tabs>
        <w:tab w:val="right" w:pos="9638"/>
      </w:tabs>
    </w:pPr>
    <w:r w:rsidRPr="00B32DF4">
      <w:rPr>
        <w:b/>
        <w:sz w:val="18"/>
      </w:rPr>
      <w:fldChar w:fldCharType="begin"/>
    </w:r>
    <w:r w:rsidRPr="00B32DF4">
      <w:rPr>
        <w:b/>
        <w:sz w:val="18"/>
      </w:rPr>
      <w:instrText xml:space="preserve"> PAGE  \* MERGEFORMAT </w:instrText>
    </w:r>
    <w:r w:rsidRPr="00B32DF4">
      <w:rPr>
        <w:b/>
        <w:sz w:val="18"/>
      </w:rPr>
      <w:fldChar w:fldCharType="separate"/>
    </w:r>
    <w:r w:rsidRPr="00B32DF4">
      <w:rPr>
        <w:b/>
        <w:noProof/>
        <w:sz w:val="18"/>
      </w:rPr>
      <w:t>2</w:t>
    </w:r>
    <w:r w:rsidRPr="00B32DF4">
      <w:rPr>
        <w:b/>
        <w:sz w:val="18"/>
      </w:rPr>
      <w:fldChar w:fldCharType="end"/>
    </w:r>
    <w:r>
      <w:rPr>
        <w:b/>
        <w:sz w:val="18"/>
      </w:rPr>
      <w:tab/>
    </w:r>
    <w:r>
      <w:t>GE.22-14283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6528" w14:textId="206357C8" w:rsidR="00B32DF4" w:rsidRPr="00B32DF4" w:rsidRDefault="00B32DF4" w:rsidP="00B32DF4">
    <w:pPr>
      <w:pStyle w:val="Footer"/>
      <w:tabs>
        <w:tab w:val="right" w:pos="9638"/>
      </w:tabs>
      <w:rPr>
        <w:b/>
        <w:sz w:val="18"/>
      </w:rPr>
    </w:pPr>
    <w:r>
      <w:t>GE.22-14283</w:t>
    </w:r>
    <w:r>
      <w:tab/>
    </w:r>
    <w:r w:rsidRPr="00B32DF4">
      <w:rPr>
        <w:b/>
        <w:sz w:val="18"/>
      </w:rPr>
      <w:fldChar w:fldCharType="begin"/>
    </w:r>
    <w:r w:rsidRPr="00B32DF4">
      <w:rPr>
        <w:b/>
        <w:sz w:val="18"/>
      </w:rPr>
      <w:instrText xml:space="preserve"> PAGE  \* MERGEFORMAT </w:instrText>
    </w:r>
    <w:r w:rsidRPr="00B32DF4">
      <w:rPr>
        <w:b/>
        <w:sz w:val="18"/>
      </w:rPr>
      <w:fldChar w:fldCharType="separate"/>
    </w:r>
    <w:r w:rsidRPr="00B32DF4">
      <w:rPr>
        <w:b/>
        <w:noProof/>
        <w:sz w:val="18"/>
      </w:rPr>
      <w:t>3</w:t>
    </w:r>
    <w:r w:rsidRPr="00B32D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394A" w14:textId="31B75A8A" w:rsidR="0068456F" w:rsidRPr="00B32DF4" w:rsidRDefault="00B32DF4" w:rsidP="00B32DF4">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4774D01" wp14:editId="65801D9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14283  (</w:t>
    </w:r>
    <w:proofErr w:type="gramEnd"/>
    <w:r>
      <w:rPr>
        <w:sz w:val="20"/>
      </w:rPr>
      <w:t>F)</w:t>
    </w:r>
    <w:r>
      <w:rPr>
        <w:noProof/>
        <w:sz w:val="20"/>
      </w:rPr>
      <w:drawing>
        <wp:anchor distT="0" distB="0" distL="114300" distR="114300" simplePos="0" relativeHeight="251660288" behindDoc="0" locked="0" layoutInCell="1" allowOverlap="1" wp14:anchorId="25C9D046" wp14:editId="3BAAECB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121022    131022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2452" w14:textId="77777777" w:rsidR="00C30F06" w:rsidRPr="00AC3823" w:rsidRDefault="00C30F06" w:rsidP="00AC3823">
      <w:pPr>
        <w:pStyle w:val="Footer"/>
        <w:tabs>
          <w:tab w:val="right" w:pos="2155"/>
        </w:tabs>
        <w:spacing w:after="80" w:line="240" w:lineRule="atLeast"/>
        <w:ind w:left="680"/>
        <w:rPr>
          <w:u w:val="single"/>
        </w:rPr>
      </w:pPr>
      <w:r>
        <w:rPr>
          <w:u w:val="single"/>
        </w:rPr>
        <w:tab/>
      </w:r>
    </w:p>
  </w:footnote>
  <w:footnote w:type="continuationSeparator" w:id="0">
    <w:p w14:paraId="2EAD3BDA" w14:textId="77777777" w:rsidR="00C30F06" w:rsidRPr="00AC3823" w:rsidRDefault="00C30F06" w:rsidP="00AC3823">
      <w:pPr>
        <w:pStyle w:val="Footer"/>
        <w:tabs>
          <w:tab w:val="right" w:pos="2155"/>
        </w:tabs>
        <w:spacing w:after="80" w:line="240" w:lineRule="atLeast"/>
        <w:ind w:left="680"/>
        <w:rPr>
          <w:u w:val="single"/>
        </w:rPr>
      </w:pPr>
      <w:r>
        <w:rPr>
          <w:u w:val="single"/>
        </w:rPr>
        <w:tab/>
      </w:r>
    </w:p>
  </w:footnote>
  <w:footnote w:type="continuationNotice" w:id="1">
    <w:p w14:paraId="484478D8" w14:textId="77777777" w:rsidR="00C30F06" w:rsidRPr="00AC3823" w:rsidRDefault="00C30F06">
      <w:pPr>
        <w:spacing w:line="240" w:lineRule="auto"/>
        <w:rPr>
          <w:sz w:val="2"/>
          <w:szCs w:val="2"/>
        </w:rPr>
      </w:pPr>
    </w:p>
  </w:footnote>
  <w:footnote w:id="2">
    <w:p w14:paraId="6AE98D1E" w14:textId="5F86AB21" w:rsidR="00B32DF4" w:rsidRPr="00B32DF4" w:rsidRDefault="00B32DF4">
      <w:pPr>
        <w:pStyle w:val="FootnoteText"/>
      </w:pPr>
      <w:r>
        <w:rPr>
          <w:rStyle w:val="FootnoteReference"/>
        </w:rPr>
        <w:tab/>
      </w:r>
      <w:r w:rsidRPr="00B32DF4">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47FD" w14:textId="595863D3" w:rsidR="00B32DF4" w:rsidRPr="00B32DF4" w:rsidRDefault="00B32DF4">
    <w:pPr>
      <w:pStyle w:val="Header"/>
      <w:rPr>
        <w:lang w:val="en-US"/>
      </w:rPr>
    </w:pPr>
    <w:r>
      <w:fldChar w:fldCharType="begin"/>
    </w:r>
    <w:r w:rsidRPr="00B32DF4">
      <w:rPr>
        <w:lang w:val="en-US"/>
      </w:rPr>
      <w:instrText xml:space="preserve"> TITLE  \* MERGEFORMAT </w:instrText>
    </w:r>
    <w:r>
      <w:fldChar w:fldCharType="separate"/>
    </w:r>
    <w:r w:rsidR="0034173B">
      <w:rPr>
        <w:lang w:val="en-US"/>
      </w:rPr>
      <w:t>ST/SG/AC.10/C.3/2022/66</w:t>
    </w:r>
    <w:r>
      <w:fldChar w:fldCharType="end"/>
    </w:r>
    <w:r w:rsidRPr="00B32DF4">
      <w:rPr>
        <w:lang w:val="en-US"/>
      </w:rPr>
      <w:br/>
    </w:r>
    <w:r>
      <w:fldChar w:fldCharType="begin"/>
    </w:r>
    <w:r w:rsidRPr="00B32DF4">
      <w:rPr>
        <w:lang w:val="en-US"/>
      </w:rPr>
      <w:instrText xml:space="preserve"> KEYWORDS  \* MERGEFORMAT </w:instrText>
    </w:r>
    <w:r>
      <w:fldChar w:fldCharType="separate"/>
    </w:r>
    <w:r w:rsidR="0034173B">
      <w:rPr>
        <w:lang w:val="en-US"/>
      </w:rPr>
      <w:t>ST/SG/AC.10/C.4/2022/17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EBAC" w14:textId="68F1ACFA" w:rsidR="00B32DF4" w:rsidRPr="00B32DF4" w:rsidRDefault="00B32DF4" w:rsidP="00B32DF4">
    <w:pPr>
      <w:pStyle w:val="Header"/>
      <w:jc w:val="right"/>
      <w:rPr>
        <w:lang w:val="en-US"/>
      </w:rPr>
    </w:pPr>
    <w:r>
      <w:fldChar w:fldCharType="begin"/>
    </w:r>
    <w:r w:rsidRPr="00B32DF4">
      <w:rPr>
        <w:lang w:val="en-US"/>
      </w:rPr>
      <w:instrText xml:space="preserve"> TITLE  \* MERGEFORMAT </w:instrText>
    </w:r>
    <w:r>
      <w:fldChar w:fldCharType="separate"/>
    </w:r>
    <w:r w:rsidR="0034173B">
      <w:rPr>
        <w:lang w:val="en-US"/>
      </w:rPr>
      <w:t>ST/SG/AC.10/C.3/2022/66</w:t>
    </w:r>
    <w:r>
      <w:fldChar w:fldCharType="end"/>
    </w:r>
    <w:r w:rsidRPr="00B32DF4">
      <w:rPr>
        <w:lang w:val="en-US"/>
      </w:rPr>
      <w:br/>
    </w:r>
    <w:r>
      <w:fldChar w:fldCharType="begin"/>
    </w:r>
    <w:r w:rsidRPr="00B32DF4">
      <w:rPr>
        <w:lang w:val="en-US"/>
      </w:rPr>
      <w:instrText xml:space="preserve"> KEYWORDS  \* MERGEFORMAT </w:instrText>
    </w:r>
    <w:r>
      <w:fldChar w:fldCharType="separate"/>
    </w:r>
    <w:r w:rsidR="0034173B">
      <w:rPr>
        <w:lang w:val="en-US"/>
      </w:rPr>
      <w:t>ST/SG/AC.10/C.4/2022/17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D10B7"/>
    <w:multiLevelType w:val="hybridMultilevel"/>
    <w:tmpl w:val="F82E9FCA"/>
    <w:lvl w:ilvl="0" w:tplc="6AD25C00">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2"/>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06"/>
    <w:rsid w:val="00017F94"/>
    <w:rsid w:val="00023842"/>
    <w:rsid w:val="000305D3"/>
    <w:rsid w:val="000334F9"/>
    <w:rsid w:val="0007796D"/>
    <w:rsid w:val="000B7790"/>
    <w:rsid w:val="00111F2F"/>
    <w:rsid w:val="00132EA9"/>
    <w:rsid w:val="0014365E"/>
    <w:rsid w:val="00172E49"/>
    <w:rsid w:val="00176178"/>
    <w:rsid w:val="001F525A"/>
    <w:rsid w:val="00212268"/>
    <w:rsid w:val="00223272"/>
    <w:rsid w:val="0024779E"/>
    <w:rsid w:val="00283190"/>
    <w:rsid w:val="002832AC"/>
    <w:rsid w:val="002A6A69"/>
    <w:rsid w:val="002B63C4"/>
    <w:rsid w:val="002D7C93"/>
    <w:rsid w:val="0034173B"/>
    <w:rsid w:val="0041242B"/>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71C75"/>
    <w:rsid w:val="008776DC"/>
    <w:rsid w:val="008B40CD"/>
    <w:rsid w:val="009705C8"/>
    <w:rsid w:val="009C1CF4"/>
    <w:rsid w:val="00A30353"/>
    <w:rsid w:val="00A70888"/>
    <w:rsid w:val="00A81281"/>
    <w:rsid w:val="00AC3823"/>
    <w:rsid w:val="00AE323C"/>
    <w:rsid w:val="00B00181"/>
    <w:rsid w:val="00B00B0D"/>
    <w:rsid w:val="00B32DF4"/>
    <w:rsid w:val="00B765F7"/>
    <w:rsid w:val="00BA0CA9"/>
    <w:rsid w:val="00C02897"/>
    <w:rsid w:val="00C30F06"/>
    <w:rsid w:val="00D3439C"/>
    <w:rsid w:val="00DB1831"/>
    <w:rsid w:val="00DD247D"/>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DE1E"/>
  <w15:docId w15:val="{B9BEC747-586F-4743-A8EB-F05E963A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qFormat/>
    <w:rsid w:val="00B32DF4"/>
    <w:pPr>
      <w:widowControl w:val="0"/>
      <w:suppressAutoHyphens w:val="0"/>
      <w:kinsoku/>
      <w:overflowPunct/>
      <w:autoSpaceDE/>
      <w:autoSpaceDN/>
      <w:adjustRightInd/>
      <w:snapToGrid/>
      <w:spacing w:line="240" w:lineRule="auto"/>
      <w:ind w:firstLineChars="200" w:firstLine="420"/>
      <w:jc w:val="both"/>
    </w:pPr>
    <w:rPr>
      <w:rFonts w:eastAsia="SimSun"/>
      <w:kern w:val="2"/>
      <w:sz w:val="21"/>
      <w:lang w:val="en-US" w:eastAsia="zh-CN"/>
    </w:rPr>
  </w:style>
  <w:style w:type="character" w:customStyle="1" w:styleId="HChGChar">
    <w:name w:val="_ H _Ch_G Char"/>
    <w:link w:val="HChG"/>
    <w:locked/>
    <w:rsid w:val="00B32DF4"/>
    <w:rPr>
      <w:rFonts w:ascii="Times New Roman" w:eastAsiaTheme="minorHAnsi" w:hAnsi="Times New Roman" w:cs="Times New Roman"/>
      <w:b/>
      <w:sz w:val="28"/>
      <w:szCs w:val="20"/>
      <w:lang w:eastAsia="en-US"/>
    </w:rPr>
  </w:style>
  <w:style w:type="character" w:customStyle="1" w:styleId="H1GChar">
    <w:name w:val="_ H_1_G Char"/>
    <w:link w:val="H1G"/>
    <w:locked/>
    <w:rsid w:val="00B32DF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2F9E5A7-EFFD-43D4-A383-60AEFB4E0E51}"/>
</file>

<file path=customXml/itemProps2.xml><?xml version="1.0" encoding="utf-8"?>
<ds:datastoreItem xmlns:ds="http://schemas.openxmlformats.org/officeDocument/2006/customXml" ds:itemID="{D8584511-8F26-45C5-82DC-4E40E75B0479}"/>
</file>

<file path=customXml/itemProps3.xml><?xml version="1.0" encoding="utf-8"?>
<ds:datastoreItem xmlns:ds="http://schemas.openxmlformats.org/officeDocument/2006/customXml" ds:itemID="{948C513E-8F62-418C-9FB2-F51A3E2FBB7C}"/>
</file>

<file path=docProps/app.xml><?xml version="1.0" encoding="utf-8"?>
<Properties xmlns="http://schemas.openxmlformats.org/officeDocument/2006/extended-properties" xmlns:vt="http://schemas.openxmlformats.org/officeDocument/2006/docPropsVTypes">
  <Template>Normal.dotm</Template>
  <TotalTime>1</TotalTime>
  <Pages>5</Pages>
  <Words>1727</Words>
  <Characters>9847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ST/SG/AC.10/C.3/2022/66</vt:lpstr>
    </vt:vector>
  </TitlesOfParts>
  <Company>DCM</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ST/SG/AC.10/C.3/2022/66</dc:title>
  <dc:creator>Sandrine CLERE</dc:creator>
  <cp:keywords>ST/SG/AC.10/C.4/2022/17</cp:keywords>
  <cp:lastModifiedBy>Laurence Berthet</cp:lastModifiedBy>
  <cp:revision>3</cp:revision>
  <cp:lastPrinted>2022-10-13T07:45:00Z</cp:lastPrinted>
  <dcterms:created xsi:type="dcterms:W3CDTF">2022-10-13T07:45:00Z</dcterms:created>
  <dcterms:modified xsi:type="dcterms:W3CDTF">2022-10-13T07:45:00Z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