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103F144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B38FFC" w14:textId="77777777" w:rsidR="00132EA9" w:rsidRPr="00DB58B5" w:rsidRDefault="00132EA9" w:rsidP="00412A4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A79E5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719F94" w14:textId="3F950A01" w:rsidR="00132EA9" w:rsidRPr="00DB58B5" w:rsidRDefault="00412A4C" w:rsidP="00412A4C">
            <w:pPr>
              <w:jc w:val="right"/>
            </w:pPr>
            <w:r w:rsidRPr="00412A4C">
              <w:rPr>
                <w:sz w:val="40"/>
              </w:rPr>
              <w:t>ST</w:t>
            </w:r>
            <w:r>
              <w:t>/SG/AC.10/C.3/2022/60</w:t>
            </w:r>
          </w:p>
        </w:tc>
      </w:tr>
      <w:tr w:rsidR="00132EA9" w:rsidRPr="00DB58B5" w14:paraId="534F7ED8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4BAB5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9053FD" wp14:editId="11F2ED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F85F0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57DC84" w14:textId="77777777" w:rsidR="00132EA9" w:rsidRDefault="00412A4C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D573002" w14:textId="77777777" w:rsidR="00412A4C" w:rsidRDefault="00412A4C" w:rsidP="00412A4C">
            <w:pPr>
              <w:spacing w:line="240" w:lineRule="exact"/>
            </w:pPr>
            <w:r>
              <w:t>6 septembre 2022</w:t>
            </w:r>
          </w:p>
          <w:p w14:paraId="762BAB68" w14:textId="77777777" w:rsidR="00412A4C" w:rsidRDefault="00412A4C" w:rsidP="00412A4C">
            <w:pPr>
              <w:spacing w:line="240" w:lineRule="exact"/>
            </w:pPr>
            <w:r>
              <w:t>Français</w:t>
            </w:r>
          </w:p>
          <w:p w14:paraId="37625B25" w14:textId="4E1B2F35" w:rsidR="00412A4C" w:rsidRPr="00DB58B5" w:rsidRDefault="00412A4C" w:rsidP="00412A4C">
            <w:pPr>
              <w:spacing w:line="240" w:lineRule="exact"/>
            </w:pPr>
            <w:r>
              <w:t>Original : anglais</w:t>
            </w:r>
          </w:p>
        </w:tc>
      </w:tr>
    </w:tbl>
    <w:p w14:paraId="1DC96220" w14:textId="7EB758C5" w:rsidR="00412A4C" w:rsidRPr="007371EF" w:rsidRDefault="00412A4C" w:rsidP="00D85CC8">
      <w:pPr>
        <w:spacing w:before="120"/>
        <w:rPr>
          <w:lang w:eastAsia="zh-CN"/>
        </w:rPr>
      </w:pPr>
      <w:r w:rsidRPr="007371EF">
        <w:rPr>
          <w:rFonts w:eastAsia="SimSun"/>
          <w:b/>
          <w:bCs/>
          <w:sz w:val="24"/>
          <w:szCs w:val="24"/>
          <w:lang w:val="fr-FR" w:eastAsia="zh-CN"/>
        </w:rPr>
        <w:t>Comité d</w:t>
      </w:r>
      <w:r w:rsidR="00D85CC8">
        <w:rPr>
          <w:rFonts w:eastAsia="SimSun"/>
          <w:b/>
          <w:bCs/>
          <w:sz w:val="24"/>
          <w:szCs w:val="24"/>
          <w:lang w:val="fr-FR" w:eastAsia="zh-CN"/>
        </w:rPr>
        <w:t>’</w:t>
      </w:r>
      <w:r w:rsidRPr="007371EF">
        <w:rPr>
          <w:rFonts w:eastAsia="SimSun"/>
          <w:b/>
          <w:bCs/>
          <w:sz w:val="24"/>
          <w:szCs w:val="24"/>
          <w:lang w:val="fr-FR" w:eastAsia="zh-CN"/>
        </w:rPr>
        <w:t xml:space="preserve">experts du transport des marchandises dangereuses </w:t>
      </w:r>
      <w:r>
        <w:rPr>
          <w:rFonts w:eastAsia="SimSun"/>
          <w:b/>
          <w:bCs/>
          <w:sz w:val="24"/>
          <w:szCs w:val="24"/>
          <w:lang w:val="fr-FR" w:eastAsia="zh-CN"/>
        </w:rPr>
        <w:br/>
      </w:r>
      <w:r w:rsidRPr="007371EF">
        <w:rPr>
          <w:rFonts w:eastAsia="SimSun"/>
          <w:b/>
          <w:bCs/>
          <w:sz w:val="24"/>
          <w:szCs w:val="24"/>
          <w:lang w:val="fr-FR" w:eastAsia="zh-CN"/>
        </w:rPr>
        <w:t xml:space="preserve">et du Système général harmonisé de classification </w:t>
      </w:r>
      <w:r>
        <w:rPr>
          <w:rFonts w:eastAsia="SimSun"/>
          <w:b/>
          <w:bCs/>
          <w:sz w:val="24"/>
          <w:szCs w:val="24"/>
          <w:lang w:val="fr-FR" w:eastAsia="zh-CN"/>
        </w:rPr>
        <w:br/>
      </w:r>
      <w:r w:rsidRPr="007371EF">
        <w:rPr>
          <w:rFonts w:eastAsia="SimSun"/>
          <w:b/>
          <w:bCs/>
          <w:sz w:val="24"/>
          <w:szCs w:val="24"/>
          <w:lang w:val="fr-FR" w:eastAsia="zh-CN"/>
        </w:rPr>
        <w:t>et d</w:t>
      </w:r>
      <w:r w:rsidR="00D85CC8">
        <w:rPr>
          <w:rFonts w:eastAsia="SimSun"/>
          <w:b/>
          <w:bCs/>
          <w:sz w:val="24"/>
          <w:szCs w:val="24"/>
          <w:lang w:val="fr-FR" w:eastAsia="zh-CN"/>
        </w:rPr>
        <w:t>’</w:t>
      </w:r>
      <w:r w:rsidRPr="007371EF">
        <w:rPr>
          <w:rFonts w:eastAsia="SimSun"/>
          <w:b/>
          <w:bCs/>
          <w:sz w:val="24"/>
          <w:szCs w:val="24"/>
          <w:lang w:val="fr-FR" w:eastAsia="zh-CN"/>
        </w:rPr>
        <w:t>étiquetage des produits chimiques</w:t>
      </w:r>
    </w:p>
    <w:p w14:paraId="51C62C5B" w14:textId="4CB3CFF7" w:rsidR="00412A4C" w:rsidRPr="00D85CC8" w:rsidRDefault="00412A4C" w:rsidP="00D85CC8">
      <w:pPr>
        <w:spacing w:before="120"/>
        <w:rPr>
          <w:rFonts w:ascii="Helv" w:hAnsi="Helv" w:cs="Helv"/>
          <w:b/>
          <w:color w:val="000000"/>
          <w:lang w:eastAsia="zh-CN"/>
        </w:rPr>
      </w:pPr>
      <w:r w:rsidRPr="00D85CC8">
        <w:rPr>
          <w:b/>
          <w:lang w:val="fr-FR" w:eastAsia="zh-CN"/>
        </w:rPr>
        <w:t>Sous-Comité d</w:t>
      </w:r>
      <w:r w:rsidR="00D85CC8">
        <w:rPr>
          <w:b/>
          <w:lang w:val="fr-FR" w:eastAsia="zh-CN"/>
        </w:rPr>
        <w:t>’</w:t>
      </w:r>
      <w:r w:rsidRPr="00D85CC8">
        <w:rPr>
          <w:b/>
          <w:lang w:val="fr-FR" w:eastAsia="zh-CN"/>
        </w:rPr>
        <w:t>experts du transport des marchandises dangereuses</w:t>
      </w:r>
    </w:p>
    <w:p w14:paraId="3AA08AE2" w14:textId="77777777" w:rsidR="00412A4C" w:rsidRPr="00D85CC8" w:rsidRDefault="00412A4C" w:rsidP="00D85CC8">
      <w:pPr>
        <w:spacing w:before="120"/>
        <w:rPr>
          <w:b/>
          <w:lang w:eastAsia="zh-CN"/>
        </w:rPr>
      </w:pPr>
      <w:r w:rsidRPr="00D85CC8">
        <w:rPr>
          <w:b/>
          <w:lang w:val="fr-FR" w:eastAsia="zh-CN"/>
        </w:rPr>
        <w:t>Soixante et unième session</w:t>
      </w:r>
    </w:p>
    <w:p w14:paraId="3BFCC230" w14:textId="77777777" w:rsidR="00412A4C" w:rsidRPr="007371EF" w:rsidRDefault="00412A4C" w:rsidP="00D85CC8">
      <w:pPr>
        <w:rPr>
          <w:lang w:eastAsia="zh-CN"/>
        </w:rPr>
      </w:pPr>
      <w:r w:rsidRPr="007371EF">
        <w:rPr>
          <w:lang w:val="fr-FR" w:eastAsia="zh-CN"/>
        </w:rPr>
        <w:t xml:space="preserve">Genève, 28 novembre-6 décembre 2022 </w:t>
      </w:r>
    </w:p>
    <w:p w14:paraId="6AB28D37" w14:textId="4B6235FB" w:rsidR="00412A4C" w:rsidRPr="007371EF" w:rsidRDefault="00412A4C" w:rsidP="00D85CC8">
      <w:pPr>
        <w:rPr>
          <w:lang w:eastAsia="zh-CN"/>
        </w:rPr>
      </w:pPr>
      <w:r w:rsidRPr="007371EF">
        <w:rPr>
          <w:lang w:val="fr-FR" w:eastAsia="zh-CN"/>
        </w:rPr>
        <w:t>Point 5 c)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ordre du jour provisoire</w:t>
      </w:r>
    </w:p>
    <w:p w14:paraId="5EE078C1" w14:textId="77777777" w:rsidR="00412A4C" w:rsidRPr="00D85CC8" w:rsidRDefault="00412A4C" w:rsidP="00D85CC8">
      <w:pPr>
        <w:rPr>
          <w:b/>
          <w:lang w:eastAsia="zh-CN"/>
        </w:rPr>
      </w:pPr>
      <w:r w:rsidRPr="00D85CC8">
        <w:rPr>
          <w:b/>
          <w:lang w:val="fr-FR" w:eastAsia="zh-CN"/>
        </w:rPr>
        <w:t>Transport de gaz : autres questions</w:t>
      </w:r>
    </w:p>
    <w:p w14:paraId="64857507" w14:textId="77777777" w:rsidR="00412A4C" w:rsidRPr="007371EF" w:rsidRDefault="00412A4C" w:rsidP="00412A4C">
      <w:pPr>
        <w:pStyle w:val="HChG"/>
        <w:rPr>
          <w:lang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Normes ISO mises à jour dans la classe 2</w:t>
      </w:r>
    </w:p>
    <w:p w14:paraId="6EE7837A" w14:textId="3640F03E" w:rsidR="00412A4C" w:rsidRPr="007371EF" w:rsidRDefault="00412A4C" w:rsidP="00412A4C">
      <w:pPr>
        <w:pStyle w:val="H1G"/>
        <w:rPr>
          <w:lang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Communication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Organisation internationale de normalisation (ISO)</w:t>
      </w:r>
      <w:r w:rsidR="00D85CC8" w:rsidRPr="00D85CC8">
        <w:rPr>
          <w:rStyle w:val="FootnoteReference"/>
          <w:b w:val="0"/>
          <w:bCs/>
          <w:sz w:val="20"/>
          <w:vertAlign w:val="baseline"/>
          <w:lang w:eastAsia="zh-CN"/>
        </w:rPr>
        <w:footnoteReference w:customMarkFollows="1" w:id="2"/>
        <w:t>*</w:t>
      </w:r>
    </w:p>
    <w:p w14:paraId="42ABDBC7" w14:textId="77777777" w:rsidR="00412A4C" w:rsidRPr="00253D48" w:rsidRDefault="00412A4C" w:rsidP="00412A4C">
      <w:pPr>
        <w:pStyle w:val="HChG"/>
        <w:rPr>
          <w:lang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Introduction</w:t>
      </w:r>
    </w:p>
    <w:p w14:paraId="561B2FE4" w14:textId="5E07D1B6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rFonts w:eastAsia="SimSun"/>
          <w:lang w:eastAsia="zh-CN"/>
        </w:rPr>
        <w:t>1.</w:t>
      </w:r>
      <w:r w:rsidRPr="007371EF">
        <w:rPr>
          <w:rFonts w:eastAsia="SimSun"/>
          <w:lang w:eastAsia="zh-CN"/>
        </w:rPr>
        <w:tab/>
      </w:r>
      <w:r w:rsidRPr="007371EF">
        <w:rPr>
          <w:rFonts w:eastAsia="SimSun"/>
          <w:lang w:val="fr-FR" w:eastAsia="zh-CN"/>
        </w:rPr>
        <w:t>À la soixantième session du Sous-Comité d</w:t>
      </w:r>
      <w:r w:rsidR="00D85CC8">
        <w:rPr>
          <w:rFonts w:eastAsia="SimSun"/>
          <w:lang w:val="fr-FR" w:eastAsia="zh-CN"/>
        </w:rPr>
        <w:t>’</w:t>
      </w:r>
      <w:r w:rsidRPr="007371EF">
        <w:rPr>
          <w:rFonts w:eastAsia="SimSun"/>
          <w:lang w:val="fr-FR" w:eastAsia="zh-CN"/>
        </w:rPr>
        <w:t>experts, l</w:t>
      </w:r>
      <w:r w:rsidR="00D85CC8">
        <w:rPr>
          <w:rFonts w:eastAsia="SimSun"/>
          <w:lang w:val="fr-FR" w:eastAsia="zh-CN"/>
        </w:rPr>
        <w:t>’</w:t>
      </w:r>
      <w:r w:rsidRPr="007371EF">
        <w:rPr>
          <w:rFonts w:eastAsia="SimSun"/>
          <w:lang w:val="fr-FR" w:eastAsia="zh-CN"/>
        </w:rPr>
        <w:t>ISO a soumis le document ST/SG/AC.10/C.3/2022/14. Le Sous-Comité lui a demandé un complément d</w:t>
      </w:r>
      <w:r w:rsidR="00D85CC8">
        <w:rPr>
          <w:rFonts w:eastAsia="SimSun"/>
          <w:lang w:val="fr-FR" w:eastAsia="zh-CN"/>
        </w:rPr>
        <w:t>’</w:t>
      </w:r>
      <w:r w:rsidRPr="007371EF">
        <w:rPr>
          <w:rFonts w:eastAsia="SimSun"/>
          <w:lang w:val="fr-FR" w:eastAsia="zh-CN"/>
        </w:rPr>
        <w:t>information concernant deux normes visées par ce document.</w:t>
      </w:r>
      <w:bookmarkStart w:id="0" w:name="_Hlk112746451"/>
      <w:bookmarkEnd w:id="0"/>
    </w:p>
    <w:p w14:paraId="6C092C6B" w14:textId="6B883353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2.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>Il s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agit des normes suivantes :</w:t>
      </w:r>
    </w:p>
    <w:p w14:paraId="36FA08F8" w14:textId="4A90817C" w:rsidR="00412A4C" w:rsidRPr="007371EF" w:rsidRDefault="00412A4C" w:rsidP="00412A4C">
      <w:pPr>
        <w:pStyle w:val="SingleTxtG"/>
        <w:ind w:left="1701"/>
        <w:rPr>
          <w:lang w:eastAsia="zh-CN"/>
        </w:rPr>
      </w:pPr>
      <w:r w:rsidRPr="007371EF">
        <w:rPr>
          <w:lang w:val="fr-FR" w:eastAsia="zh-CN"/>
        </w:rPr>
        <w:t>ISO 9809-</w:t>
      </w:r>
      <w:proofErr w:type="gramStart"/>
      <w:r w:rsidRPr="007371EF">
        <w:rPr>
          <w:lang w:val="fr-FR" w:eastAsia="zh-CN"/>
        </w:rPr>
        <w:t>4:</w:t>
      </w:r>
      <w:proofErr w:type="gramEnd"/>
      <w:r w:rsidRPr="007371EF">
        <w:rPr>
          <w:lang w:val="fr-FR" w:eastAsia="zh-CN"/>
        </w:rPr>
        <w:t>2021, Bouteilles à gaz −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Conception, construction et essais des bouteilles à gaz et des tubes rechargeables en acier sans soudure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− Partie 4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: Bouteilles en acier inoxydable avec une valeur Rm inférieure à 1 100 MPa ;</w:t>
      </w:r>
    </w:p>
    <w:p w14:paraId="3136F4ED" w14:textId="42D97931" w:rsidR="00412A4C" w:rsidRPr="007371EF" w:rsidRDefault="00412A4C" w:rsidP="00412A4C">
      <w:pPr>
        <w:pStyle w:val="SingleTxtG"/>
        <w:ind w:left="1701"/>
        <w:rPr>
          <w:lang w:eastAsia="zh-CN"/>
        </w:rPr>
      </w:pPr>
      <w:r w:rsidRPr="007371EF">
        <w:rPr>
          <w:lang w:val="fr-FR" w:eastAsia="zh-CN"/>
        </w:rPr>
        <w:t xml:space="preserve">ISO </w:t>
      </w:r>
      <w:proofErr w:type="gramStart"/>
      <w:r w:rsidRPr="007371EF">
        <w:rPr>
          <w:lang w:val="fr-FR" w:eastAsia="zh-CN"/>
        </w:rPr>
        <w:t>23826:</w:t>
      </w:r>
      <w:proofErr w:type="gramEnd"/>
      <w:r w:rsidRPr="007371EF">
        <w:rPr>
          <w:lang w:val="fr-FR" w:eastAsia="zh-CN"/>
        </w:rPr>
        <w:t>2021, Bouteilles à gaz −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Robinets à boisseau sphérique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− Spécifications et essais.</w:t>
      </w:r>
    </w:p>
    <w:p w14:paraId="245EF1FB" w14:textId="77777777" w:rsidR="00412A4C" w:rsidRPr="007371EF" w:rsidRDefault="00412A4C" w:rsidP="00412A4C">
      <w:pPr>
        <w:pStyle w:val="HChG"/>
        <w:rPr>
          <w:lang w:eastAsia="zh-CN"/>
        </w:rPr>
      </w:pPr>
      <w:r>
        <w:rPr>
          <w:lang w:val="fr-FR" w:eastAsia="zh-CN"/>
        </w:rPr>
        <w:tab/>
      </w:r>
      <w:r>
        <w:rPr>
          <w:lang w:val="fr-FR" w:eastAsia="zh-CN"/>
        </w:rPr>
        <w:tab/>
      </w:r>
      <w:r w:rsidRPr="007371EF">
        <w:rPr>
          <w:lang w:val="fr-FR" w:eastAsia="zh-CN"/>
        </w:rPr>
        <w:t>Proposition 1</w:t>
      </w:r>
    </w:p>
    <w:p w14:paraId="6975E167" w14:textId="41A2A117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3.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 xml:space="preserve">La </w:t>
      </w:r>
      <w:r w:rsidRPr="00CA43D8">
        <w:rPr>
          <w:lang w:val="fr-FR" w:eastAsia="zh-CN"/>
        </w:rPr>
        <w:t>norme ISO 9809-4, révisée en 2021, comprend</w:t>
      </w:r>
      <w:r w:rsidRPr="007371EF">
        <w:rPr>
          <w:lang w:val="fr-FR" w:eastAsia="zh-CN"/>
        </w:rPr>
        <w:t xml:space="preserve"> désormais un paragraphe consacré aux essais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homologation de type ou de conformité de la production réalisés sur les bouteilles commandées en petites quantités, lequel a été ajouté pour tenir compte du fait que les bouteilles fabriquées conformément à cette norme sont, en général, uniquement produites en petites quantités. La notion de « petite quantité » n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y est toutefois pas définie (pas plus que dans le reste de la norme).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ISO a consulté les experts ayant élaboré la norme, qui ont estimé qu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il convenait de parler de « petite quantité » pour un lot contenant moins de 200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bouteilles. La proposition destinée à insérer une référence à la norme ISO 9809-</w:t>
      </w:r>
      <w:proofErr w:type="gramStart"/>
      <w:r w:rsidRPr="007371EF">
        <w:rPr>
          <w:lang w:val="fr-FR" w:eastAsia="zh-CN"/>
        </w:rPr>
        <w:t>4:</w:t>
      </w:r>
      <w:proofErr w:type="gramEnd"/>
      <w:r w:rsidRPr="007371EF">
        <w:rPr>
          <w:lang w:val="fr-FR" w:eastAsia="zh-CN"/>
        </w:rPr>
        <w:t>2021 a donc été modifiée par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ajout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une note donnant cette précision.</w:t>
      </w:r>
    </w:p>
    <w:p w14:paraId="6A552799" w14:textId="4D450668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lastRenderedPageBreak/>
        <w:t>4.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>Dans le tableau du 6.2.2.1.1, à la ligne commençant par ISO 9809-</w:t>
      </w:r>
      <w:proofErr w:type="gramStart"/>
      <w:r w:rsidRPr="007371EF">
        <w:rPr>
          <w:lang w:val="fr-FR" w:eastAsia="zh-CN"/>
        </w:rPr>
        <w:t>4:</w:t>
      </w:r>
      <w:proofErr w:type="gramEnd"/>
      <w:r w:rsidRPr="007371EF">
        <w:rPr>
          <w:lang w:val="fr-FR" w:eastAsia="zh-CN"/>
        </w:rPr>
        <w:t>2014, remplacer « Jusqu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à nouvel ordre » par « Jusqu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au 31 décembre 2028 ». Dans ce même tableau, insérer la ligne suivante sous la ligne commençant par ISO 9809-</w:t>
      </w:r>
      <w:proofErr w:type="gramStart"/>
      <w:r w:rsidRPr="007371EF">
        <w:rPr>
          <w:lang w:val="fr-FR" w:eastAsia="zh-CN"/>
        </w:rPr>
        <w:t>4:</w:t>
      </w:r>
      <w:proofErr w:type="gramEnd"/>
      <w:r w:rsidRPr="007371EF">
        <w:rPr>
          <w:lang w:val="fr-FR" w:eastAsia="zh-CN"/>
        </w:rPr>
        <w:t>2014 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1559"/>
      </w:tblGrid>
      <w:tr w:rsidR="00412A4C" w:rsidRPr="00253D48" w14:paraId="7D17A599" w14:textId="77777777" w:rsidTr="003207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51F" w14:textId="0ED543B4" w:rsidR="00412A4C" w:rsidRPr="007371EF" w:rsidRDefault="000C6150" w:rsidP="000C6150">
            <w:pPr>
              <w:ind w:left="170"/>
              <w:rPr>
                <w:rFonts w:eastAsia="SimSun"/>
                <w:lang w:val="fr-FR" w:eastAsia="zh-CN"/>
              </w:rPr>
            </w:pPr>
            <w:r>
              <w:rPr>
                <w:lang w:val="fr-FR"/>
              </w:rPr>
              <w:t>ISO 9809-</w:t>
            </w:r>
            <w:proofErr w:type="gramStart"/>
            <w:r>
              <w:rPr>
                <w:lang w:val="fr-FR"/>
              </w:rPr>
              <w:t>4:</w:t>
            </w:r>
            <w:proofErr w:type="gramEnd"/>
            <w:r>
              <w:rPr>
                <w:lang w:val="fr-FR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7C9" w14:textId="14D24395" w:rsidR="00412A4C" w:rsidRPr="007371EF" w:rsidRDefault="00412A4C" w:rsidP="00CF0197">
            <w:pPr>
              <w:pStyle w:val="SingleTxtG"/>
              <w:ind w:left="57" w:right="57"/>
              <w:rPr>
                <w:lang w:eastAsia="zh-CN"/>
              </w:rPr>
            </w:pPr>
            <w:r w:rsidRPr="007371EF">
              <w:rPr>
                <w:rFonts w:eastAsia="SimSun"/>
                <w:lang w:val="fr-FR" w:eastAsia="zh-CN"/>
              </w:rPr>
              <w:t>Bouteilles à gaz − Conception, construction et essais des bouteilles à gaz et des tubes rechargeables en acier sans soudure</w:t>
            </w:r>
            <w:r w:rsidR="00D85CC8">
              <w:rPr>
                <w:rFonts w:eastAsia="SimSun"/>
                <w:lang w:val="fr-FR" w:eastAsia="zh-CN"/>
              </w:rPr>
              <w:t> </w:t>
            </w:r>
            <w:r w:rsidRPr="007371EF">
              <w:rPr>
                <w:rFonts w:eastAsia="SimSun"/>
                <w:lang w:val="fr-FR" w:eastAsia="zh-CN"/>
              </w:rPr>
              <w:t>− Partie 4</w:t>
            </w:r>
            <w:r w:rsidR="00D85CC8">
              <w:rPr>
                <w:rFonts w:eastAsia="SimSun"/>
                <w:lang w:val="fr-FR" w:eastAsia="zh-CN"/>
              </w:rPr>
              <w:t> </w:t>
            </w:r>
            <w:r w:rsidRPr="007371EF">
              <w:rPr>
                <w:rFonts w:eastAsia="SimSun"/>
                <w:lang w:val="fr-FR" w:eastAsia="zh-CN"/>
              </w:rPr>
              <w:t>: Bouteilles en acier inoxydable avec une valeur Rm inférieure à 1 100 MPa</w:t>
            </w:r>
          </w:p>
          <w:p w14:paraId="1B49857A" w14:textId="77777777" w:rsidR="00412A4C" w:rsidRPr="007371EF" w:rsidRDefault="00412A4C" w:rsidP="00CF0197">
            <w:pPr>
              <w:pStyle w:val="SingleTxtG"/>
              <w:ind w:left="57" w:right="57"/>
              <w:rPr>
                <w:rFonts w:eastAsia="SimSun"/>
                <w:lang w:val="fr-FR" w:eastAsia="zh-CN"/>
              </w:rPr>
            </w:pPr>
            <w:r w:rsidRPr="007371EF">
              <w:rPr>
                <w:b/>
                <w:bCs/>
                <w:i/>
                <w:lang w:val="fr-FR" w:eastAsia="zh-CN"/>
              </w:rPr>
              <w:t xml:space="preserve">NOTE </w:t>
            </w:r>
            <w:r w:rsidRPr="007371EF">
              <w:rPr>
                <w:i/>
                <w:lang w:val="fr-FR" w:eastAsia="zh-CN"/>
              </w:rPr>
              <w:t>: On entend par « petites quantités » les lots ne contenant pas plus de 200 bouteilles.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96C" w14:textId="001C7437" w:rsidR="00412A4C" w:rsidRPr="007371EF" w:rsidRDefault="000C6150" w:rsidP="00D85CC8">
            <w:pPr>
              <w:pStyle w:val="SingleTxtG"/>
              <w:ind w:left="57" w:right="57"/>
              <w:rPr>
                <w:rFonts w:eastAsia="SimSun"/>
                <w:lang w:val="fr-FR" w:eastAsia="zh-CN"/>
              </w:rPr>
            </w:pPr>
            <w:r>
              <w:rPr>
                <w:lang w:val="fr-FR"/>
              </w:rPr>
              <w:t>Jusqu’à nouvel ordre</w:t>
            </w:r>
          </w:p>
        </w:tc>
      </w:tr>
    </w:tbl>
    <w:p w14:paraId="0F38D80B" w14:textId="77777777" w:rsidR="00412A4C" w:rsidRPr="00412A4C" w:rsidRDefault="00412A4C" w:rsidP="00412A4C">
      <w:pPr>
        <w:pStyle w:val="H1G"/>
        <w:rPr>
          <w:lang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Justification</w:t>
      </w:r>
    </w:p>
    <w:p w14:paraId="12C4E269" w14:textId="3D103F7D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5.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>Par rapport à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édition précédente, les principaux changements (tels que présentés dans le document ST/SG/AC.10/C.3/2022/14) sont les suivants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:</w:t>
      </w:r>
    </w:p>
    <w:p w14:paraId="262E8367" w14:textId="3543C658" w:rsidR="00412A4C" w:rsidRPr="007371EF" w:rsidRDefault="00412A4C" w:rsidP="00D85CC8">
      <w:pPr>
        <w:pStyle w:val="SingleTxtG"/>
        <w:ind w:left="2268" w:hanging="567"/>
        <w:rPr>
          <w:lang w:eastAsia="zh-CN"/>
        </w:rPr>
      </w:pPr>
      <w:r w:rsidRPr="007371EF">
        <w:rPr>
          <w:lang w:val="fr-FR" w:eastAsia="zh-CN"/>
        </w:rPr>
        <w:t>a)</w:t>
      </w:r>
      <w:r w:rsidRPr="007371EF">
        <w:rPr>
          <w:lang w:val="fr-FR" w:eastAsia="zh-CN"/>
        </w:rPr>
        <w:tab/>
        <w:t>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article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5,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Contrôles et essais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», a été mis à jour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;</w:t>
      </w:r>
    </w:p>
    <w:p w14:paraId="6173D52A" w14:textId="551AA6C8" w:rsidR="00412A4C" w:rsidRPr="007371EF" w:rsidRDefault="00412A4C" w:rsidP="00D85CC8">
      <w:pPr>
        <w:pStyle w:val="SingleTxtG"/>
        <w:ind w:left="2268" w:hanging="567"/>
        <w:rPr>
          <w:lang w:eastAsia="zh-CN"/>
        </w:rPr>
      </w:pPr>
      <w:r w:rsidRPr="007371EF">
        <w:rPr>
          <w:lang w:val="fr-FR" w:eastAsia="zh-CN"/>
        </w:rPr>
        <w:t>b)</w:t>
      </w:r>
      <w:r w:rsidRPr="007371EF">
        <w:rPr>
          <w:lang w:val="fr-FR" w:eastAsia="zh-CN"/>
        </w:rPr>
        <w:tab/>
        <w:t>Des précisions ont été apportées dans la figure 3,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Écart de la partie cylindrique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enveloppe par rapport à une ligne droite et à la verticale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;</w:t>
      </w:r>
    </w:p>
    <w:p w14:paraId="33C5A8CA" w14:textId="351C0145" w:rsidR="00412A4C" w:rsidRPr="007371EF" w:rsidRDefault="00412A4C" w:rsidP="00D85CC8">
      <w:pPr>
        <w:pStyle w:val="SingleTxtG"/>
        <w:ind w:left="2268" w:hanging="567"/>
        <w:rPr>
          <w:lang w:eastAsia="zh-CN"/>
        </w:rPr>
      </w:pPr>
      <w:r w:rsidRPr="007371EF">
        <w:rPr>
          <w:lang w:val="fr-FR" w:eastAsia="zh-CN"/>
        </w:rPr>
        <w:t>c)</w:t>
      </w:r>
      <w:r w:rsidRPr="007371EF">
        <w:rPr>
          <w:lang w:val="fr-FR" w:eastAsia="zh-CN"/>
        </w:rPr>
        <w:tab/>
        <w:t>Des précisions ont été apportées au paragraphe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8.9,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Filetage du goulot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;</w:t>
      </w:r>
    </w:p>
    <w:p w14:paraId="40E922E0" w14:textId="00FD312A" w:rsidR="00412A4C" w:rsidRPr="007371EF" w:rsidRDefault="00412A4C" w:rsidP="00D85CC8">
      <w:pPr>
        <w:pStyle w:val="SingleTxtG"/>
        <w:ind w:left="2268" w:hanging="567"/>
        <w:rPr>
          <w:lang w:eastAsia="zh-CN"/>
        </w:rPr>
      </w:pPr>
      <w:r w:rsidRPr="007371EF">
        <w:rPr>
          <w:lang w:val="fr-FR" w:eastAsia="zh-CN"/>
        </w:rPr>
        <w:t>d)</w:t>
      </w:r>
      <w:r w:rsidRPr="007371EF">
        <w:rPr>
          <w:lang w:val="fr-FR" w:eastAsia="zh-CN"/>
        </w:rPr>
        <w:tab/>
        <w:t>Des modifications ont été apportées au paragraphe 9.1,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Exigences générales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», au paragraphe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9.2,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Essai de prototype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», au paragraphe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9.2.4,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Essai de couple pour filetage conique uniquement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 et à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annexe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A,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Évaluation des défauts de fabrication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;</w:t>
      </w:r>
    </w:p>
    <w:p w14:paraId="4AEBCEE1" w14:textId="608CA1BA" w:rsidR="00412A4C" w:rsidRPr="007371EF" w:rsidRDefault="00412A4C" w:rsidP="00D85CC8">
      <w:pPr>
        <w:pStyle w:val="SingleTxtG"/>
        <w:ind w:left="2268" w:hanging="567"/>
        <w:rPr>
          <w:lang w:eastAsia="zh-CN"/>
        </w:rPr>
      </w:pPr>
      <w:r w:rsidRPr="007371EF">
        <w:rPr>
          <w:lang w:val="fr-FR" w:eastAsia="zh-CN"/>
        </w:rPr>
        <w:t>e)</w:t>
      </w:r>
      <w:r w:rsidRPr="007371EF">
        <w:rPr>
          <w:lang w:val="fr-FR" w:eastAsia="zh-CN"/>
        </w:rPr>
        <w:tab/>
        <w:t>Un nouveau paragraphe (9.2.5), intitulé «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Calcul de la contrainte de cisaillement pour les filetages coniques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», a été ajouté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;</w:t>
      </w:r>
    </w:p>
    <w:p w14:paraId="536C6FF8" w14:textId="50F80ADB" w:rsidR="00412A4C" w:rsidRPr="00D85CC8" w:rsidRDefault="00412A4C" w:rsidP="00D85CC8">
      <w:pPr>
        <w:pStyle w:val="SingleTxtG"/>
        <w:ind w:left="2268" w:hanging="567"/>
        <w:rPr>
          <w:lang w:val="fr-FR" w:eastAsia="zh-CN"/>
        </w:rPr>
      </w:pPr>
      <w:r w:rsidRPr="007371EF">
        <w:rPr>
          <w:lang w:val="fr-FR" w:eastAsia="zh-CN"/>
        </w:rPr>
        <w:t>f)</w:t>
      </w:r>
      <w:r w:rsidRPr="007371EF">
        <w:rPr>
          <w:lang w:val="fr-FR" w:eastAsia="zh-CN"/>
        </w:rPr>
        <w:tab/>
        <w:t>Un nouveau paragraphe (9.4), consacré aux bouteilles commandées en petites quantités, a été ajouté (voir par.</w:t>
      </w:r>
      <w:r w:rsidR="00D85CC8">
        <w:rPr>
          <w:lang w:val="fr-FR" w:eastAsia="zh-CN"/>
        </w:rPr>
        <w:t> </w:t>
      </w:r>
      <w:r w:rsidRPr="007371EF">
        <w:rPr>
          <w:lang w:val="fr-FR" w:eastAsia="zh-CN"/>
        </w:rPr>
        <w:t>4 ci-dessus).</w:t>
      </w:r>
    </w:p>
    <w:p w14:paraId="02105BF5" w14:textId="77777777" w:rsidR="00412A4C" w:rsidRPr="007371EF" w:rsidRDefault="00412A4C" w:rsidP="00412A4C">
      <w:pPr>
        <w:pStyle w:val="HChG"/>
        <w:rPr>
          <w:lang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Proposition 2</w:t>
      </w:r>
    </w:p>
    <w:p w14:paraId="48A477D5" w14:textId="05807EC8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6.</w:t>
      </w:r>
      <w:r w:rsidRPr="007371EF">
        <w:rPr>
          <w:lang w:eastAsia="zh-CN"/>
        </w:rPr>
        <w:tab/>
      </w:r>
      <w:r w:rsidRPr="00CA43D8">
        <w:rPr>
          <w:lang w:val="fr-FR" w:eastAsia="zh-CN"/>
        </w:rPr>
        <w:t>L</w:t>
      </w:r>
      <w:r w:rsidR="00D85CC8" w:rsidRPr="00CA43D8">
        <w:rPr>
          <w:lang w:val="fr-FR" w:eastAsia="zh-CN"/>
        </w:rPr>
        <w:t>’</w:t>
      </w:r>
      <w:r w:rsidRPr="00CA43D8">
        <w:rPr>
          <w:lang w:val="fr-FR" w:eastAsia="zh-CN"/>
        </w:rPr>
        <w:t>ISO 23826:2021 est</w:t>
      </w:r>
      <w:r w:rsidRPr="007371EF">
        <w:rPr>
          <w:lang w:val="fr-FR" w:eastAsia="zh-CN"/>
        </w:rPr>
        <w:t xml:space="preserve"> une nouvelle norme spécifiant les exigences relatives à la conception, aux essais de type, au marquage et aux essais et contrôles du fabricant pour les robinets à boisseau sphérique utilisés comme fermetures de bouteilles à gaz, tubes et fûts à pression transportables rechargeables, comme robinets principaux de cadres de bouteilles et comme robinets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engins de transport de la classe 2 (par exemple des véhicules-batteries et conteneurs à gaz à éléments multiples (CGEM)) qui contiennent des gaz comprimés, des gaz liquéfiés et des gaz dissous.</w:t>
      </w:r>
    </w:p>
    <w:p w14:paraId="6895F833" w14:textId="11B0BD7C" w:rsidR="00412A4C" w:rsidRDefault="00412A4C" w:rsidP="00412A4C">
      <w:pPr>
        <w:pStyle w:val="SingleTxtG"/>
        <w:rPr>
          <w:lang w:val="fr-FR" w:eastAsia="zh-CN"/>
        </w:rPr>
      </w:pPr>
      <w:r w:rsidRPr="007371EF">
        <w:rPr>
          <w:lang w:eastAsia="zh-CN"/>
        </w:rPr>
        <w:t>7.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>Au 6.2.2.3, ajouter la nouvelle ligne suivante à la fin du premier tableau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1559"/>
      </w:tblGrid>
      <w:tr w:rsidR="00320717" w:rsidRPr="00253D48" w14:paraId="47B4289C" w14:textId="77777777" w:rsidTr="003207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412" w14:textId="0F5D549E" w:rsidR="00320717" w:rsidRPr="007371EF" w:rsidRDefault="00320717" w:rsidP="00CF0197">
            <w:pPr>
              <w:ind w:left="170"/>
              <w:rPr>
                <w:rFonts w:eastAsia="SimSun"/>
                <w:lang w:val="fr-FR" w:eastAsia="zh-CN"/>
              </w:rPr>
            </w:pPr>
            <w:r w:rsidRPr="000C6150">
              <w:rPr>
                <w:rFonts w:eastAsia="SimSun"/>
                <w:iCs/>
                <w:color w:val="000000"/>
                <w:lang w:val="en-GB" w:eastAsia="zh-CN"/>
              </w:rPr>
              <w:t>ISO</w:t>
            </w:r>
            <w:r w:rsidRPr="007371EF">
              <w:rPr>
                <w:rFonts w:eastAsia="SimSun"/>
                <w:lang w:val="fr-FR" w:eastAsia="zh-CN"/>
              </w:rPr>
              <w:t xml:space="preserve"> 23826:2021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05C" w14:textId="65837A71" w:rsidR="00320717" w:rsidRPr="007371EF" w:rsidRDefault="00320717" w:rsidP="00CF0197">
            <w:pPr>
              <w:pStyle w:val="SingleTxtG"/>
              <w:ind w:left="57" w:right="57"/>
              <w:rPr>
                <w:rFonts w:eastAsia="SimSun"/>
                <w:lang w:val="fr-FR" w:eastAsia="zh-CN"/>
              </w:rPr>
            </w:pPr>
            <w:r w:rsidRPr="007371EF">
              <w:rPr>
                <w:rFonts w:eastAsia="SimSun"/>
                <w:lang w:val="fr-FR" w:eastAsia="zh-CN"/>
              </w:rPr>
              <w:t>Bouteilles à gaz − Robinets à boisseau sphérique − Spécifications et essais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6C0" w14:textId="77777777" w:rsidR="00320717" w:rsidRPr="007371EF" w:rsidRDefault="00320717" w:rsidP="00CF0197">
            <w:pPr>
              <w:pStyle w:val="SingleTxtG"/>
              <w:ind w:left="57" w:right="57"/>
              <w:rPr>
                <w:rFonts w:eastAsia="SimSun"/>
                <w:lang w:val="fr-FR" w:eastAsia="zh-CN"/>
              </w:rPr>
            </w:pPr>
            <w:r>
              <w:rPr>
                <w:lang w:val="fr-FR"/>
              </w:rPr>
              <w:t>Jusqu’à nouvel ordre</w:t>
            </w:r>
          </w:p>
        </w:tc>
      </w:tr>
    </w:tbl>
    <w:p w14:paraId="66979824" w14:textId="77777777" w:rsidR="00412A4C" w:rsidRPr="007371EF" w:rsidRDefault="00412A4C" w:rsidP="00412A4C">
      <w:pPr>
        <w:pStyle w:val="H1G"/>
        <w:rPr>
          <w:lang w:val="en-GB"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Justification</w:t>
      </w:r>
    </w:p>
    <w:p w14:paraId="60B4799D" w14:textId="5C94F7DA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8.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 xml:space="preserve">Lorsque la norme ISO </w:t>
      </w:r>
      <w:proofErr w:type="gramStart"/>
      <w:r w:rsidRPr="007371EF">
        <w:rPr>
          <w:lang w:val="fr-FR" w:eastAsia="zh-CN"/>
        </w:rPr>
        <w:t>10297:</w:t>
      </w:r>
      <w:proofErr w:type="gramEnd"/>
      <w:r w:rsidRPr="007371EF">
        <w:rPr>
          <w:lang w:val="fr-FR" w:eastAsia="zh-CN"/>
        </w:rPr>
        <w:t>2006 a été révisée, le sous-comité 2 du comité technique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58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ISO et son groupe de travail 6 sont convenus que cette norme ne s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appliquait pas à certains types de robinets, tels que les robinets à ouverture rapide, les robinets équipés de clapets auto-obturants et les robinets à boisseau sphérique, lesquels ont été exclus du champ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application de la norme ISO 10297:2014 et le sont restés dans le cadre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amendement 1 de 2017.</w:t>
      </w:r>
    </w:p>
    <w:p w14:paraId="06AA6264" w14:textId="67D76187" w:rsidR="00412A4C" w:rsidRPr="007371EF" w:rsidRDefault="00412A4C" w:rsidP="000C6150">
      <w:pPr>
        <w:pStyle w:val="SingleTxtG"/>
        <w:keepNext/>
        <w:keepLines/>
        <w:rPr>
          <w:lang w:eastAsia="zh-CN"/>
        </w:rPr>
      </w:pPr>
      <w:r w:rsidRPr="00253D48">
        <w:rPr>
          <w:lang w:eastAsia="zh-CN"/>
        </w:rPr>
        <w:lastRenderedPageBreak/>
        <w:t>9.</w:t>
      </w:r>
      <w:r w:rsidRPr="00253D48">
        <w:rPr>
          <w:lang w:eastAsia="zh-CN"/>
        </w:rPr>
        <w:tab/>
      </w:r>
      <w:r w:rsidRPr="007371EF">
        <w:rPr>
          <w:lang w:val="fr-FR" w:eastAsia="zh-CN"/>
        </w:rPr>
        <w:t>Comme il était urgent de disposer de normes applicables aux robinets à ouverture rapide et aux robinets équipés de clapets auto-obturants, il a été décidé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élaborer des normes distinctes qui seraient fondées sur la norme ISO 10297 mais prévoiraient des exigences différentes (non applicables aux robinets visés par cette norme ou ajustées par rapport à ses exigences) ainsi que des exigences supplémentaires liées à la conception et aux applications de ces types de robinets. Des travaux ont été menés dans ce sens et ont donné lieu à la publication de la norme ISO 17871, consacrée aux robinets de bouteilles à fermeture rapide, et de la norme ISO 17879, consacrée aux robinets de bouteilles équipés de clapets auto</w:t>
      </w:r>
      <w:r w:rsidR="000C6150">
        <w:rPr>
          <w:lang w:val="fr-FR" w:eastAsia="zh-CN"/>
        </w:rPr>
        <w:noBreakHyphen/>
      </w:r>
      <w:r w:rsidRPr="007371EF">
        <w:rPr>
          <w:lang w:val="fr-FR" w:eastAsia="zh-CN"/>
        </w:rPr>
        <w:t>obturants. Ces deux normes sont citées dans le Règlement type.</w:t>
      </w:r>
    </w:p>
    <w:p w14:paraId="518D4E73" w14:textId="1BD5EF7A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10.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 xml:space="preserve">Lorsque la norme ISO </w:t>
      </w:r>
      <w:proofErr w:type="gramStart"/>
      <w:r w:rsidRPr="007371EF">
        <w:rPr>
          <w:lang w:val="fr-FR" w:eastAsia="zh-CN"/>
        </w:rPr>
        <w:t>10297:</w:t>
      </w:r>
      <w:proofErr w:type="gramEnd"/>
      <w:r w:rsidRPr="007371EF">
        <w:rPr>
          <w:lang w:val="fr-FR" w:eastAsia="zh-CN"/>
        </w:rPr>
        <w:t>2006 a été révisée, il n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 pas été fait état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applications des robinets à boisseau sphérique destinées aux récipients à pression, de sorte qu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il a été décidé de reporter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élaboration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une norme distincte consacrée à ce type de robinet. Quelques années plus tard,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utilisation indispensable des robinets à boisseau sphérique, principalement pour les engins de transport tels que les remorques, véhicules-batteries et CGEM, a rendu nécessaire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élaboration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une telle norme. La norme ISO 23826, applicable aux robinets à boisseau sphérique et conçue suivant la méthode employée pour les normes ISO 17871 et ISO 17879, est également équivalente à la norme ISO 10297.</w:t>
      </w:r>
    </w:p>
    <w:p w14:paraId="35076D7E" w14:textId="2FC62F7E" w:rsidR="00412A4C" w:rsidRPr="007371EF" w:rsidRDefault="00412A4C" w:rsidP="00412A4C">
      <w:pPr>
        <w:pStyle w:val="H1G"/>
        <w:rPr>
          <w:lang w:eastAsia="zh-CN"/>
        </w:rPr>
      </w:pPr>
      <w:r w:rsidRPr="007371EF">
        <w:rPr>
          <w:lang w:val="fr-FR" w:eastAsia="zh-CN"/>
        </w:rPr>
        <w:tab/>
      </w:r>
      <w:r w:rsidRPr="007371EF">
        <w:rPr>
          <w:lang w:val="fr-FR" w:eastAsia="zh-CN"/>
        </w:rPr>
        <w:tab/>
        <w:t>Proposition de modifications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ordre rédactionnel</w:t>
      </w:r>
    </w:p>
    <w:p w14:paraId="79003AD5" w14:textId="4E9FFAB0" w:rsidR="00412A4C" w:rsidRPr="007371EF" w:rsidRDefault="00412A4C" w:rsidP="00412A4C">
      <w:pPr>
        <w:pStyle w:val="SingleTxtG"/>
        <w:rPr>
          <w:lang w:eastAsia="zh-CN"/>
        </w:rPr>
      </w:pPr>
      <w:r w:rsidRPr="007371EF">
        <w:rPr>
          <w:lang w:eastAsia="zh-CN"/>
        </w:rPr>
        <w:t>11.</w:t>
      </w:r>
      <w:r w:rsidRPr="007371EF">
        <w:rPr>
          <w:lang w:eastAsia="zh-CN"/>
        </w:rPr>
        <w:tab/>
      </w:r>
      <w:r w:rsidRPr="007371EF">
        <w:rPr>
          <w:lang w:val="fr-FR" w:eastAsia="zh-CN"/>
        </w:rPr>
        <w:t>Dans le document ST/SG/AC.10/C.3/2022/14, il était proposé d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harmoniser la présentation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ensemble des normes avec la forme adoptée dans le catalogue de l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ISO. Comme il a été constaté que toutes les normes concernées n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y avaient pas été répertoriées, les modifications supplémentaires suivantes sont suggérées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:</w:t>
      </w:r>
    </w:p>
    <w:p w14:paraId="18DE0933" w14:textId="37EFDAE9" w:rsidR="00412A4C" w:rsidRPr="007371EF" w:rsidRDefault="00412A4C" w:rsidP="00412A4C">
      <w:pPr>
        <w:pStyle w:val="SingleTxtG"/>
        <w:ind w:left="1701"/>
        <w:rPr>
          <w:lang w:eastAsia="zh-CN"/>
        </w:rPr>
      </w:pPr>
      <w:r w:rsidRPr="007371EF">
        <w:rPr>
          <w:lang w:val="fr-FR" w:eastAsia="zh-CN"/>
        </w:rPr>
        <w:t>Au 4.1.6.1.8 e), remplacer «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ISO 10297 + A</w:t>
      </w:r>
      <w:proofErr w:type="gramStart"/>
      <w:r w:rsidRPr="007371EF">
        <w:rPr>
          <w:lang w:val="fr-FR" w:eastAsia="zh-CN"/>
        </w:rPr>
        <w:t>1:</w:t>
      </w:r>
      <w:proofErr w:type="gramEnd"/>
      <w:r w:rsidRPr="007371EF">
        <w:rPr>
          <w:lang w:val="fr-FR" w:eastAsia="zh-CN"/>
        </w:rPr>
        <w:t>2017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» par «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ISO 10297:2014 + Amd 1:2017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»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;</w:t>
      </w:r>
    </w:p>
    <w:p w14:paraId="19139AE8" w14:textId="0FEEBAD9" w:rsidR="00412A4C" w:rsidRPr="007371EF" w:rsidRDefault="00412A4C" w:rsidP="00412A4C">
      <w:pPr>
        <w:pStyle w:val="SingleTxtG"/>
        <w:ind w:left="1701"/>
        <w:rPr>
          <w:lang w:eastAsia="zh-CN"/>
        </w:rPr>
      </w:pPr>
      <w:r w:rsidRPr="007371EF">
        <w:rPr>
          <w:lang w:val="fr-FR" w:eastAsia="zh-CN"/>
        </w:rPr>
        <w:t>Au 6.2.1.6.1 d), remplacer «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 xml:space="preserve">ISO </w:t>
      </w:r>
      <w:proofErr w:type="gramStart"/>
      <w:r w:rsidRPr="007371EF">
        <w:rPr>
          <w:lang w:val="fr-FR" w:eastAsia="zh-CN"/>
        </w:rPr>
        <w:t>10461:</w:t>
      </w:r>
      <w:proofErr w:type="gramEnd"/>
      <w:r w:rsidRPr="007371EF">
        <w:rPr>
          <w:lang w:val="fr-FR" w:eastAsia="zh-CN"/>
        </w:rPr>
        <w:t>2005 + A1:2006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» par «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ISO 10461:2005 + Amd:2006</w:t>
      </w:r>
      <w:r w:rsidR="000C6150">
        <w:rPr>
          <w:lang w:val="fr-FR" w:eastAsia="zh-CN"/>
        </w:rPr>
        <w:t> </w:t>
      </w:r>
      <w:r w:rsidRPr="007371EF">
        <w:rPr>
          <w:lang w:val="fr-FR" w:eastAsia="zh-CN"/>
        </w:rPr>
        <w:t>».</w:t>
      </w:r>
    </w:p>
    <w:p w14:paraId="2BC20D98" w14:textId="54FBF61C" w:rsidR="00412A4C" w:rsidRDefault="00412A4C" w:rsidP="00412A4C">
      <w:pPr>
        <w:pStyle w:val="SingleTxtG"/>
      </w:pPr>
      <w:r>
        <w:rPr>
          <w:lang w:val="fr-FR" w:eastAsia="zh-CN"/>
        </w:rPr>
        <w:t>12.</w:t>
      </w:r>
      <w:r>
        <w:rPr>
          <w:lang w:val="fr-FR" w:eastAsia="zh-CN"/>
        </w:rPr>
        <w:tab/>
      </w:r>
      <w:r w:rsidRPr="007371EF">
        <w:rPr>
          <w:lang w:val="fr-FR" w:eastAsia="zh-CN"/>
        </w:rPr>
        <w:t>Il n</w:t>
      </w:r>
      <w:r w:rsidR="00D85CC8">
        <w:rPr>
          <w:lang w:val="fr-FR" w:eastAsia="zh-CN"/>
        </w:rPr>
        <w:t>’</w:t>
      </w:r>
      <w:r w:rsidRPr="007371EF">
        <w:rPr>
          <w:lang w:val="fr-FR" w:eastAsia="zh-CN"/>
        </w:rPr>
        <w:t>est pas nécessaire de modifier le 4.1.6.1.2 étant donné que la norme ISO 11114-</w:t>
      </w:r>
      <w:proofErr w:type="gramStart"/>
      <w:r w:rsidRPr="007371EF">
        <w:rPr>
          <w:lang w:val="fr-FR" w:eastAsia="zh-CN"/>
        </w:rPr>
        <w:t>1:</w:t>
      </w:r>
      <w:proofErr w:type="gramEnd"/>
      <w:r w:rsidRPr="007371EF">
        <w:rPr>
          <w:lang w:val="fr-FR" w:eastAsia="zh-CN"/>
        </w:rPr>
        <w:t>2012 et son amendement 1 de 2017 ont été remplacés par la norme ISO 11114-1:2020 (voir le document ST/SG/AC.10/C.3/2021/10).</w:t>
      </w:r>
    </w:p>
    <w:p w14:paraId="2762707A" w14:textId="78052154" w:rsidR="00446FE5" w:rsidRPr="00412A4C" w:rsidRDefault="00412A4C" w:rsidP="00412A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12A4C" w:rsidSect="00412A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C41F" w14:textId="77777777" w:rsidR="00122B76" w:rsidRDefault="00122B76" w:rsidP="00F95C08">
      <w:pPr>
        <w:spacing w:line="240" w:lineRule="auto"/>
      </w:pPr>
    </w:p>
  </w:endnote>
  <w:endnote w:type="continuationSeparator" w:id="0">
    <w:p w14:paraId="6C9E2602" w14:textId="77777777" w:rsidR="00122B76" w:rsidRPr="00AC3823" w:rsidRDefault="00122B76" w:rsidP="00AC3823">
      <w:pPr>
        <w:pStyle w:val="Footer"/>
      </w:pPr>
    </w:p>
  </w:endnote>
  <w:endnote w:type="continuationNotice" w:id="1">
    <w:p w14:paraId="4A5C273E" w14:textId="77777777" w:rsidR="00122B76" w:rsidRDefault="00122B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94B5" w14:textId="46E9B972" w:rsidR="00412A4C" w:rsidRPr="00412A4C" w:rsidRDefault="00412A4C" w:rsidP="00412A4C">
    <w:pPr>
      <w:pStyle w:val="Footer"/>
      <w:tabs>
        <w:tab w:val="right" w:pos="9638"/>
      </w:tabs>
    </w:pPr>
    <w:r w:rsidRPr="00412A4C">
      <w:rPr>
        <w:b/>
        <w:sz w:val="18"/>
      </w:rPr>
      <w:fldChar w:fldCharType="begin"/>
    </w:r>
    <w:r w:rsidRPr="00412A4C">
      <w:rPr>
        <w:b/>
        <w:sz w:val="18"/>
      </w:rPr>
      <w:instrText xml:space="preserve"> PAGE  \* MERGEFORMAT </w:instrText>
    </w:r>
    <w:r w:rsidRPr="00412A4C">
      <w:rPr>
        <w:b/>
        <w:sz w:val="18"/>
      </w:rPr>
      <w:fldChar w:fldCharType="separate"/>
    </w:r>
    <w:r w:rsidRPr="00412A4C">
      <w:rPr>
        <w:b/>
        <w:noProof/>
        <w:sz w:val="18"/>
      </w:rPr>
      <w:t>2</w:t>
    </w:r>
    <w:r w:rsidRPr="00412A4C">
      <w:rPr>
        <w:b/>
        <w:sz w:val="18"/>
      </w:rPr>
      <w:fldChar w:fldCharType="end"/>
    </w:r>
    <w:r>
      <w:rPr>
        <w:b/>
        <w:sz w:val="18"/>
      </w:rPr>
      <w:tab/>
    </w:r>
    <w:r>
      <w:t>GE.22-13909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E23" w14:textId="2456B61B" w:rsidR="00412A4C" w:rsidRPr="00412A4C" w:rsidRDefault="00412A4C" w:rsidP="00412A4C">
    <w:pPr>
      <w:pStyle w:val="Footer"/>
      <w:tabs>
        <w:tab w:val="right" w:pos="9638"/>
      </w:tabs>
      <w:rPr>
        <w:b/>
        <w:sz w:val="18"/>
      </w:rPr>
    </w:pPr>
    <w:r>
      <w:t>GE.22-13909</w:t>
    </w:r>
    <w:r>
      <w:tab/>
    </w:r>
    <w:r w:rsidRPr="00412A4C">
      <w:rPr>
        <w:b/>
        <w:sz w:val="18"/>
      </w:rPr>
      <w:fldChar w:fldCharType="begin"/>
    </w:r>
    <w:r w:rsidRPr="00412A4C">
      <w:rPr>
        <w:b/>
        <w:sz w:val="18"/>
      </w:rPr>
      <w:instrText xml:space="preserve"> PAGE  \* MERGEFORMAT </w:instrText>
    </w:r>
    <w:r w:rsidRPr="00412A4C">
      <w:rPr>
        <w:b/>
        <w:sz w:val="18"/>
      </w:rPr>
      <w:fldChar w:fldCharType="separate"/>
    </w:r>
    <w:r w:rsidRPr="00412A4C">
      <w:rPr>
        <w:b/>
        <w:noProof/>
        <w:sz w:val="18"/>
      </w:rPr>
      <w:t>3</w:t>
    </w:r>
    <w:r w:rsidRPr="00412A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EE5" w14:textId="5621597C" w:rsidR="0068456F" w:rsidRPr="00412A4C" w:rsidRDefault="00412A4C" w:rsidP="00412A4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B21B17E" wp14:editId="323BAFA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13909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F60F82F" wp14:editId="047723F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031022    031022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D482" w14:textId="77777777" w:rsidR="00122B76" w:rsidRPr="00AC3823" w:rsidRDefault="00122B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E5B90D" w14:textId="77777777" w:rsidR="00122B76" w:rsidRPr="00AC3823" w:rsidRDefault="00122B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523746" w14:textId="77777777" w:rsidR="00122B76" w:rsidRPr="00AC3823" w:rsidRDefault="00122B76">
      <w:pPr>
        <w:spacing w:line="240" w:lineRule="auto"/>
        <w:rPr>
          <w:sz w:val="2"/>
          <w:szCs w:val="2"/>
        </w:rPr>
      </w:pPr>
    </w:p>
  </w:footnote>
  <w:footnote w:id="2">
    <w:p w14:paraId="1B9F23C4" w14:textId="47BD78DF" w:rsidR="00D85CC8" w:rsidRPr="00D85CC8" w:rsidRDefault="00D85CC8">
      <w:pPr>
        <w:pStyle w:val="FootnoteText"/>
      </w:pPr>
      <w:r>
        <w:rPr>
          <w:rStyle w:val="FootnoteReference"/>
        </w:rPr>
        <w:tab/>
      </w:r>
      <w:r w:rsidRPr="00D85CC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 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A6B3" w14:textId="44747B57" w:rsidR="00412A4C" w:rsidRPr="00412A4C" w:rsidRDefault="003A61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ST/SG/AC.10/C.3/2022/60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C430" w14:textId="4E91F00D" w:rsidR="00412A4C" w:rsidRPr="00412A4C" w:rsidRDefault="003A6182" w:rsidP="00412A4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ST/SG/AC.10/C.3/2022/60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6"/>
    <w:rsid w:val="00017F94"/>
    <w:rsid w:val="00023842"/>
    <w:rsid w:val="000305D3"/>
    <w:rsid w:val="000334F9"/>
    <w:rsid w:val="0007796D"/>
    <w:rsid w:val="000B7790"/>
    <w:rsid w:val="000C6150"/>
    <w:rsid w:val="00111F2F"/>
    <w:rsid w:val="00122B76"/>
    <w:rsid w:val="00132EA9"/>
    <w:rsid w:val="0014365E"/>
    <w:rsid w:val="00172E49"/>
    <w:rsid w:val="00176178"/>
    <w:rsid w:val="00177457"/>
    <w:rsid w:val="001F3A39"/>
    <w:rsid w:val="001F525A"/>
    <w:rsid w:val="00223272"/>
    <w:rsid w:val="0024779E"/>
    <w:rsid w:val="00283190"/>
    <w:rsid w:val="002832AC"/>
    <w:rsid w:val="002D7C93"/>
    <w:rsid w:val="00320717"/>
    <w:rsid w:val="003A6182"/>
    <w:rsid w:val="00412A4C"/>
    <w:rsid w:val="00433121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21FB2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A43D8"/>
    <w:rsid w:val="00D3439C"/>
    <w:rsid w:val="00D85CC8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96B29"/>
  <w15:docId w15:val="{13FA999A-4F06-49A5-A4E4-D1B79976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44EDE7B-8CF8-414E-9699-C50B37213565}"/>
</file>

<file path=customXml/itemProps2.xml><?xml version="1.0" encoding="utf-8"?>
<ds:datastoreItem xmlns:ds="http://schemas.openxmlformats.org/officeDocument/2006/customXml" ds:itemID="{26F21DD6-326D-4F30-A1FF-860DE7959562}"/>
</file>

<file path=customXml/itemProps3.xml><?xml version="1.0" encoding="utf-8"?>
<ds:datastoreItem xmlns:ds="http://schemas.openxmlformats.org/officeDocument/2006/customXml" ds:itemID="{8DECB47C-14B3-442E-8B21-F33CD6E0A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ST/SG/AC.10/C.3/2022/60</vt:lpstr>
    </vt:vector>
  </TitlesOfParts>
  <Company>DCM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ST/SG/AC.10/C.3/2022/60</dc:title>
  <dc:subject/>
  <dc:creator>Valerie BERTIN</dc:creator>
  <cp:keywords/>
  <cp:lastModifiedBy>Laurence Berthet</cp:lastModifiedBy>
  <cp:revision>3</cp:revision>
  <cp:lastPrinted>2022-10-03T13:22:00Z</cp:lastPrinted>
  <dcterms:created xsi:type="dcterms:W3CDTF">2022-10-03T13:21:00Z</dcterms:created>
  <dcterms:modified xsi:type="dcterms:W3CDTF">2022-10-03T13:22:00Z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