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C7F24" w14:paraId="0649F3E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45D666" w14:textId="77777777" w:rsidR="00132EA9" w:rsidRPr="00DB58B5" w:rsidRDefault="00132EA9" w:rsidP="00FC7F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3F01A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2EAA59" w14:textId="530BEABC" w:rsidR="00FC7F24" w:rsidRPr="00FC7F24" w:rsidRDefault="00FC7F24" w:rsidP="00FC7F24">
            <w:pPr>
              <w:jc w:val="right"/>
              <w:rPr>
                <w:lang w:val="en-US"/>
              </w:rPr>
            </w:pPr>
            <w:r w:rsidRPr="00FC7F24">
              <w:rPr>
                <w:sz w:val="40"/>
                <w:lang w:val="en-US"/>
              </w:rPr>
              <w:t>ST</w:t>
            </w:r>
            <w:r w:rsidRPr="00FC7F24">
              <w:rPr>
                <w:lang w:val="en-US"/>
              </w:rPr>
              <w:t>/SG/AC.10/C.3/2022/52−</w:t>
            </w:r>
            <w:r w:rsidRPr="00FC7F24">
              <w:rPr>
                <w:sz w:val="40"/>
                <w:lang w:val="en-US"/>
              </w:rPr>
              <w:t>ST</w:t>
            </w:r>
            <w:r w:rsidRPr="00FC7F24">
              <w:rPr>
                <w:lang w:val="en-US"/>
              </w:rPr>
              <w:t>/SG/AC.10/C.4/2022/11</w:t>
            </w:r>
          </w:p>
        </w:tc>
      </w:tr>
      <w:tr w:rsidR="00132EA9" w:rsidRPr="00DB58B5" w14:paraId="1716121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1E70A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88B218" wp14:editId="1025284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D5B0E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5ECEEC" w14:textId="77777777" w:rsidR="00132EA9" w:rsidRDefault="00FC7F24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93E05BE" w14:textId="0D89EDB9" w:rsidR="00FC7F24" w:rsidRDefault="00FC7F24" w:rsidP="00FC7F24">
            <w:pPr>
              <w:spacing w:line="240" w:lineRule="exact"/>
            </w:pPr>
            <w:r>
              <w:t>12 septembre 2022</w:t>
            </w:r>
          </w:p>
          <w:p w14:paraId="1A0887E5" w14:textId="77777777" w:rsidR="00FC7F24" w:rsidRDefault="00FC7F24" w:rsidP="00FC7F24">
            <w:pPr>
              <w:spacing w:line="240" w:lineRule="exact"/>
            </w:pPr>
            <w:r>
              <w:t>Français</w:t>
            </w:r>
          </w:p>
          <w:p w14:paraId="30F08B20" w14:textId="41111D06" w:rsidR="00FC7F24" w:rsidRPr="00DB58B5" w:rsidRDefault="00FC7F24" w:rsidP="00FC7F24">
            <w:pPr>
              <w:spacing w:line="240" w:lineRule="exact"/>
            </w:pPr>
            <w:r>
              <w:t>Original : anglais</w:t>
            </w:r>
          </w:p>
        </w:tc>
      </w:tr>
    </w:tbl>
    <w:p w14:paraId="341DDB1C" w14:textId="04BAAEA3" w:rsidR="00FC7F24" w:rsidRPr="00CA0680" w:rsidRDefault="00FC7F24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FC7F24" w14:paraId="6D1AC506" w14:textId="77777777" w:rsidTr="009C3129">
        <w:tc>
          <w:tcPr>
            <w:tcW w:w="4820" w:type="dxa"/>
          </w:tcPr>
          <w:p w14:paraId="786B8128" w14:textId="08CA5FFC" w:rsidR="00FC7F24" w:rsidRDefault="00FC7F24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F46E061" w14:textId="77777777" w:rsidR="00FC7F24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FC7F24" w14:paraId="6F56D043" w14:textId="77777777" w:rsidTr="009C3129">
        <w:tc>
          <w:tcPr>
            <w:tcW w:w="4820" w:type="dxa"/>
          </w:tcPr>
          <w:p w14:paraId="37056493" w14:textId="6E0090C1" w:rsidR="00FC7F24" w:rsidRPr="00CA0680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Soixante et unième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64F03CBB" w14:textId="70C8FD64" w:rsidR="00FC7F24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>Quarante-troisième session</w:t>
            </w:r>
          </w:p>
        </w:tc>
      </w:tr>
      <w:tr w:rsidR="00FC7F24" w14:paraId="6DE76E79" w14:textId="77777777" w:rsidTr="009C3129">
        <w:tc>
          <w:tcPr>
            <w:tcW w:w="4820" w:type="dxa"/>
          </w:tcPr>
          <w:p w14:paraId="70807D9E" w14:textId="15126084" w:rsidR="00FC7F24" w:rsidRDefault="00FC7F24" w:rsidP="009C3129">
            <w:r>
              <w:t>Genève, 28 novembre-6 décembre 2022</w:t>
            </w:r>
          </w:p>
          <w:p w14:paraId="0C600A2B" w14:textId="7B98E0AA" w:rsidR="00FC7F24" w:rsidRDefault="00FC7F24" w:rsidP="009C3129">
            <w:r>
              <w:t>Point 10 c) de l’ordre du jour provisoire</w:t>
            </w:r>
          </w:p>
          <w:p w14:paraId="5B72B929" w14:textId="62ECE65F" w:rsidR="00FC7F24" w:rsidRPr="003B79D9" w:rsidRDefault="00FC7F24" w:rsidP="009C3129">
            <w:pPr>
              <w:rPr>
                <w:b/>
              </w:rPr>
            </w:pPr>
            <w:r w:rsidRPr="00F94EB3">
              <w:rPr>
                <w:b/>
                <w:bCs/>
                <w:lang w:val="fr-FR"/>
              </w:rPr>
              <w:t>Questions relatives au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F94EB3">
              <w:rPr>
                <w:b/>
                <w:bCs/>
                <w:lang w:val="fr-FR"/>
              </w:rPr>
              <w:t>étiquetage des produits chimiques (SGH) : autres questions</w:t>
            </w:r>
          </w:p>
        </w:tc>
        <w:tc>
          <w:tcPr>
            <w:tcW w:w="4820" w:type="dxa"/>
          </w:tcPr>
          <w:p w14:paraId="5B3633CF" w14:textId="59319E8C" w:rsidR="00FC7F24" w:rsidRPr="00FC7F24" w:rsidRDefault="00FC7F24" w:rsidP="009C3129">
            <w:r>
              <w:t>Genève, 7-9décembre 2022</w:t>
            </w:r>
          </w:p>
          <w:p w14:paraId="496E64D7" w14:textId="6DCCC9A3" w:rsidR="00FC7F24" w:rsidRDefault="00FC7F24" w:rsidP="009C3129">
            <w:r>
              <w:t>Point 3 i) de l’ordre du jour provisoire</w:t>
            </w:r>
          </w:p>
          <w:p w14:paraId="2B1F6160" w14:textId="21E57EBF" w:rsidR="00FC7F24" w:rsidRPr="003B79D9" w:rsidRDefault="00FC7F24" w:rsidP="009C3129">
            <w:pPr>
              <w:rPr>
                <w:b/>
              </w:rPr>
            </w:pPr>
            <w:r w:rsidRPr="00F94EB3">
              <w:rPr>
                <w:b/>
                <w:bCs/>
                <w:lang w:val="fr-FR"/>
              </w:rPr>
              <w:t>Travaux relatifs au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F94EB3">
              <w:rPr>
                <w:b/>
                <w:bCs/>
                <w:lang w:val="fr-FR"/>
              </w:rPr>
              <w:t>étiquetage des produits chimiques</w:t>
            </w:r>
            <w:r w:rsidR="00981230">
              <w:rPr>
                <w:b/>
                <w:bCs/>
                <w:lang w:val="fr-FR"/>
              </w:rPr>
              <w:t xml:space="preserve"> </w:t>
            </w:r>
            <w:r w:rsidRPr="00F94EB3">
              <w:rPr>
                <w:b/>
                <w:bCs/>
                <w:lang w:val="fr-FR"/>
              </w:rPr>
              <w:t>(SGH)</w:t>
            </w:r>
            <w:r>
              <w:rPr>
                <w:b/>
                <w:bCs/>
                <w:lang w:val="fr-FR"/>
              </w:rPr>
              <w:t> </w:t>
            </w:r>
            <w:r w:rsidRPr="00F94EB3">
              <w:rPr>
                <w:b/>
                <w:bCs/>
                <w:lang w:val="fr-FR"/>
              </w:rPr>
              <w:t>: autres questions</w:t>
            </w:r>
          </w:p>
        </w:tc>
      </w:tr>
    </w:tbl>
    <w:p w14:paraId="696BBA49" w14:textId="11F2E05D" w:rsidR="00FC7F24" w:rsidRPr="00DE37DA" w:rsidRDefault="00FC7F24" w:rsidP="00FC7F24">
      <w:pPr>
        <w:pStyle w:val="HChG"/>
        <w:rPr>
          <w:rFonts w:eastAsia="MS Mincho"/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Liquides inflammables</w:t>
      </w:r>
      <w:r>
        <w:rPr>
          <w:lang w:val="fr-FR"/>
        </w:rPr>
        <w:t> </w:t>
      </w:r>
      <w:r w:rsidRPr="00DE37DA">
        <w:rPr>
          <w:lang w:val="fr-FR"/>
        </w:rPr>
        <w:t xml:space="preserve">: épreuves en creuset ouvert </w:t>
      </w:r>
      <w:r>
        <w:rPr>
          <w:lang w:val="fr-FR"/>
        </w:rPr>
        <w:br/>
      </w:r>
      <w:r w:rsidRPr="00DE37DA">
        <w:rPr>
          <w:lang w:val="fr-FR"/>
        </w:rPr>
        <w:t xml:space="preserve">et en creuset fermé </w:t>
      </w:r>
      <w:r>
        <w:rPr>
          <w:lang w:val="fr-FR"/>
        </w:rPr>
        <w:t>pour</w:t>
      </w:r>
      <w:r w:rsidRPr="00DE37DA">
        <w:rPr>
          <w:lang w:val="fr-FR"/>
        </w:rPr>
        <w:t xml:space="preserve"> le point d</w:t>
      </w:r>
      <w:r>
        <w:rPr>
          <w:lang w:val="fr-FR"/>
        </w:rPr>
        <w:t>’</w:t>
      </w:r>
      <w:r w:rsidRPr="00DE37DA">
        <w:rPr>
          <w:lang w:val="fr-FR"/>
        </w:rPr>
        <w:t>éclair</w:t>
      </w:r>
    </w:p>
    <w:p w14:paraId="64D679CE" w14:textId="414AA06C" w:rsidR="00FC7F24" w:rsidRPr="00DE37DA" w:rsidRDefault="00FC7F24" w:rsidP="00FC7F24">
      <w:pPr>
        <w:pStyle w:val="H1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Communication de l</w:t>
      </w:r>
      <w:r>
        <w:rPr>
          <w:lang w:val="fr-FR"/>
        </w:rPr>
        <w:t>’</w:t>
      </w:r>
      <w:r w:rsidRPr="00DE37DA">
        <w:rPr>
          <w:lang w:val="fr-FR"/>
        </w:rPr>
        <w:t>expert de l</w:t>
      </w:r>
      <w:r>
        <w:rPr>
          <w:lang w:val="fr-FR"/>
        </w:rPr>
        <w:t>’Allemagne</w:t>
      </w:r>
      <w:r w:rsidRPr="00DE37DA">
        <w:rPr>
          <w:lang w:val="fr-FR"/>
        </w:rPr>
        <w:t xml:space="preserve"> et de la présidence du</w:t>
      </w:r>
      <w:r>
        <w:rPr>
          <w:lang w:val="fr-FR"/>
        </w:rPr>
        <w:t> </w:t>
      </w:r>
      <w:r w:rsidRPr="00DE37DA">
        <w:rPr>
          <w:lang w:val="fr-FR"/>
        </w:rPr>
        <w:t>Groupe de travail des explosifs</w:t>
      </w:r>
      <w:r w:rsidRPr="00FC7F2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30BB446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Cadre général</w:t>
      </w:r>
    </w:p>
    <w:p w14:paraId="430F8C24" w14:textId="63336B6C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1.</w:t>
      </w:r>
      <w:r w:rsidRPr="00DE37DA">
        <w:rPr>
          <w:lang w:val="fr-FR"/>
        </w:rPr>
        <w:tab/>
        <w:t xml:space="preserve">Il est </w:t>
      </w:r>
      <w:r>
        <w:rPr>
          <w:lang w:val="fr-FR"/>
        </w:rPr>
        <w:t xml:space="preserve">ici </w:t>
      </w:r>
      <w:r w:rsidRPr="00DE37DA">
        <w:rPr>
          <w:lang w:val="fr-FR"/>
        </w:rPr>
        <w:t>fait référence au document ST/SG/AC.10/C.4/2022/2-ST/SG/AC.10/C.3/2022/11 examiné aux sessions de juin et juillet du Sous-Comité d</w:t>
      </w:r>
      <w:r>
        <w:rPr>
          <w:lang w:val="fr-FR"/>
        </w:rPr>
        <w:t>’</w:t>
      </w:r>
      <w:r w:rsidRPr="00DE37DA">
        <w:rPr>
          <w:lang w:val="fr-FR"/>
        </w:rPr>
        <w:t>experts du transport des marchandises dangereuses (Sous-Comité TMD) et du Sous-Comité d</w:t>
      </w:r>
      <w:r>
        <w:rPr>
          <w:lang w:val="fr-FR"/>
        </w:rPr>
        <w:t>’</w:t>
      </w:r>
      <w:r w:rsidRPr="00DE37DA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DE37DA">
        <w:rPr>
          <w:lang w:val="fr-FR"/>
        </w:rPr>
        <w:t>étiquetage des produits chimiques (Sous-Comité SGH). Les propositions figurant aux paragraphes</w:t>
      </w:r>
      <w:r>
        <w:rPr>
          <w:lang w:val="fr-FR"/>
        </w:rPr>
        <w:t> </w:t>
      </w:r>
      <w:r w:rsidRPr="00DE37DA">
        <w:rPr>
          <w:lang w:val="fr-FR"/>
        </w:rPr>
        <w:t>10 et 12 de ce document n</w:t>
      </w:r>
      <w:r>
        <w:rPr>
          <w:lang w:val="fr-FR"/>
        </w:rPr>
        <w:t>’</w:t>
      </w:r>
      <w:r w:rsidRPr="00DE37DA">
        <w:rPr>
          <w:lang w:val="fr-FR"/>
        </w:rPr>
        <w:t xml:space="preserve">ont pas été adoptées parce que certaines délégations avaient besoin de plus de temps pour </w:t>
      </w:r>
      <w:r w:rsidRPr="00F94EB3">
        <w:rPr>
          <w:lang w:val="fr-FR"/>
        </w:rPr>
        <w:t>examin</w:t>
      </w:r>
      <w:r w:rsidRPr="00DE37DA">
        <w:rPr>
          <w:lang w:val="fr-FR"/>
        </w:rPr>
        <w:t>er les implications des deux options présentées au paragraphe</w:t>
      </w:r>
      <w:r>
        <w:rPr>
          <w:lang w:val="fr-FR"/>
        </w:rPr>
        <w:t> </w:t>
      </w:r>
      <w:r w:rsidRPr="00DE37DA">
        <w:rPr>
          <w:lang w:val="fr-FR"/>
        </w:rPr>
        <w:t>11.</w:t>
      </w:r>
    </w:p>
    <w:p w14:paraId="46800916" w14:textId="16676010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2.</w:t>
      </w:r>
      <w:r w:rsidRPr="00DE37DA">
        <w:rPr>
          <w:lang w:val="fr-FR"/>
        </w:rPr>
        <w:tab/>
        <w:t>Les débats et les évaluations du Groupe de travail des explosifs sont résumés dans son rapport (voir par.</w:t>
      </w:r>
      <w:r>
        <w:rPr>
          <w:lang w:val="fr-FR"/>
        </w:rPr>
        <w:t> </w:t>
      </w:r>
      <w:r w:rsidRPr="00DE37DA">
        <w:rPr>
          <w:lang w:val="fr-FR"/>
        </w:rPr>
        <w:t xml:space="preserve">17 du document informel INF.44 (TMD, soixantième session). Le Groupe de travail des explosifs a approuvé les </w:t>
      </w:r>
      <w:r>
        <w:rPr>
          <w:lang w:val="fr-FR"/>
        </w:rPr>
        <w:t>modifications</w:t>
      </w:r>
      <w:r w:rsidRPr="00DE37DA">
        <w:rPr>
          <w:lang w:val="fr-FR"/>
        </w:rPr>
        <w:t xml:space="preserve"> en se disant plus favorable à l</w:t>
      </w:r>
      <w:r>
        <w:rPr>
          <w:lang w:val="fr-FR"/>
        </w:rPr>
        <w:t>’</w:t>
      </w:r>
      <w:r w:rsidRPr="00DE37DA">
        <w:rPr>
          <w:lang w:val="fr-FR"/>
        </w:rPr>
        <w:t>option</w:t>
      </w:r>
      <w:r>
        <w:rPr>
          <w:lang w:val="fr-FR"/>
        </w:rPr>
        <w:t> </w:t>
      </w:r>
      <w:r w:rsidRPr="00DE37DA">
        <w:rPr>
          <w:lang w:val="fr-FR"/>
        </w:rPr>
        <w:t xml:space="preserve">1 </w:t>
      </w:r>
      <w:r w:rsidRPr="00FC7F24">
        <w:rPr>
          <w:spacing w:val="-2"/>
          <w:lang w:val="fr-FR"/>
        </w:rPr>
        <w:t>énoncée au paragraphe 11 du document ST/SG/AC.10/C.4/2022/2-ST/SG/AC.10/C.3/2022/11,</w:t>
      </w:r>
      <w:r w:rsidRPr="00DE37DA">
        <w:rPr>
          <w:lang w:val="fr-FR"/>
        </w:rPr>
        <w:t xml:space="preserve"> à savoir recommander fortement la méthode d</w:t>
      </w:r>
      <w:r>
        <w:rPr>
          <w:lang w:val="fr-FR"/>
        </w:rPr>
        <w:t>’</w:t>
      </w:r>
      <w:r w:rsidRPr="00DE37DA">
        <w:rPr>
          <w:lang w:val="fr-FR"/>
        </w:rPr>
        <w:t>épreuve en creuset fermé et supprimer les références aux épreuves en creuset ouvert.</w:t>
      </w:r>
    </w:p>
    <w:p w14:paraId="38E959D3" w14:textId="370B5C7D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3.</w:t>
      </w:r>
      <w:r w:rsidRPr="00DE37DA">
        <w:rPr>
          <w:lang w:val="fr-FR"/>
        </w:rPr>
        <w:tab/>
        <w:t xml:space="preserve">Le Sous-Comité TMD a </w:t>
      </w:r>
      <w:r>
        <w:rPr>
          <w:lang w:val="fr-FR"/>
        </w:rPr>
        <w:t>dit</w:t>
      </w:r>
      <w:r w:rsidRPr="00DE37DA">
        <w:rPr>
          <w:lang w:val="fr-FR"/>
        </w:rPr>
        <w:t xml:space="preserve"> qu</w:t>
      </w:r>
      <w:r>
        <w:rPr>
          <w:lang w:val="fr-FR"/>
        </w:rPr>
        <w:t>’</w:t>
      </w:r>
      <w:r w:rsidRPr="00DE37DA">
        <w:rPr>
          <w:lang w:val="fr-FR"/>
        </w:rPr>
        <w:t>il souhaitait reprendre les débats sur la question des méthodes d</w:t>
      </w:r>
      <w:r>
        <w:rPr>
          <w:lang w:val="fr-FR"/>
        </w:rPr>
        <w:t>’</w:t>
      </w:r>
      <w:r w:rsidRPr="00DE37DA">
        <w:rPr>
          <w:lang w:val="fr-FR"/>
        </w:rPr>
        <w:t>épreuve concernant le point d</w:t>
      </w:r>
      <w:r>
        <w:rPr>
          <w:lang w:val="fr-FR"/>
        </w:rPr>
        <w:t>’</w:t>
      </w:r>
      <w:r w:rsidRPr="00DE37DA">
        <w:rPr>
          <w:lang w:val="fr-FR"/>
        </w:rPr>
        <w:t>éclair sur la base d</w:t>
      </w:r>
      <w:r>
        <w:rPr>
          <w:lang w:val="fr-FR"/>
        </w:rPr>
        <w:t>’</w:t>
      </w:r>
      <w:r w:rsidRPr="00DE37DA">
        <w:rPr>
          <w:lang w:val="fr-FR"/>
        </w:rPr>
        <w:t>un autre document (voir par.</w:t>
      </w:r>
      <w:r>
        <w:rPr>
          <w:lang w:val="fr-FR"/>
        </w:rPr>
        <w:t> </w:t>
      </w:r>
      <w:r w:rsidRPr="00DE37DA">
        <w:rPr>
          <w:lang w:val="fr-FR"/>
        </w:rPr>
        <w:t>98 du rapport du Sous-Comité TMD, document ST/SG/AC.10/C.3/120).</w:t>
      </w:r>
    </w:p>
    <w:p w14:paraId="6B27BC68" w14:textId="1D2B836B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4.</w:t>
      </w:r>
      <w:r w:rsidRPr="00DE37DA">
        <w:rPr>
          <w:lang w:val="fr-FR"/>
        </w:rPr>
        <w:tab/>
      </w:r>
      <w:r>
        <w:rPr>
          <w:lang w:val="fr-FR"/>
        </w:rPr>
        <w:t>Des</w:t>
      </w:r>
      <w:r w:rsidRPr="00DE37DA">
        <w:rPr>
          <w:lang w:val="fr-FR"/>
        </w:rPr>
        <w:t xml:space="preserve"> experts du Sous-Comité SGH estimaient que la méthode d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pouvait </w:t>
      </w:r>
      <w:r>
        <w:rPr>
          <w:lang w:val="fr-FR"/>
        </w:rPr>
        <w:t>convenir</w:t>
      </w:r>
      <w:r w:rsidRPr="00DE37DA">
        <w:rPr>
          <w:lang w:val="fr-FR"/>
        </w:rPr>
        <w:t xml:space="preserve"> dans certains cas (en particulier pour les liquides inflammables très visqueux) et </w:t>
      </w:r>
      <w:r>
        <w:rPr>
          <w:lang w:val="fr-FR"/>
        </w:rPr>
        <w:t>préféraient</w:t>
      </w:r>
      <w:r w:rsidRPr="00DE37DA">
        <w:rPr>
          <w:lang w:val="fr-FR"/>
        </w:rPr>
        <w:t xml:space="preserve"> l</w:t>
      </w:r>
      <w:r>
        <w:rPr>
          <w:lang w:val="fr-FR"/>
        </w:rPr>
        <w:t>’</w:t>
      </w:r>
      <w:r w:rsidRPr="00DE37DA">
        <w:rPr>
          <w:lang w:val="fr-FR"/>
        </w:rPr>
        <w:t>option</w:t>
      </w:r>
      <w:r>
        <w:rPr>
          <w:lang w:val="fr-FR"/>
        </w:rPr>
        <w:t> </w:t>
      </w:r>
      <w:r w:rsidRPr="00DE37DA">
        <w:rPr>
          <w:lang w:val="fr-FR"/>
        </w:rPr>
        <w:t xml:space="preserve">2, selon laquelle </w:t>
      </w:r>
      <w:r>
        <w:rPr>
          <w:lang w:val="fr-FR"/>
        </w:rPr>
        <w:t xml:space="preserve">la </w:t>
      </w:r>
      <w:r w:rsidRPr="00DE37DA">
        <w:rPr>
          <w:lang w:val="fr-FR"/>
        </w:rPr>
        <w:t>référence à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serait </w:t>
      </w:r>
      <w:r>
        <w:rPr>
          <w:lang w:val="fr-FR"/>
        </w:rPr>
        <w:t>conservé</w:t>
      </w:r>
      <w:r w:rsidRPr="00DE37DA">
        <w:rPr>
          <w:lang w:val="fr-FR"/>
        </w:rPr>
        <w:t xml:space="preserve">e dans le Manuel. Les experts ont été invités à fournir des informations sur les </w:t>
      </w:r>
      <w:r w:rsidRPr="00DE37DA">
        <w:rPr>
          <w:lang w:val="fr-FR"/>
        </w:rPr>
        <w:lastRenderedPageBreak/>
        <w:t>cas où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est utilisée </w:t>
      </w:r>
      <w:r>
        <w:rPr>
          <w:lang w:val="fr-FR"/>
        </w:rPr>
        <w:t xml:space="preserve">pour le classement </w:t>
      </w:r>
      <w:r w:rsidRPr="00DE37DA">
        <w:rPr>
          <w:lang w:val="fr-FR"/>
        </w:rPr>
        <w:t>des liquides inflammables (voir par.</w:t>
      </w:r>
      <w:r>
        <w:rPr>
          <w:lang w:val="fr-FR"/>
        </w:rPr>
        <w:t> </w:t>
      </w:r>
      <w:r w:rsidRPr="00DE37DA">
        <w:rPr>
          <w:lang w:val="fr-FR"/>
        </w:rPr>
        <w:t>10 à 12 du rapport du Sous-Comité SGH, document ST/SG/AC.10/C.4/84).</w:t>
      </w:r>
    </w:p>
    <w:p w14:paraId="6E73C9EE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 xml:space="preserve">Réponses aux </w:t>
      </w:r>
      <w:r>
        <w:rPr>
          <w:lang w:val="fr-FR"/>
        </w:rPr>
        <w:t xml:space="preserve">questions liées aux </w:t>
      </w:r>
      <w:r w:rsidRPr="00DE37DA">
        <w:rPr>
          <w:lang w:val="fr-FR"/>
        </w:rPr>
        <w:t>préoccupations</w:t>
      </w:r>
    </w:p>
    <w:p w14:paraId="6B169BE1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5.</w:t>
      </w:r>
      <w:r w:rsidRPr="00DE37DA">
        <w:rPr>
          <w:lang w:val="fr-FR"/>
        </w:rPr>
        <w:tab/>
      </w:r>
      <w:r>
        <w:rPr>
          <w:lang w:val="fr-FR"/>
        </w:rPr>
        <w:t>Non seulement l</w:t>
      </w:r>
      <w:r w:rsidRPr="00DE37DA">
        <w:rPr>
          <w:lang w:val="fr-FR"/>
        </w:rPr>
        <w:t>es auteurs du présent document ont pris en considération les observations formulées à la dernière session</w:t>
      </w:r>
      <w:r>
        <w:rPr>
          <w:lang w:val="fr-FR"/>
        </w:rPr>
        <w:t>, mais ils ont</w:t>
      </w:r>
      <w:r w:rsidRPr="00DE37DA">
        <w:rPr>
          <w:lang w:val="fr-FR"/>
        </w:rPr>
        <w:t xml:space="preserve"> pris contact avec les délégations qui avaient exprimé des réserves concernant la suppression des références aux épreuves en creuset ouvert.</w:t>
      </w:r>
    </w:p>
    <w:p w14:paraId="5D6700A5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6.</w:t>
      </w:r>
      <w:r w:rsidRPr="00DE37DA">
        <w:rPr>
          <w:lang w:val="fr-FR"/>
        </w:rPr>
        <w:tab/>
      </w:r>
      <w:r w:rsidRPr="00CB551D">
        <w:rPr>
          <w:lang w:val="fr-FR"/>
        </w:rPr>
        <w:t xml:space="preserve">À </w:t>
      </w:r>
      <w:r w:rsidRPr="00DE37DA">
        <w:rPr>
          <w:lang w:val="fr-FR"/>
        </w:rPr>
        <w:t xml:space="preserve">la dernière session, </w:t>
      </w:r>
      <w:r>
        <w:rPr>
          <w:lang w:val="fr-FR"/>
        </w:rPr>
        <w:t>certains</w:t>
      </w:r>
      <w:r w:rsidRPr="00DE37DA">
        <w:rPr>
          <w:lang w:val="fr-FR"/>
        </w:rPr>
        <w:t xml:space="preserve"> experts ont fait observer que la référence à la marge de sécurité</w:t>
      </w:r>
      <w:r w:rsidRPr="00DE37DA">
        <w:rPr>
          <w:i/>
          <w:iCs/>
          <w:lang w:val="fr-FR"/>
        </w:rPr>
        <w:t xml:space="preserve"> </w:t>
      </w:r>
      <w:r w:rsidRPr="00DE37DA">
        <w:rPr>
          <w:lang w:val="fr-FR"/>
        </w:rPr>
        <w:t xml:space="preserve">pour les résultats des épreuves en creuset ouvert devrait être conservée au moins dans le cas où les données disponibles des épreuves en creuset ouvert </w:t>
      </w:r>
      <w:r>
        <w:rPr>
          <w:lang w:val="fr-FR"/>
        </w:rPr>
        <w:t>étaie</w:t>
      </w:r>
      <w:r w:rsidRPr="00DE37DA">
        <w:rPr>
          <w:lang w:val="fr-FR"/>
        </w:rPr>
        <w:t>nt utilisées.</w:t>
      </w:r>
    </w:p>
    <w:p w14:paraId="5390A829" w14:textId="5F55ED5A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7.</w:t>
      </w:r>
      <w:r w:rsidRPr="00DE37DA">
        <w:rPr>
          <w:lang w:val="fr-FR"/>
        </w:rPr>
        <w:tab/>
        <w:t xml:space="preserve">Des préoccupations ont également été exprimées concernant les épreuves </w:t>
      </w:r>
      <w:r>
        <w:rPr>
          <w:lang w:val="fr-FR"/>
        </w:rPr>
        <w:t xml:space="preserve">portant </w:t>
      </w:r>
      <w:r w:rsidRPr="00DE37DA">
        <w:rPr>
          <w:lang w:val="fr-FR"/>
        </w:rPr>
        <w:t xml:space="preserve">sur </w:t>
      </w:r>
      <w:r>
        <w:rPr>
          <w:lang w:val="fr-FR"/>
        </w:rPr>
        <w:t>d</w:t>
      </w:r>
      <w:r w:rsidRPr="00DE37DA">
        <w:rPr>
          <w:lang w:val="fr-FR"/>
        </w:rPr>
        <w:t xml:space="preserve">es liquides visqueux. À cet égard, </w:t>
      </w:r>
      <w:r>
        <w:rPr>
          <w:lang w:val="fr-FR"/>
        </w:rPr>
        <w:t xml:space="preserve">il convient de </w:t>
      </w:r>
      <w:r w:rsidRPr="00DE37DA">
        <w:rPr>
          <w:lang w:val="fr-FR"/>
        </w:rPr>
        <w:t>souligner que</w:t>
      </w:r>
      <w:r>
        <w:rPr>
          <w:lang w:val="fr-FR"/>
        </w:rPr>
        <w:t>,</w:t>
      </w:r>
      <w:r w:rsidRPr="00DE37DA">
        <w:rPr>
          <w:lang w:val="fr-FR"/>
        </w:rPr>
        <w:t xml:space="preserve"> même pour les liquides visqueux, le point d</w:t>
      </w:r>
      <w:r>
        <w:rPr>
          <w:lang w:val="fr-FR"/>
        </w:rPr>
        <w:t>’</w:t>
      </w:r>
      <w:r w:rsidRPr="00DE37DA">
        <w:rPr>
          <w:lang w:val="fr-FR"/>
        </w:rPr>
        <w:t>éclair peut être déterminé</w:t>
      </w:r>
      <w:r>
        <w:rPr>
          <w:lang w:val="fr-FR"/>
        </w:rPr>
        <w:t>,</w:t>
      </w:r>
      <w:r w:rsidRPr="00DE37DA">
        <w:rPr>
          <w:lang w:val="fr-FR"/>
        </w:rPr>
        <w:t xml:space="preserve"> </w:t>
      </w:r>
      <w:r>
        <w:rPr>
          <w:lang w:val="fr-FR"/>
        </w:rPr>
        <w:t>pour le classement,</w:t>
      </w:r>
      <w:r w:rsidRPr="00DE37DA">
        <w:rPr>
          <w:lang w:val="fr-FR"/>
        </w:rPr>
        <w:t xml:space="preserve"> au moyen d</w:t>
      </w:r>
      <w:r>
        <w:rPr>
          <w:lang w:val="fr-FR"/>
        </w:rPr>
        <w:t>’</w:t>
      </w:r>
      <w:r w:rsidRPr="00DE37DA">
        <w:rPr>
          <w:lang w:val="fr-FR"/>
        </w:rPr>
        <w:t>une épreuve en creuset fermé (voir section</w:t>
      </w:r>
      <w:r>
        <w:rPr>
          <w:lang w:val="fr-FR"/>
        </w:rPr>
        <w:t> </w:t>
      </w:r>
      <w:r w:rsidRPr="00DE37DA">
        <w:rPr>
          <w:lang w:val="fr-FR"/>
        </w:rPr>
        <w:t>32.4.2.1 du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critères).</w:t>
      </w:r>
    </w:p>
    <w:p w14:paraId="6F900E26" w14:textId="27BFFF7D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8.</w:t>
      </w:r>
      <w:r w:rsidRPr="00DE37DA">
        <w:rPr>
          <w:lang w:val="fr-FR"/>
        </w:rPr>
        <w:tab/>
        <w:t xml:space="preserve">Toutefois, </w:t>
      </w:r>
      <w:r>
        <w:rPr>
          <w:lang w:val="fr-FR"/>
        </w:rPr>
        <w:t>en réponse à</w:t>
      </w:r>
      <w:r w:rsidRPr="00DE37DA">
        <w:rPr>
          <w:lang w:val="fr-FR"/>
        </w:rPr>
        <w:t xml:space="preserve"> la demande formulée à la dernière session (voir la dernière phrase du par</w:t>
      </w:r>
      <w:r>
        <w:rPr>
          <w:lang w:val="fr-FR"/>
        </w:rPr>
        <w:t>agraphe </w:t>
      </w:r>
      <w:r w:rsidRPr="00DE37DA">
        <w:rPr>
          <w:lang w:val="fr-FR"/>
        </w:rPr>
        <w:t>4 ci-dessus), les auteurs ont reçu des informations selon lesquelles il n</w:t>
      </w:r>
      <w:r>
        <w:rPr>
          <w:lang w:val="fr-FR"/>
        </w:rPr>
        <w:t>’</w:t>
      </w:r>
      <w:r w:rsidRPr="00DE37DA">
        <w:rPr>
          <w:lang w:val="fr-FR"/>
        </w:rPr>
        <w:t xml:space="preserve">est pas possible de procéder à des épreuves en creuset fermé pour certains liquides visqueux </w:t>
      </w:r>
      <w:r>
        <w:rPr>
          <w:lang w:val="fr-FR"/>
        </w:rPr>
        <w:t>− </w:t>
      </w:r>
      <w:r w:rsidRPr="00DE37DA">
        <w:rPr>
          <w:lang w:val="fr-FR"/>
        </w:rPr>
        <w:t>même si l</w:t>
      </w:r>
      <w:r>
        <w:rPr>
          <w:lang w:val="fr-FR"/>
        </w:rPr>
        <w:t>’</w:t>
      </w:r>
      <w:r w:rsidRPr="00DE37DA">
        <w:rPr>
          <w:lang w:val="fr-FR"/>
        </w:rPr>
        <w:t>on considère qu</w:t>
      </w:r>
      <w:r>
        <w:rPr>
          <w:lang w:val="fr-FR"/>
        </w:rPr>
        <w:t>e pour le classement</w:t>
      </w:r>
      <w:r w:rsidRPr="00DE37DA">
        <w:rPr>
          <w:lang w:val="fr-FR"/>
        </w:rPr>
        <w:t>, seules les valeurs de point d</w:t>
      </w:r>
      <w:r>
        <w:rPr>
          <w:lang w:val="fr-FR"/>
        </w:rPr>
        <w:t>’</w:t>
      </w:r>
      <w:r w:rsidRPr="00DE37DA">
        <w:rPr>
          <w:lang w:val="fr-FR"/>
        </w:rPr>
        <w:t>éclair inférieures ou égales à 93</w:t>
      </w:r>
      <w:r>
        <w:rPr>
          <w:lang w:val="fr-FR"/>
        </w:rPr>
        <w:t> </w:t>
      </w:r>
      <w:r w:rsidRPr="00DE37DA">
        <w:rPr>
          <w:lang w:val="fr-FR"/>
        </w:rPr>
        <w:t>°C sont pertinentes (</w:t>
      </w:r>
      <w:r>
        <w:rPr>
          <w:lang w:val="fr-FR"/>
        </w:rPr>
        <w:t xml:space="preserve">il s’agit du </w:t>
      </w:r>
      <w:r w:rsidRPr="00DE37DA">
        <w:rPr>
          <w:lang w:val="fr-FR"/>
        </w:rPr>
        <w:t xml:space="preserve">seuil supérieur </w:t>
      </w:r>
      <w:r w:rsidRPr="00C37DEA">
        <w:rPr>
          <w:lang w:val="fr-FR"/>
        </w:rPr>
        <w:t xml:space="preserve">utilisé comme critère </w:t>
      </w:r>
      <w:r w:rsidRPr="00DE37DA">
        <w:rPr>
          <w:lang w:val="fr-FR"/>
        </w:rPr>
        <w:t>pour opérer une distinction entre les liquides inflammables de la catégorie</w:t>
      </w:r>
      <w:r>
        <w:rPr>
          <w:lang w:val="fr-FR"/>
        </w:rPr>
        <w:t> </w:t>
      </w:r>
      <w:r w:rsidRPr="00DE37DA">
        <w:rPr>
          <w:lang w:val="fr-FR"/>
        </w:rPr>
        <w:t>4 selon le</w:t>
      </w:r>
      <w:r>
        <w:rPr>
          <w:lang w:val="fr-FR"/>
        </w:rPr>
        <w:t> </w:t>
      </w:r>
      <w:r w:rsidRPr="00DE37DA">
        <w:rPr>
          <w:lang w:val="fr-FR"/>
        </w:rPr>
        <w:t>SGH et l</w:t>
      </w:r>
      <w:r>
        <w:rPr>
          <w:lang w:val="fr-FR"/>
        </w:rPr>
        <w:t>’</w:t>
      </w:r>
      <w:r w:rsidRPr="00DE37DA">
        <w:rPr>
          <w:lang w:val="fr-FR"/>
        </w:rPr>
        <w:t>absence de class</w:t>
      </w:r>
      <w:r>
        <w:rPr>
          <w:lang w:val="fr-FR"/>
        </w:rPr>
        <w:t>ement</w:t>
      </w:r>
      <w:r w:rsidRPr="00DE37DA">
        <w:rPr>
          <w:lang w:val="fr-FR"/>
        </w:rPr>
        <w:t>).</w:t>
      </w:r>
    </w:p>
    <w:p w14:paraId="047BBF2B" w14:textId="440F60A9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9.</w:t>
      </w:r>
      <w:r w:rsidRPr="00DE37DA">
        <w:rPr>
          <w:lang w:val="fr-FR"/>
        </w:rPr>
        <w:tab/>
        <w:t>Les auteurs remercient les experts qui leur ont fait parvenir des observations à ce sujet. En conséquence, la proposition relative à la section</w:t>
      </w:r>
      <w:r>
        <w:rPr>
          <w:lang w:val="fr-FR"/>
        </w:rPr>
        <w:t> </w:t>
      </w:r>
      <w:r w:rsidRPr="00DE37DA">
        <w:rPr>
          <w:lang w:val="fr-FR"/>
        </w:rPr>
        <w:t>32.4 du Manuel d</w:t>
      </w:r>
      <w:r>
        <w:rPr>
          <w:lang w:val="fr-FR"/>
        </w:rPr>
        <w:t>’</w:t>
      </w:r>
      <w:r w:rsidRPr="00DE37DA">
        <w:rPr>
          <w:lang w:val="fr-FR"/>
        </w:rPr>
        <w:t xml:space="preserve">épreuves et de critères est modifiée de façon à </w:t>
      </w:r>
      <w:r>
        <w:rPr>
          <w:lang w:val="fr-FR"/>
        </w:rPr>
        <w:t>rendre</w:t>
      </w:r>
      <w:r w:rsidRPr="00DE37DA">
        <w:rPr>
          <w:lang w:val="fr-FR"/>
        </w:rPr>
        <w:t xml:space="preserve">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</w:t>
      </w:r>
      <w:r>
        <w:rPr>
          <w:lang w:val="fr-FR"/>
        </w:rPr>
        <w:t>acceptable</w:t>
      </w:r>
      <w:r w:rsidRPr="00DE37DA">
        <w:rPr>
          <w:lang w:val="fr-FR"/>
        </w:rPr>
        <w:t xml:space="preserve"> s</w:t>
      </w:r>
      <w:r>
        <w:rPr>
          <w:lang w:val="fr-FR"/>
        </w:rPr>
        <w:t>’</w:t>
      </w:r>
      <w:r w:rsidRPr="00DE37DA">
        <w:rPr>
          <w:lang w:val="fr-FR"/>
        </w:rPr>
        <w:t>il n</w:t>
      </w:r>
      <w:r>
        <w:rPr>
          <w:lang w:val="fr-FR"/>
        </w:rPr>
        <w:t>’</w:t>
      </w:r>
      <w:r w:rsidRPr="00DE37DA">
        <w:rPr>
          <w:lang w:val="fr-FR"/>
        </w:rPr>
        <w:t>est pas possible de procéder à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fermé (par exemple, en raison de la viscosité du liquide) et si les données disponibles </w:t>
      </w:r>
      <w:r w:rsidRPr="00203B25">
        <w:rPr>
          <w:lang w:val="fr-FR"/>
        </w:rPr>
        <w:t xml:space="preserve">des épreuves en creuset ouvert </w:t>
      </w:r>
      <w:r w:rsidRPr="00DE37DA">
        <w:rPr>
          <w:lang w:val="fr-FR"/>
        </w:rPr>
        <w:t>sont utilisées (voir par</w:t>
      </w:r>
      <w:r>
        <w:rPr>
          <w:lang w:val="fr-FR"/>
        </w:rPr>
        <w:t>agraphe </w:t>
      </w:r>
      <w:r w:rsidRPr="00DE37DA">
        <w:rPr>
          <w:lang w:val="fr-FR"/>
        </w:rPr>
        <w:t>1 de l</w:t>
      </w:r>
      <w:r>
        <w:rPr>
          <w:lang w:val="fr-FR"/>
        </w:rPr>
        <w:t>’</w:t>
      </w:r>
      <w:r w:rsidRPr="00DE37DA">
        <w:rPr>
          <w:lang w:val="fr-FR"/>
        </w:rPr>
        <w:t>annexe au présent document).</w:t>
      </w:r>
    </w:p>
    <w:p w14:paraId="1A6195BD" w14:textId="25497F33" w:rsidR="00FC7F24" w:rsidRPr="00DE37DA" w:rsidRDefault="00FC7F24" w:rsidP="00FC7F24">
      <w:pPr>
        <w:pStyle w:val="HChG"/>
        <w:rPr>
          <w:lang w:val="fr-FR"/>
        </w:rPr>
      </w:pPr>
      <w:r w:rsidRPr="00FC7F24">
        <w:tab/>
      </w:r>
      <w:r w:rsidRPr="00FC7F24">
        <w:tab/>
        <w:t xml:space="preserve">Références actuelles aux épreuves en creuset fermé </w:t>
      </w:r>
      <w:r>
        <w:br/>
      </w:r>
      <w:r w:rsidRPr="00FC7F24">
        <w:t>et en creuset</w:t>
      </w:r>
      <w:r w:rsidRPr="00DE37DA">
        <w:rPr>
          <w:lang w:val="fr-FR"/>
        </w:rPr>
        <w:t xml:space="preserve"> ouvert dans le SGH</w:t>
      </w:r>
    </w:p>
    <w:p w14:paraId="2CBA2138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10.</w:t>
      </w:r>
      <w:r w:rsidRPr="00DE37DA">
        <w:rPr>
          <w:lang w:val="fr-FR"/>
        </w:rPr>
        <w:tab/>
        <w:t>En outre, il convient de souligner que</w:t>
      </w:r>
      <w:r w:rsidRPr="00F94EB3">
        <w:rPr>
          <w:lang w:val="fr-FR"/>
        </w:rPr>
        <w:t xml:space="preserve">, dans </w:t>
      </w:r>
      <w:r w:rsidRPr="00DE37DA">
        <w:rPr>
          <w:lang w:val="fr-FR"/>
        </w:rPr>
        <w:t>le SGH</w:t>
      </w:r>
      <w:r w:rsidRPr="00F94EB3">
        <w:rPr>
          <w:lang w:val="fr-FR"/>
        </w:rPr>
        <w:t xml:space="preserve">, il est </w:t>
      </w:r>
      <w:r w:rsidRPr="00DE37DA">
        <w:rPr>
          <w:lang w:val="fr-FR"/>
        </w:rPr>
        <w:t xml:space="preserve">déjà </w:t>
      </w:r>
      <w:r w:rsidRPr="00F94EB3">
        <w:rPr>
          <w:lang w:val="fr-FR"/>
        </w:rPr>
        <w:t xml:space="preserve">fait </w:t>
      </w:r>
      <w:r w:rsidRPr="00DE37DA">
        <w:rPr>
          <w:lang w:val="fr-FR"/>
        </w:rPr>
        <w:t xml:space="preserve">référence aux épreuves en creuset fermé et </w:t>
      </w:r>
      <w:r>
        <w:rPr>
          <w:lang w:val="fr-FR"/>
        </w:rPr>
        <w:t xml:space="preserve">qu’il est </w:t>
      </w:r>
      <w:r w:rsidRPr="00DE37DA">
        <w:rPr>
          <w:lang w:val="fr-FR"/>
        </w:rPr>
        <w:t>indiqu</w:t>
      </w:r>
      <w:r w:rsidRPr="00F94EB3">
        <w:rPr>
          <w:lang w:val="fr-FR"/>
        </w:rPr>
        <w:t>é</w:t>
      </w:r>
      <w:r w:rsidRPr="00DE37DA">
        <w:rPr>
          <w:lang w:val="fr-FR"/>
        </w:rPr>
        <w:t xml:space="preserve"> que les épreuves en creuset ouvert sont seulement acceptables dans des cas spéciaux (voir le 2.6.4.2.4 actuel du SGH) :</w:t>
      </w:r>
    </w:p>
    <w:p w14:paraId="7B99259A" w14:textId="76197791" w:rsidR="00FC7F24" w:rsidRPr="00DE37DA" w:rsidRDefault="00FC7F24" w:rsidP="00FC7F24">
      <w:pPr>
        <w:pStyle w:val="SingleTxtG"/>
        <w:ind w:left="2835" w:hanging="1134"/>
        <w:rPr>
          <w:lang w:val="fr-FR"/>
        </w:rPr>
      </w:pPr>
      <w:r w:rsidRPr="00F94EB3">
        <w:rPr>
          <w:lang w:val="fr-FR"/>
        </w:rPr>
        <w:t>« </w:t>
      </w:r>
      <w:r w:rsidRPr="00DE37DA">
        <w:rPr>
          <w:lang w:val="fr-FR"/>
        </w:rPr>
        <w:t>2.6.4.2.4</w:t>
      </w:r>
      <w:r w:rsidRPr="00DE37DA">
        <w:rPr>
          <w:lang w:val="fr-FR"/>
        </w:rPr>
        <w:tab/>
        <w:t>En l</w:t>
      </w:r>
      <w:r>
        <w:rPr>
          <w:lang w:val="fr-FR"/>
        </w:rPr>
        <w:t>’</w:t>
      </w:r>
      <w:r w:rsidRPr="00DE37DA">
        <w:rPr>
          <w:lang w:val="fr-FR"/>
        </w:rPr>
        <w:t>absence de données, le point d</w:t>
      </w:r>
      <w:r>
        <w:rPr>
          <w:lang w:val="fr-FR"/>
        </w:rPr>
        <w:t>’</w:t>
      </w:r>
      <w:r w:rsidRPr="00DE37DA">
        <w:rPr>
          <w:lang w:val="fr-FR"/>
        </w:rPr>
        <w:t>éclair et le point initial d</w:t>
      </w:r>
      <w:r>
        <w:rPr>
          <w:lang w:val="fr-FR"/>
        </w:rPr>
        <w:t>’</w:t>
      </w:r>
      <w:r w:rsidRPr="00DE37DA">
        <w:rPr>
          <w:lang w:val="fr-FR"/>
        </w:rPr>
        <w:t>ébullition doivent être déterminés par des épreuves. Pour le point d</w:t>
      </w:r>
      <w:r>
        <w:rPr>
          <w:lang w:val="fr-FR"/>
        </w:rPr>
        <w:t>’</w:t>
      </w:r>
      <w:r w:rsidRPr="00DE37DA">
        <w:rPr>
          <w:lang w:val="fr-FR"/>
        </w:rPr>
        <w:t>éclair, la méthode du creuset fermé doit être utilisée. Les essais en creuset ouvert sont seulement acceptables dans des cas spéciaux.</w:t>
      </w:r>
    </w:p>
    <w:p w14:paraId="3D4470FE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</w:r>
      <w:r w:rsidRPr="00DE37DA">
        <w:rPr>
          <w:lang w:val="fr-FR"/>
        </w:rPr>
        <w:tab/>
        <w:t>Propositions</w:t>
      </w:r>
    </w:p>
    <w:p w14:paraId="05AF976B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11.</w:t>
      </w:r>
      <w:r w:rsidRPr="00DE37DA">
        <w:rPr>
          <w:lang w:val="fr-FR"/>
        </w:rPr>
        <w:tab/>
        <w:t xml:space="preserve">Les Sous-Comités TMD et SGH sont invités à examiner les propositions </w:t>
      </w:r>
      <w:r>
        <w:rPr>
          <w:lang w:val="fr-FR"/>
        </w:rPr>
        <w:t>annexées</w:t>
      </w:r>
      <w:r w:rsidRPr="00DE37DA">
        <w:rPr>
          <w:lang w:val="fr-FR"/>
        </w:rPr>
        <w:t xml:space="preserve"> au présent document.</w:t>
      </w:r>
    </w:p>
    <w:p w14:paraId="3C50A0DD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br w:type="page"/>
      </w:r>
    </w:p>
    <w:p w14:paraId="7C381293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  <w:t>Annexe</w:t>
      </w:r>
    </w:p>
    <w:p w14:paraId="0E2D9EDF" w14:textId="09E0DF45" w:rsidR="00FC7F24" w:rsidRPr="00DE37DA" w:rsidRDefault="00FC7F24" w:rsidP="00FC7F24">
      <w:pPr>
        <w:pStyle w:val="SingleTxtG"/>
        <w:rPr>
          <w:i/>
          <w:iCs/>
          <w:lang w:val="fr-FR"/>
        </w:rPr>
      </w:pPr>
      <w:r w:rsidRPr="00FC7F24">
        <w:rPr>
          <w:b/>
          <w:bCs/>
          <w:i/>
          <w:iCs/>
          <w:lang w:val="fr-FR"/>
        </w:rPr>
        <w:t>Note</w:t>
      </w:r>
      <w:r>
        <w:rPr>
          <w:i/>
          <w:iCs/>
          <w:lang w:val="fr-FR"/>
        </w:rPr>
        <w:t> </w:t>
      </w:r>
      <w:r w:rsidRPr="00DE37DA">
        <w:rPr>
          <w:i/>
          <w:iCs/>
          <w:lang w:val="fr-FR"/>
        </w:rPr>
        <w:t xml:space="preserve">: Dans les propositions ci-dessous, les </w:t>
      </w:r>
      <w:r>
        <w:rPr>
          <w:i/>
          <w:iCs/>
          <w:lang w:val="fr-FR"/>
        </w:rPr>
        <w:t>modifications</w:t>
      </w:r>
      <w:r w:rsidRPr="00DE37DA">
        <w:rPr>
          <w:i/>
          <w:iCs/>
          <w:lang w:val="fr-FR"/>
        </w:rPr>
        <w:t xml:space="preserve"> par rapport au texte actuel sont </w:t>
      </w:r>
      <w:r>
        <w:rPr>
          <w:i/>
          <w:iCs/>
          <w:lang w:val="fr-FR"/>
        </w:rPr>
        <w:t>signalées</w:t>
      </w:r>
      <w:r w:rsidRPr="00DE37DA">
        <w:rPr>
          <w:i/>
          <w:iCs/>
          <w:lang w:val="fr-FR"/>
        </w:rPr>
        <w:t xml:space="preserve"> </w:t>
      </w:r>
      <w:r w:rsidRPr="00DE37DA">
        <w:rPr>
          <w:i/>
          <w:iCs/>
          <w:u w:val="single"/>
          <w:lang w:val="fr-FR"/>
        </w:rPr>
        <w:t xml:space="preserve">en caractères soulignés pour les ajouts </w:t>
      </w:r>
      <w:r w:rsidRPr="00DE37DA">
        <w:rPr>
          <w:i/>
          <w:iCs/>
          <w:lang w:val="fr-FR"/>
        </w:rPr>
        <w:t xml:space="preserve">et </w:t>
      </w:r>
      <w:r w:rsidRPr="00DE37DA">
        <w:rPr>
          <w:i/>
          <w:iCs/>
          <w:strike/>
          <w:lang w:val="fr-FR"/>
        </w:rPr>
        <w:t>biffés pour les suppressions</w:t>
      </w:r>
      <w:r w:rsidRPr="00DE37DA">
        <w:rPr>
          <w:i/>
          <w:iCs/>
          <w:lang w:val="fr-FR"/>
        </w:rPr>
        <w:t>.</w:t>
      </w:r>
    </w:p>
    <w:p w14:paraId="07348218" w14:textId="1362193D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</w:r>
      <w:r>
        <w:rPr>
          <w:lang w:val="fr-FR"/>
        </w:rPr>
        <w:t>Modifications à apporter</w:t>
      </w:r>
      <w:r w:rsidRPr="00DE37DA">
        <w:rPr>
          <w:lang w:val="fr-FR"/>
        </w:rPr>
        <w:t xml:space="preserve"> au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 (section</w:t>
      </w:r>
      <w:r>
        <w:rPr>
          <w:lang w:val="fr-FR"/>
        </w:rPr>
        <w:t> </w:t>
      </w:r>
      <w:r w:rsidRPr="00DE37DA">
        <w:rPr>
          <w:lang w:val="fr-FR"/>
        </w:rPr>
        <w:t>32)</w:t>
      </w:r>
    </w:p>
    <w:p w14:paraId="046F8539" w14:textId="1DE57024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1.</w:t>
      </w:r>
      <w:r w:rsidRPr="00DE37DA">
        <w:rPr>
          <w:lang w:val="fr-FR"/>
        </w:rPr>
        <w:tab/>
        <w:t>Modifier la section</w:t>
      </w:r>
      <w:r w:rsidR="00981230">
        <w:rPr>
          <w:lang w:val="fr-FR"/>
        </w:rPr>
        <w:t> </w:t>
      </w:r>
      <w:r w:rsidRPr="00DE37DA">
        <w:rPr>
          <w:lang w:val="fr-FR"/>
        </w:rPr>
        <w:t>32.4 du Manuel d</w:t>
      </w:r>
      <w:r>
        <w:rPr>
          <w:lang w:val="fr-FR"/>
        </w:rPr>
        <w:t>’</w:t>
      </w:r>
      <w:r w:rsidRPr="00DE37DA">
        <w:rPr>
          <w:lang w:val="fr-FR"/>
        </w:rPr>
        <w:t xml:space="preserve">épreuves et de critères en ajoutant le paragraphe ci-après en dessous du titre de </w:t>
      </w:r>
      <w:r>
        <w:rPr>
          <w:lang w:val="fr-FR"/>
        </w:rPr>
        <w:t>ladite</w:t>
      </w:r>
      <w:r w:rsidRPr="00DE37DA">
        <w:rPr>
          <w:lang w:val="fr-FR"/>
        </w:rPr>
        <w:t xml:space="preserve"> section (et au-dessus du sous-titre figurant au 32.4.1)</w:t>
      </w:r>
      <w:r w:rsidR="00981230">
        <w:rPr>
          <w:lang w:val="fr-FR"/>
        </w:rPr>
        <w:t> </w:t>
      </w:r>
      <w:r w:rsidRPr="00DE37DA">
        <w:rPr>
          <w:lang w:val="fr-FR"/>
        </w:rPr>
        <w:t>:</w:t>
      </w:r>
    </w:p>
    <w:p w14:paraId="45569F84" w14:textId="77777777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F94EB3">
        <w:rPr>
          <w:lang w:val="fr-FR"/>
        </w:rPr>
        <w:t>« </w:t>
      </w:r>
      <w:r w:rsidRPr="00981230">
        <w:rPr>
          <w:b/>
          <w:bCs/>
          <w:lang w:val="fr-FR"/>
        </w:rPr>
        <w:t>32.4</w:t>
      </w:r>
      <w:r w:rsidRPr="00981230">
        <w:rPr>
          <w:b/>
          <w:bCs/>
          <w:lang w:val="fr-FR"/>
        </w:rPr>
        <w:tab/>
        <w:t>Méthodes d’épreuve utilisées pour déterminer le point d’éclair et la viscosité</w:t>
      </w:r>
    </w:p>
    <w:p w14:paraId="2732738E" w14:textId="0F956E78" w:rsidR="00FC7F24" w:rsidRPr="00DE37DA" w:rsidRDefault="00FC7F24" w:rsidP="00981230">
      <w:pPr>
        <w:pStyle w:val="SingleTxtG"/>
        <w:tabs>
          <w:tab w:val="clear" w:pos="2835"/>
        </w:tabs>
        <w:ind w:left="2268"/>
        <w:rPr>
          <w:u w:val="single"/>
          <w:lang w:val="fr-FR"/>
        </w:rPr>
      </w:pPr>
      <w:r w:rsidRPr="00DE37DA">
        <w:rPr>
          <w:u w:val="single"/>
          <w:lang w:val="fr-FR"/>
        </w:rPr>
        <w:t>Il est fortement recommandé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utiliser des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fermé pour déterminer le point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éclair.</w:t>
      </w:r>
      <w:r w:rsidRPr="00DE37DA">
        <w:rPr>
          <w:lang w:val="fr-FR"/>
        </w:rPr>
        <w:t xml:space="preserve"> </w:t>
      </w:r>
      <w:r w:rsidRPr="00DE37DA">
        <w:rPr>
          <w:u w:val="single"/>
          <w:lang w:val="fr-FR"/>
        </w:rPr>
        <w:t>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ouvert sont acceptables pour les liquides qui ne peuvent pas être soumis à des épreuves en creuset fermé (par exemple, en raison de leur viscosité) ou si les données disponibles sont utilisées. Dans ces cas, il faut soustraire 5</w:t>
      </w:r>
      <w:r w:rsidR="00981230">
        <w:rPr>
          <w:u w:val="single"/>
          <w:lang w:val="fr-FR"/>
        </w:rPr>
        <w:t> </w:t>
      </w:r>
      <w:r w:rsidRPr="00DE37DA">
        <w:rPr>
          <w:u w:val="single"/>
          <w:lang w:val="fr-FR"/>
        </w:rPr>
        <w:t>°C de la valeur mesurée, car les valeurs obtenues avec 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ouvert sont généralement plus élevées que celles obtenues avec 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fermé.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5587D7F1" w14:textId="7F032EE3" w:rsidR="00FC7F24" w:rsidRPr="00DE37DA" w:rsidRDefault="00FC7F24" w:rsidP="00981230">
      <w:pPr>
        <w:pStyle w:val="SingleTxtG"/>
        <w:tabs>
          <w:tab w:val="clear" w:pos="2835"/>
        </w:tabs>
        <w:ind w:left="2268"/>
        <w:rPr>
          <w:lang w:val="fr-FR"/>
        </w:rPr>
      </w:pPr>
      <w:r w:rsidRPr="00DE37DA">
        <w:rPr>
          <w:lang w:val="fr-FR"/>
        </w:rPr>
        <w:t>Les sous-sections</w:t>
      </w:r>
      <w:r w:rsidR="00981230">
        <w:rPr>
          <w:lang w:val="fr-FR"/>
        </w:rPr>
        <w:t> </w:t>
      </w:r>
      <w:r w:rsidRPr="00DE37DA">
        <w:rPr>
          <w:lang w:val="fr-FR"/>
        </w:rPr>
        <w:t>32.4.1 et 32.4.2 restent inchangées.</w:t>
      </w:r>
    </w:p>
    <w:p w14:paraId="57740BB8" w14:textId="57094951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2.</w:t>
      </w:r>
      <w:r w:rsidRPr="00DE37DA">
        <w:rPr>
          <w:lang w:val="fr-FR"/>
        </w:rPr>
        <w:tab/>
        <w:t>En conséquence, il n</w:t>
      </w:r>
      <w:r>
        <w:rPr>
          <w:lang w:val="fr-FR"/>
        </w:rPr>
        <w:t>’</w:t>
      </w:r>
      <w:r w:rsidRPr="00DE37DA">
        <w:rPr>
          <w:lang w:val="fr-FR"/>
        </w:rPr>
        <w:t>est plus nécessaire de mentionner l</w:t>
      </w:r>
      <w:r>
        <w:rPr>
          <w:lang w:val="fr-FR"/>
        </w:rPr>
        <w:t>’</w:t>
      </w:r>
      <w:r w:rsidRPr="00DE37DA">
        <w:rPr>
          <w:lang w:val="fr-FR"/>
        </w:rPr>
        <w:t>épreuve en creuset ouvert dans la section</w:t>
      </w:r>
      <w:r w:rsidR="00981230">
        <w:rPr>
          <w:lang w:val="fr-FR"/>
        </w:rPr>
        <w:t> </w:t>
      </w:r>
      <w:r w:rsidRPr="00DE37DA">
        <w:rPr>
          <w:lang w:val="fr-FR"/>
        </w:rPr>
        <w:t>32.2.3 et il est proposé d</w:t>
      </w:r>
      <w:r>
        <w:rPr>
          <w:lang w:val="fr-FR"/>
        </w:rPr>
        <w:t>’</w:t>
      </w:r>
      <w:r w:rsidRPr="00DE37DA">
        <w:rPr>
          <w:lang w:val="fr-FR"/>
        </w:rPr>
        <w:t>en modifier la troisième phrase comme suit :</w:t>
      </w:r>
    </w:p>
    <w:p w14:paraId="19F28383" w14:textId="74B6934B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981230">
        <w:rPr>
          <w:spacing w:val="-4"/>
          <w:lang w:val="fr-FR"/>
        </w:rPr>
        <w:t>« 32.2.3</w:t>
      </w:r>
      <w:r w:rsidRPr="00DE37DA">
        <w:rPr>
          <w:lang w:val="fr-FR"/>
        </w:rPr>
        <w:tab/>
        <w:t>[…] Il est donc possible que des liquides qui ne figurent pas dans la liste parce que leur point d</w:t>
      </w:r>
      <w:r>
        <w:rPr>
          <w:lang w:val="fr-FR"/>
        </w:rPr>
        <w:t>’</w:t>
      </w:r>
      <w:r w:rsidRPr="00DE37DA">
        <w:rPr>
          <w:lang w:val="fr-FR"/>
        </w:rPr>
        <w:t>éclair à l</w:t>
      </w:r>
      <w:r>
        <w:rPr>
          <w:lang w:val="fr-FR"/>
        </w:rPr>
        <w:t>’</w:t>
      </w:r>
      <w:r w:rsidRPr="00DE37DA">
        <w:rPr>
          <w:lang w:val="fr-FR"/>
        </w:rPr>
        <w:t>état pur est de plus de 60</w:t>
      </w:r>
      <w:r w:rsidR="00981230">
        <w:rPr>
          <w:lang w:val="fr-FR"/>
        </w:rPr>
        <w:t> </w:t>
      </w:r>
      <w:r w:rsidRPr="00DE37DA">
        <w:rPr>
          <w:lang w:val="fr-FR"/>
        </w:rPr>
        <w:t xml:space="preserve">°C </w:t>
      </w:r>
      <w:r w:rsidRPr="00DE37DA">
        <w:rPr>
          <w:strike/>
          <w:lang w:val="fr-FR"/>
        </w:rPr>
        <w:t xml:space="preserve">en creuset fermé ou plus de 65,6 °C en creuset ouvert </w:t>
      </w:r>
      <w:r w:rsidRPr="00DE37DA">
        <w:rPr>
          <w:lang w:val="fr-FR"/>
        </w:rPr>
        <w:t xml:space="preserve">soient classés comme matières liquides inflammables </w:t>
      </w:r>
      <w:r w:rsidR="00981230">
        <w:rPr>
          <w:lang w:val="fr-FR"/>
        </w:rPr>
        <w:t>“</w:t>
      </w:r>
      <w:r w:rsidRPr="00DE37DA">
        <w:rPr>
          <w:lang w:val="fr-FR"/>
        </w:rPr>
        <w:t>génériques</w:t>
      </w:r>
      <w:r w:rsidR="00981230">
        <w:rPr>
          <w:lang w:val="fr-FR"/>
        </w:rPr>
        <w:t>ˮ</w:t>
      </w:r>
      <w:r w:rsidRPr="00DE37DA">
        <w:rPr>
          <w:lang w:val="fr-FR"/>
        </w:rPr>
        <w:t xml:space="preserve"> ou </w:t>
      </w:r>
      <w:r w:rsidR="00981230">
        <w:rPr>
          <w:lang w:val="fr-FR"/>
        </w:rPr>
        <w:t>“</w:t>
      </w:r>
      <w:r w:rsidRPr="00DE37DA">
        <w:rPr>
          <w:lang w:val="fr-FR"/>
        </w:rPr>
        <w:t>non spécifiées par ailleurs</w:t>
      </w:r>
      <w:r w:rsidR="00981230">
        <w:rPr>
          <w:lang w:val="fr-FR"/>
        </w:rPr>
        <w:t>ˮ</w:t>
      </w:r>
      <w:r w:rsidRPr="00DE37DA">
        <w:rPr>
          <w:lang w:val="fr-FR"/>
        </w:rPr>
        <w:t xml:space="preserve"> ayant un point d</w:t>
      </w:r>
      <w:r>
        <w:rPr>
          <w:lang w:val="fr-FR"/>
        </w:rPr>
        <w:t>’</w:t>
      </w:r>
      <w:r w:rsidRPr="00DE37DA">
        <w:rPr>
          <w:lang w:val="fr-FR"/>
        </w:rPr>
        <w:t>éclair égal ou inférieur à cette limite. [...]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07AC0120" w14:textId="781C6F48" w:rsidR="00FC7F24" w:rsidRPr="00DE37DA" w:rsidRDefault="00FC7F24" w:rsidP="00981230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Amendements au SGH (chap</w:t>
      </w:r>
      <w:r w:rsidR="00981230">
        <w:rPr>
          <w:lang w:val="fr-FR"/>
        </w:rPr>
        <w:t>. </w:t>
      </w:r>
      <w:r w:rsidRPr="00DE37DA">
        <w:rPr>
          <w:lang w:val="fr-FR"/>
        </w:rPr>
        <w:t>2.6)</w:t>
      </w:r>
    </w:p>
    <w:p w14:paraId="6CB3D581" w14:textId="263CD193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3.</w:t>
      </w:r>
      <w:r w:rsidRPr="00DE37DA">
        <w:rPr>
          <w:lang w:val="fr-FR"/>
        </w:rPr>
        <w:tab/>
        <w:t>En outre, il est proposé de modifier le libellé de la section</w:t>
      </w:r>
      <w:r w:rsidR="00981230">
        <w:rPr>
          <w:lang w:val="fr-FR"/>
        </w:rPr>
        <w:t> </w:t>
      </w:r>
      <w:r w:rsidRPr="00DE37DA">
        <w:rPr>
          <w:lang w:val="fr-FR"/>
        </w:rPr>
        <w:t xml:space="preserve">2.6.4.2.4 du SGH afin de </w:t>
      </w:r>
      <w:r>
        <w:rPr>
          <w:lang w:val="fr-FR"/>
        </w:rPr>
        <w:t>préciser</w:t>
      </w:r>
      <w:r w:rsidRPr="00DE37DA">
        <w:rPr>
          <w:lang w:val="fr-FR"/>
        </w:rPr>
        <w:t xml:space="preserve"> les cas particuliers dans lesquels les données obtenues au moyen de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</w:t>
      </w:r>
      <w:r>
        <w:rPr>
          <w:lang w:val="fr-FR"/>
        </w:rPr>
        <w:t>conviennent</w:t>
      </w:r>
      <w:r w:rsidRPr="00DE37DA">
        <w:rPr>
          <w:lang w:val="fr-FR"/>
        </w:rPr>
        <w:t xml:space="preserve"> (liquides visqueux pour lesquels l</w:t>
      </w:r>
      <w:r>
        <w:rPr>
          <w:lang w:val="fr-FR"/>
        </w:rPr>
        <w:t>’</w:t>
      </w:r>
      <w:r w:rsidRPr="00DE37DA">
        <w:rPr>
          <w:lang w:val="fr-FR"/>
        </w:rPr>
        <w:t>épreuve en creuset ouvert n</w:t>
      </w:r>
      <w:r>
        <w:rPr>
          <w:lang w:val="fr-FR"/>
        </w:rPr>
        <w:t>’</w:t>
      </w:r>
      <w:r w:rsidRPr="00DE37DA">
        <w:rPr>
          <w:lang w:val="fr-FR"/>
        </w:rPr>
        <w:t>est pas possible, ou données disponibles). Ce libellé serait alors équivalent à celui qui est proposé au paragraphe</w:t>
      </w:r>
      <w:r w:rsidR="00981230">
        <w:rPr>
          <w:lang w:val="fr-FR"/>
        </w:rPr>
        <w:t> </w:t>
      </w:r>
      <w:r w:rsidRPr="00DE37DA">
        <w:rPr>
          <w:lang w:val="fr-FR"/>
        </w:rPr>
        <w:t>1 ci-dessus</w:t>
      </w:r>
      <w:r w:rsidR="00981230">
        <w:rPr>
          <w:lang w:val="fr-FR"/>
        </w:rPr>
        <w:t xml:space="preserve"> </w:t>
      </w:r>
      <w:r w:rsidRPr="00DE37DA">
        <w:rPr>
          <w:lang w:val="fr-FR"/>
        </w:rPr>
        <w:t>pour le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</w:t>
      </w:r>
      <w:r w:rsidR="00981230">
        <w:rPr>
          <w:lang w:val="fr-FR"/>
        </w:rPr>
        <w:t> </w:t>
      </w:r>
      <w:r w:rsidRPr="00DE37DA">
        <w:rPr>
          <w:lang w:val="fr-FR"/>
        </w:rPr>
        <w:t>:</w:t>
      </w:r>
    </w:p>
    <w:p w14:paraId="4A12AE7F" w14:textId="516A1C6A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F94EB3">
        <w:rPr>
          <w:lang w:val="fr-FR"/>
        </w:rPr>
        <w:t>« </w:t>
      </w:r>
      <w:r w:rsidRPr="00DE37DA">
        <w:rPr>
          <w:lang w:val="fr-FR"/>
        </w:rPr>
        <w:t>2.6.4.2.4</w:t>
      </w:r>
      <w:r w:rsidRPr="00DE37DA">
        <w:rPr>
          <w:lang w:val="fr-FR"/>
        </w:rPr>
        <w:tab/>
        <w:t>En l</w:t>
      </w:r>
      <w:r>
        <w:rPr>
          <w:lang w:val="fr-FR"/>
        </w:rPr>
        <w:t>’</w:t>
      </w:r>
      <w:r w:rsidRPr="00DE37DA">
        <w:rPr>
          <w:lang w:val="fr-FR"/>
        </w:rPr>
        <w:t>absence de données, le point d</w:t>
      </w:r>
      <w:r>
        <w:rPr>
          <w:lang w:val="fr-FR"/>
        </w:rPr>
        <w:t>’</w:t>
      </w:r>
      <w:r w:rsidRPr="00DE37DA">
        <w:rPr>
          <w:lang w:val="fr-FR"/>
        </w:rPr>
        <w:t>éclair et le point initial d</w:t>
      </w:r>
      <w:r>
        <w:rPr>
          <w:lang w:val="fr-FR"/>
        </w:rPr>
        <w:t>’</w:t>
      </w:r>
      <w:r w:rsidRPr="00DE37DA">
        <w:rPr>
          <w:lang w:val="fr-FR"/>
        </w:rPr>
        <w:t>ébullition doivent être déterminés par des épreuves. Pour le point d</w:t>
      </w:r>
      <w:r>
        <w:rPr>
          <w:lang w:val="fr-FR"/>
        </w:rPr>
        <w:t>’</w:t>
      </w:r>
      <w:r w:rsidRPr="00DE37DA">
        <w:rPr>
          <w:lang w:val="fr-FR"/>
        </w:rPr>
        <w:t xml:space="preserve">éclair, la méthode du creuset fermé doit être utilisée. Les essais en creuset ouvert sont seulement acceptables </w:t>
      </w:r>
      <w:r w:rsidRPr="00DE37DA">
        <w:rPr>
          <w:strike/>
          <w:lang w:val="fr-FR"/>
        </w:rPr>
        <w:t>dans des cas spéciaux</w:t>
      </w:r>
      <w:r w:rsidRPr="00DE37DA">
        <w:rPr>
          <w:lang w:val="fr-FR"/>
        </w:rPr>
        <w:t xml:space="preserve"> pour les liquides qui ne peuvent pas être soumis à des épreuves en creuset fermé (par exemple, en raison de leur viscosité) ou si les données disponibles sont utilisées. Dans ces cas, il faut soustraire 5</w:t>
      </w:r>
      <w:r w:rsidR="00981230">
        <w:rPr>
          <w:lang w:val="fr-FR"/>
        </w:rPr>
        <w:t> </w:t>
      </w:r>
      <w:r w:rsidRPr="00DE37DA">
        <w:rPr>
          <w:lang w:val="fr-FR"/>
        </w:rPr>
        <w:t>°C de la valeur mesurée, car les valeurs obtenues avec les méthodes d</w:t>
      </w:r>
      <w:r>
        <w:rPr>
          <w:lang w:val="fr-FR"/>
        </w:rPr>
        <w:t>’</w:t>
      </w:r>
      <w:r w:rsidRPr="00DE37DA">
        <w:rPr>
          <w:lang w:val="fr-FR"/>
        </w:rPr>
        <w:t>épreuve en creuset ouvert sont généralement plus élevées que celles obtenues avec les méthodes d</w:t>
      </w:r>
      <w:r>
        <w:rPr>
          <w:lang w:val="fr-FR"/>
        </w:rPr>
        <w:t>’</w:t>
      </w:r>
      <w:r w:rsidRPr="00DE37DA">
        <w:rPr>
          <w:lang w:val="fr-FR"/>
        </w:rPr>
        <w:t>épreuve en creuset fermé.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50F5B55B" w14:textId="6ED0E366" w:rsidR="00446FE5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4.</w:t>
      </w:r>
      <w:r w:rsidRPr="00DE37DA">
        <w:rPr>
          <w:lang w:val="fr-FR"/>
        </w:rPr>
        <w:tab/>
        <w:t>Les auteurs soulignent par ailleurs qu</w:t>
      </w:r>
      <w:r>
        <w:rPr>
          <w:lang w:val="fr-FR"/>
        </w:rPr>
        <w:t>’</w:t>
      </w:r>
      <w:r w:rsidRPr="00DE37DA">
        <w:rPr>
          <w:lang w:val="fr-FR"/>
        </w:rPr>
        <w:t xml:space="preserve">à leur connaissance, les termes </w:t>
      </w:r>
      <w:r w:rsidRPr="00F94EB3">
        <w:rPr>
          <w:lang w:val="fr-FR"/>
        </w:rPr>
        <w:t>« </w:t>
      </w:r>
      <w:r w:rsidRPr="00DE37DA">
        <w:rPr>
          <w:lang w:val="fr-FR"/>
        </w:rPr>
        <w:t>doit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et </w:t>
      </w:r>
      <w:r w:rsidRPr="00F94EB3">
        <w:rPr>
          <w:lang w:val="fr-FR"/>
        </w:rPr>
        <w:t>« </w:t>
      </w:r>
      <w:r w:rsidRPr="00DE37DA">
        <w:rPr>
          <w:lang w:val="fr-FR"/>
        </w:rPr>
        <w:t>doivent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ne sont pas utilisés dans le SGH. Le Sous-Comité SGH pourrait envisager de les remplacer dans les deux premières phrases par </w:t>
      </w:r>
      <w:r w:rsidRPr="00F94EB3">
        <w:rPr>
          <w:lang w:val="fr-FR"/>
        </w:rPr>
        <w:t>« </w:t>
      </w:r>
      <w:r w:rsidRPr="00DE37DA">
        <w:rPr>
          <w:lang w:val="fr-FR"/>
        </w:rPr>
        <w:t>devrait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et </w:t>
      </w:r>
      <w:r w:rsidRPr="00F94EB3">
        <w:rPr>
          <w:lang w:val="fr-FR"/>
        </w:rPr>
        <w:t>« </w:t>
      </w:r>
      <w:r w:rsidRPr="00DE37DA">
        <w:rPr>
          <w:lang w:val="fr-FR"/>
        </w:rPr>
        <w:t>devraient</w:t>
      </w:r>
      <w:r w:rsidRPr="00F94EB3">
        <w:rPr>
          <w:lang w:val="fr-FR"/>
        </w:rPr>
        <w:t> »</w:t>
      </w:r>
      <w:r w:rsidRPr="00DE37DA">
        <w:rPr>
          <w:lang w:val="fr-FR"/>
        </w:rPr>
        <w:t>.</w:t>
      </w:r>
    </w:p>
    <w:p w14:paraId="5EB0B88A" w14:textId="3CA462F8" w:rsidR="00981230" w:rsidRPr="00981230" w:rsidRDefault="00981230" w:rsidP="009812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1230" w:rsidRPr="00981230" w:rsidSect="00FC7F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3B35" w14:textId="77777777" w:rsidR="00EB1DA6" w:rsidRDefault="00EB1DA6" w:rsidP="00F95C08">
      <w:pPr>
        <w:spacing w:line="240" w:lineRule="auto"/>
      </w:pPr>
    </w:p>
  </w:endnote>
  <w:endnote w:type="continuationSeparator" w:id="0">
    <w:p w14:paraId="72A432D1" w14:textId="77777777" w:rsidR="00EB1DA6" w:rsidRPr="00AC3823" w:rsidRDefault="00EB1DA6" w:rsidP="00AC3823">
      <w:pPr>
        <w:pStyle w:val="Footer"/>
      </w:pPr>
    </w:p>
  </w:endnote>
  <w:endnote w:type="continuationNotice" w:id="1">
    <w:p w14:paraId="18664D27" w14:textId="77777777" w:rsidR="00EB1DA6" w:rsidRDefault="00EB1D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C661" w14:textId="18DDF42F" w:rsidR="00FC7F24" w:rsidRPr="00FC7F24" w:rsidRDefault="00FC7F24" w:rsidP="00FC7F24">
    <w:pPr>
      <w:pStyle w:val="Footer"/>
      <w:tabs>
        <w:tab w:val="right" w:pos="9638"/>
      </w:tabs>
    </w:pPr>
    <w:r w:rsidRPr="00FC7F24">
      <w:rPr>
        <w:b/>
        <w:sz w:val="18"/>
      </w:rPr>
      <w:fldChar w:fldCharType="begin"/>
    </w:r>
    <w:r w:rsidRPr="00FC7F24">
      <w:rPr>
        <w:b/>
        <w:sz w:val="18"/>
      </w:rPr>
      <w:instrText xml:space="preserve"> PAGE  \* MERGEFORMAT </w:instrText>
    </w:r>
    <w:r w:rsidRPr="00FC7F24">
      <w:rPr>
        <w:b/>
        <w:sz w:val="18"/>
      </w:rPr>
      <w:fldChar w:fldCharType="separate"/>
    </w:r>
    <w:r w:rsidRPr="00FC7F24">
      <w:rPr>
        <w:b/>
        <w:noProof/>
        <w:sz w:val="18"/>
      </w:rPr>
      <w:t>2</w:t>
    </w:r>
    <w:r w:rsidRPr="00FC7F24">
      <w:rPr>
        <w:b/>
        <w:sz w:val="18"/>
      </w:rPr>
      <w:fldChar w:fldCharType="end"/>
    </w:r>
    <w:r>
      <w:rPr>
        <w:b/>
        <w:sz w:val="18"/>
      </w:rPr>
      <w:tab/>
    </w:r>
    <w:r>
      <w:t>GE.22-14233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7688" w14:textId="617FAE72" w:rsidR="00FC7F24" w:rsidRPr="00FC7F24" w:rsidRDefault="00FC7F24" w:rsidP="00FC7F24">
    <w:pPr>
      <w:pStyle w:val="Footer"/>
      <w:tabs>
        <w:tab w:val="right" w:pos="9638"/>
      </w:tabs>
      <w:rPr>
        <w:b/>
        <w:sz w:val="18"/>
      </w:rPr>
    </w:pPr>
    <w:r>
      <w:t>GE.22-14233</w:t>
    </w:r>
    <w:r>
      <w:tab/>
    </w:r>
    <w:r w:rsidRPr="00FC7F24">
      <w:rPr>
        <w:b/>
        <w:sz w:val="18"/>
      </w:rPr>
      <w:fldChar w:fldCharType="begin"/>
    </w:r>
    <w:r w:rsidRPr="00FC7F24">
      <w:rPr>
        <w:b/>
        <w:sz w:val="18"/>
      </w:rPr>
      <w:instrText xml:space="preserve"> PAGE  \* MERGEFORMAT </w:instrText>
    </w:r>
    <w:r w:rsidRPr="00FC7F24">
      <w:rPr>
        <w:b/>
        <w:sz w:val="18"/>
      </w:rPr>
      <w:fldChar w:fldCharType="separate"/>
    </w:r>
    <w:r w:rsidRPr="00FC7F24">
      <w:rPr>
        <w:b/>
        <w:noProof/>
        <w:sz w:val="18"/>
      </w:rPr>
      <w:t>3</w:t>
    </w:r>
    <w:r w:rsidRPr="00FC7F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631" w14:textId="70D4D229" w:rsidR="0068456F" w:rsidRPr="00FC7F24" w:rsidRDefault="00FC7F24" w:rsidP="00FC7F2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A020DC" wp14:editId="201D04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14233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36B0BF" wp14:editId="19E0CB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071022    071022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CE51" w14:textId="77777777" w:rsidR="00EB1DA6" w:rsidRPr="00AC3823" w:rsidRDefault="00EB1D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F9F1E9" w14:textId="77777777" w:rsidR="00EB1DA6" w:rsidRPr="00AC3823" w:rsidRDefault="00EB1D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2FCE8B" w14:textId="77777777" w:rsidR="00EB1DA6" w:rsidRPr="00AC3823" w:rsidRDefault="00EB1DA6">
      <w:pPr>
        <w:spacing w:line="240" w:lineRule="auto"/>
        <w:rPr>
          <w:sz w:val="2"/>
          <w:szCs w:val="2"/>
        </w:rPr>
      </w:pPr>
    </w:p>
  </w:footnote>
  <w:footnote w:id="2">
    <w:p w14:paraId="66F923E7" w14:textId="0E77F908" w:rsidR="00FC7F24" w:rsidRPr="00FC7F24" w:rsidRDefault="00FC7F24">
      <w:pPr>
        <w:pStyle w:val="FootnoteText"/>
      </w:pPr>
      <w:r>
        <w:rPr>
          <w:rStyle w:val="FootnoteReference"/>
        </w:rPr>
        <w:tab/>
      </w:r>
      <w:r w:rsidRPr="00FC7F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CD3" w14:textId="11AEF1A2" w:rsidR="00FC7F24" w:rsidRPr="00FC7F24" w:rsidRDefault="00FC7F24">
    <w:pPr>
      <w:pStyle w:val="Header"/>
      <w:rPr>
        <w:lang w:val="en-US"/>
      </w:rPr>
    </w:pPr>
    <w:r>
      <w:fldChar w:fldCharType="begin"/>
    </w:r>
    <w:r w:rsidRPr="00FC7F24">
      <w:rPr>
        <w:lang w:val="en-US"/>
      </w:rPr>
      <w:instrText xml:space="preserve"> TITLE  \* MERGEFORMAT </w:instrText>
    </w:r>
    <w:r>
      <w:fldChar w:fldCharType="separate"/>
    </w:r>
    <w:r w:rsidR="00C16761">
      <w:rPr>
        <w:lang w:val="en-US"/>
      </w:rPr>
      <w:t>ST/SG/AC.10/C.3/2022/52</w:t>
    </w:r>
    <w:r>
      <w:fldChar w:fldCharType="end"/>
    </w:r>
    <w:r w:rsidRPr="00FC7F24">
      <w:rPr>
        <w:lang w:val="en-US"/>
      </w:rPr>
      <w:br/>
    </w:r>
    <w:r>
      <w:fldChar w:fldCharType="begin"/>
    </w:r>
    <w:r w:rsidRPr="00FC7F24">
      <w:rPr>
        <w:lang w:val="en-US"/>
      </w:rPr>
      <w:instrText xml:space="preserve"> KEYWORDS  \* MERGEFORMAT </w:instrText>
    </w:r>
    <w:r>
      <w:fldChar w:fldCharType="separate"/>
    </w:r>
    <w:r w:rsidR="00C16761">
      <w:rPr>
        <w:lang w:val="en-US"/>
      </w:rPr>
      <w:t>ST/SG/AC.10/C.4/2022/11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41" w14:textId="1E48B1FA" w:rsidR="00FC7F24" w:rsidRPr="00FC7F24" w:rsidRDefault="00FC7F24" w:rsidP="00FC7F24">
    <w:pPr>
      <w:pStyle w:val="Header"/>
      <w:jc w:val="right"/>
      <w:rPr>
        <w:lang w:val="en-US"/>
      </w:rPr>
    </w:pPr>
    <w:r>
      <w:fldChar w:fldCharType="begin"/>
    </w:r>
    <w:r w:rsidRPr="00FC7F24">
      <w:rPr>
        <w:lang w:val="en-US"/>
      </w:rPr>
      <w:instrText xml:space="preserve"> TITLE  \* MERGEFORMAT </w:instrText>
    </w:r>
    <w:r>
      <w:fldChar w:fldCharType="separate"/>
    </w:r>
    <w:r w:rsidR="00C16761">
      <w:rPr>
        <w:lang w:val="en-US"/>
      </w:rPr>
      <w:t>ST/SG/AC.10/C.3/2022/52</w:t>
    </w:r>
    <w:r>
      <w:fldChar w:fldCharType="end"/>
    </w:r>
    <w:r w:rsidRPr="00FC7F24">
      <w:rPr>
        <w:lang w:val="en-US"/>
      </w:rPr>
      <w:br/>
    </w:r>
    <w:r>
      <w:fldChar w:fldCharType="begin"/>
    </w:r>
    <w:r w:rsidRPr="00FC7F24">
      <w:rPr>
        <w:lang w:val="en-US"/>
      </w:rPr>
      <w:instrText xml:space="preserve"> KEYWORDS  \* MERGEFORMAT </w:instrText>
    </w:r>
    <w:r>
      <w:fldChar w:fldCharType="separate"/>
    </w:r>
    <w:r w:rsidR="00C16761">
      <w:rPr>
        <w:lang w:val="en-US"/>
      </w:rPr>
      <w:t>ST/SG/AC.10/C.4/2022/11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3"/>
    <w:rsid w:val="00017F94"/>
    <w:rsid w:val="00023842"/>
    <w:rsid w:val="000305D3"/>
    <w:rsid w:val="000334F9"/>
    <w:rsid w:val="0007796D"/>
    <w:rsid w:val="000B7790"/>
    <w:rsid w:val="00111F2F"/>
    <w:rsid w:val="00120E1B"/>
    <w:rsid w:val="00132EA9"/>
    <w:rsid w:val="0014365E"/>
    <w:rsid w:val="00172E49"/>
    <w:rsid w:val="00176178"/>
    <w:rsid w:val="001F525A"/>
    <w:rsid w:val="00223272"/>
    <w:rsid w:val="0024779E"/>
    <w:rsid w:val="002526B3"/>
    <w:rsid w:val="00283190"/>
    <w:rsid w:val="002832AC"/>
    <w:rsid w:val="002D7C93"/>
    <w:rsid w:val="00441C3B"/>
    <w:rsid w:val="00446FE5"/>
    <w:rsid w:val="00452396"/>
    <w:rsid w:val="004E468C"/>
    <w:rsid w:val="005505B7"/>
    <w:rsid w:val="00557E4C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81230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16761"/>
    <w:rsid w:val="00D3439C"/>
    <w:rsid w:val="00DB1831"/>
    <w:rsid w:val="00DD3BFD"/>
    <w:rsid w:val="00DF6678"/>
    <w:rsid w:val="00EB1DA6"/>
    <w:rsid w:val="00EF2E22"/>
    <w:rsid w:val="00F01738"/>
    <w:rsid w:val="00F660DF"/>
    <w:rsid w:val="00F730C8"/>
    <w:rsid w:val="00F95C08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821F"/>
  <w15:docId w15:val="{643292DA-B419-4B19-9CE8-835C1BC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ST/SG/AC.10/C.3/2022/52</vt:lpstr>
    </vt:vector>
  </TitlesOfParts>
  <Company>DCM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ST/SG/AC.10/C.3/2022/52</dc:title>
  <dc:creator>Marie DESCHAMPS</dc:creator>
  <cp:keywords>ST/SG/AC.10/C.4/2022/11</cp:keywords>
  <cp:lastModifiedBy>Laurence Berthet</cp:lastModifiedBy>
  <cp:revision>3</cp:revision>
  <cp:lastPrinted>2022-10-09T09:00:00Z</cp:lastPrinted>
  <dcterms:created xsi:type="dcterms:W3CDTF">2022-10-09T08:59:00Z</dcterms:created>
  <dcterms:modified xsi:type="dcterms:W3CDTF">2022-10-09T09:00:00Z</dcterms:modified>
</cp:coreProperties>
</file>