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8A62" w14:textId="730ED820" w:rsidR="00095BBA" w:rsidRDefault="00095BBA" w:rsidP="008C0C40">
      <w:pPr>
        <w:pStyle w:val="HChG"/>
      </w:pPr>
    </w:p>
    <w:p w14:paraId="1B8642A2" w14:textId="08B6EFD6" w:rsidR="00CD6F60" w:rsidRDefault="00CD6F60" w:rsidP="00CD6F60"/>
    <w:p w14:paraId="6D1B93F2" w14:textId="77777777" w:rsidR="00CD6F60" w:rsidRPr="00CD6F60" w:rsidRDefault="00CD6F60" w:rsidP="00CD6F60"/>
    <w:p w14:paraId="388D6F66" w14:textId="77777777" w:rsidR="00CB40FB" w:rsidRPr="006E5316" w:rsidRDefault="008C0C40" w:rsidP="00CB40FB">
      <w:pPr>
        <w:pStyle w:val="HChG"/>
        <w:rPr>
          <w:szCs w:val="28"/>
        </w:rPr>
      </w:pPr>
      <w:r>
        <w:tab/>
      </w:r>
      <w:r>
        <w:tab/>
      </w:r>
      <w:r w:rsidR="00CB40FB" w:rsidRPr="006E5316">
        <w:t>Proposal for Supplement 2 to the 02 series of amendments of</w:t>
      </w:r>
      <w:r w:rsidR="00CB40FB" w:rsidRPr="006E5316">
        <w:rPr>
          <w:szCs w:val="28"/>
        </w:rPr>
        <w:t xml:space="preserve"> UN Regulation No. 125 (</w:t>
      </w:r>
      <w:r w:rsidR="00CB40FB" w:rsidRPr="006E5316">
        <w:t>Forward field of vision of drivers</w:t>
      </w:r>
      <w:r w:rsidR="00CB40FB" w:rsidRPr="006E5316">
        <w:rPr>
          <w:szCs w:val="28"/>
        </w:rPr>
        <w:t>)</w:t>
      </w:r>
    </w:p>
    <w:p w14:paraId="24F76DA7" w14:textId="77777777" w:rsidR="00CB40FB" w:rsidRPr="006E5316" w:rsidRDefault="00CB40FB" w:rsidP="00CB40FB">
      <w:pPr>
        <w:pStyle w:val="H1G"/>
        <w:tabs>
          <w:tab w:val="clear" w:pos="851"/>
          <w:tab w:val="left" w:pos="8505"/>
        </w:tabs>
        <w:ind w:firstLine="0"/>
        <w:rPr>
          <w:vertAlign w:val="superscript"/>
        </w:rPr>
      </w:pPr>
      <w:r w:rsidRPr="006E5316">
        <w:t xml:space="preserve">Submitted by the experts of the Informal Working Group on </w:t>
      </w:r>
      <w:r w:rsidRPr="006E5316">
        <w:rPr>
          <w:rStyle w:val="normaltextrun"/>
          <w:color w:val="000000"/>
        </w:rPr>
        <w:t>Field of Vision Assistants</w:t>
      </w:r>
      <w:r w:rsidRPr="006E5316">
        <w:t xml:space="preserve"> </w:t>
      </w:r>
      <w:r w:rsidRPr="006E5316">
        <w:rPr>
          <w:vertAlign w:val="superscript"/>
        </w:rPr>
        <w:footnoteReference w:customMarkFollows="1" w:id="2"/>
        <w:t>*</w:t>
      </w:r>
    </w:p>
    <w:p w14:paraId="43367217" w14:textId="30D60A9F" w:rsidR="00CB40FB" w:rsidRPr="006E5316" w:rsidRDefault="00CB40FB" w:rsidP="00CB40FB">
      <w:pPr>
        <w:pStyle w:val="SingleTxtG"/>
        <w:ind w:firstLine="567"/>
      </w:pPr>
      <w:r w:rsidRPr="006E5316">
        <w:t xml:space="preserve">The text reproduced below was submitted by the experts of the Informal Working Group on </w:t>
      </w:r>
      <w:r w:rsidRPr="006E5316">
        <w:rPr>
          <w:rStyle w:val="normaltextrun"/>
          <w:color w:val="000000"/>
        </w:rPr>
        <w:t xml:space="preserve">Field of Vision Assistants </w:t>
      </w:r>
      <w:r w:rsidRPr="006E5316">
        <w:t xml:space="preserve">(FVA). It clarifies the switch off provisions of an FVA system in case of a backing event. The modifications to the existing text of the UN Regulation </w:t>
      </w:r>
      <w:r w:rsidRPr="008E6601">
        <w:t xml:space="preserve">by document ECE/TRANS/WP.29/GRSG/2022/27 </w:t>
      </w:r>
      <w:r w:rsidRPr="006E5316">
        <w:t xml:space="preserve">are marked in </w:t>
      </w:r>
      <w:r>
        <w:t>“</w:t>
      </w:r>
      <w:r w:rsidRPr="006E5316">
        <w:t xml:space="preserve">bold </w:t>
      </w:r>
      <w:r>
        <w:t xml:space="preserve">black“ </w:t>
      </w:r>
      <w:r w:rsidRPr="006E5316">
        <w:t>for new or strikethrough for deleted characters.</w:t>
      </w:r>
      <w:r>
        <w:t xml:space="preserve"> The modifications made by this document are marked in </w:t>
      </w:r>
      <w:r w:rsidRPr="00CB40FB">
        <w:rPr>
          <w:bCs/>
          <w:color w:val="0070C0"/>
          <w:lang w:eastAsia="en-US"/>
        </w:rPr>
        <w:t>“(bold) blue”</w:t>
      </w:r>
      <w:r>
        <w:t xml:space="preserve"> for new or strikethrough for deleted characters.</w:t>
      </w:r>
    </w:p>
    <w:p w14:paraId="0A3D9926" w14:textId="7DB7CD78" w:rsidR="00AA2E18" w:rsidRDefault="00AA2E18" w:rsidP="00CB40FB">
      <w:pPr>
        <w:pStyle w:val="HChG"/>
        <w:rPr>
          <w:sz w:val="21"/>
          <w:szCs w:val="21"/>
        </w:rPr>
      </w:pPr>
    </w:p>
    <w:p w14:paraId="1949B045" w14:textId="285E6B17" w:rsidR="00AA2E18" w:rsidRPr="00E877E8" w:rsidRDefault="008C0C40" w:rsidP="00CB40FB">
      <w:pPr>
        <w:pStyle w:val="HChG"/>
        <w:ind w:firstLine="0"/>
      </w:pPr>
      <w:r>
        <w:br w:type="page"/>
      </w:r>
    </w:p>
    <w:p w14:paraId="7F77BDF4" w14:textId="77777777" w:rsidR="00CB40FB" w:rsidRPr="006E5316" w:rsidRDefault="00CB40FB" w:rsidP="00CB40FB">
      <w:pPr>
        <w:pStyle w:val="HChG"/>
      </w:pPr>
      <w:r w:rsidRPr="006E5316">
        <w:rPr>
          <w:spacing w:val="1"/>
        </w:rPr>
        <w:lastRenderedPageBreak/>
        <w:t>I</w:t>
      </w:r>
      <w:r w:rsidRPr="006E5316">
        <w:t>.</w:t>
      </w:r>
      <w:r w:rsidRPr="006E5316">
        <w:tab/>
        <w:t>Pr</w:t>
      </w:r>
      <w:r w:rsidRPr="006E5316">
        <w:rPr>
          <w:spacing w:val="1"/>
        </w:rPr>
        <w:t>o</w:t>
      </w:r>
      <w:r w:rsidRPr="006E5316">
        <w:t>pos</w:t>
      </w:r>
      <w:r w:rsidRPr="006E5316">
        <w:rPr>
          <w:spacing w:val="1"/>
        </w:rPr>
        <w:t>a</w:t>
      </w:r>
      <w:r w:rsidRPr="006E5316">
        <w:t>l</w:t>
      </w:r>
    </w:p>
    <w:p w14:paraId="2FBF2F48" w14:textId="77777777" w:rsidR="00CB40FB" w:rsidRPr="006E5316" w:rsidRDefault="00CB40FB" w:rsidP="00CB40FB">
      <w:pPr>
        <w:pStyle w:val="SingleTxtG"/>
        <w:rPr>
          <w:rFonts w:eastAsia="Malgun Gothic"/>
          <w:lang w:eastAsia="ko-KR"/>
        </w:rPr>
      </w:pPr>
      <w:r w:rsidRPr="006E5316">
        <w:rPr>
          <w:rFonts w:eastAsia="Malgun Gothic"/>
          <w:i/>
          <w:iCs/>
          <w:lang w:eastAsia="ko-KR"/>
        </w:rPr>
        <w:t>Paragraph 5.1.3.5.5.,</w:t>
      </w:r>
      <w:r w:rsidRPr="006E5316">
        <w:rPr>
          <w:rFonts w:eastAsia="Malgun Gothic"/>
          <w:lang w:eastAsia="ko-KR"/>
        </w:rPr>
        <w:t xml:space="preserve"> amend to read:</w:t>
      </w:r>
    </w:p>
    <w:p w14:paraId="54859786" w14:textId="77777777" w:rsidR="00CB40FB" w:rsidRDefault="00CB40FB" w:rsidP="00CB40FB">
      <w:pPr>
        <w:pStyle w:val="SingleTxtG"/>
        <w:ind w:left="2340" w:hanging="1206"/>
        <w:rPr>
          <w:bCs/>
        </w:rPr>
      </w:pPr>
      <w:r w:rsidRPr="006E5316">
        <w:rPr>
          <w:rFonts w:eastAsia="Malgun Gothic"/>
          <w:lang w:eastAsia="ko-KR"/>
        </w:rPr>
        <w:t>"5.1.3.5.5.</w:t>
      </w:r>
      <w:r w:rsidRPr="006E5316">
        <w:rPr>
          <w:rFonts w:eastAsia="Malgun Gothic"/>
          <w:lang w:eastAsia="ko-KR"/>
        </w:rPr>
        <w:tab/>
        <w:t xml:space="preserve">It shall be possible for the driver to switch off the FVA by a deliberate action consisting of at least one manual option with maximum of 2 consecutive steps. Intuitive action (e.g. double press, swipe and press) is considered as a single step. </w:t>
      </w:r>
      <w:r w:rsidRPr="006E5316">
        <w:rPr>
          <w:b/>
        </w:rPr>
        <w:t xml:space="preserve">This provision does not apply when the vehicle is in a backing event as defined in UN Regulation </w:t>
      </w:r>
      <w:r>
        <w:rPr>
          <w:b/>
        </w:rPr>
        <w:t xml:space="preserve">No. </w:t>
      </w:r>
      <w:r w:rsidRPr="006E5316">
        <w:rPr>
          <w:b/>
        </w:rPr>
        <w:t>158.</w:t>
      </w:r>
      <w:r w:rsidRPr="006E5316">
        <w:rPr>
          <w:bCs/>
        </w:rPr>
        <w:t>"</w:t>
      </w:r>
    </w:p>
    <w:p w14:paraId="2412DCA1" w14:textId="77777777" w:rsidR="00CB40FB" w:rsidRPr="00960C64" w:rsidRDefault="00CB40FB" w:rsidP="00CB40FB">
      <w:pPr>
        <w:pStyle w:val="SingleTxtG"/>
        <w:rPr>
          <w:bCs/>
          <w:color w:val="0070C0"/>
          <w:lang w:eastAsia="en-US"/>
        </w:rPr>
      </w:pPr>
      <w:r w:rsidRPr="00960C64">
        <w:rPr>
          <w:bCs/>
          <w:i/>
          <w:color w:val="0070C0"/>
          <w:lang w:eastAsia="en-US"/>
        </w:rPr>
        <w:t>Insert new paragraph 5.1.3.7.,</w:t>
      </w:r>
      <w:r w:rsidRPr="00960C64">
        <w:rPr>
          <w:bCs/>
          <w:color w:val="0070C0"/>
          <w:lang w:eastAsia="en-US"/>
        </w:rPr>
        <w:t xml:space="preserve"> to read:</w:t>
      </w:r>
    </w:p>
    <w:p w14:paraId="02A6C404" w14:textId="4122CC97" w:rsidR="00CB40FB" w:rsidRPr="00960C64" w:rsidRDefault="00CB40FB" w:rsidP="00CB40FB">
      <w:pPr>
        <w:pStyle w:val="SingleTxtG"/>
        <w:ind w:left="2410" w:hanging="1276"/>
        <w:rPr>
          <w:b/>
          <w:bCs/>
          <w:color w:val="0070C0"/>
          <w:lang w:eastAsia="en-US"/>
        </w:rPr>
      </w:pPr>
      <w:r w:rsidRPr="00960C64">
        <w:rPr>
          <w:b/>
          <w:bCs/>
          <w:color w:val="0070C0"/>
          <w:lang w:eastAsia="en-US"/>
        </w:rPr>
        <w:t>“5.1.3.7.</w:t>
      </w:r>
      <w:r w:rsidRPr="00960C64">
        <w:rPr>
          <w:b/>
          <w:bCs/>
          <w:color w:val="0070C0"/>
          <w:lang w:eastAsia="en-US"/>
        </w:rPr>
        <w:tab/>
        <w:t>Information to the driver, mandated by any UN Regulation</w:t>
      </w:r>
      <w:r w:rsidR="00B93B7D" w:rsidRPr="00B93B7D">
        <w:rPr>
          <w:b/>
          <w:bCs/>
          <w:color w:val="FF0000"/>
          <w:lang w:eastAsia="en-US"/>
        </w:rPr>
        <w:t>s</w:t>
      </w:r>
      <w:r w:rsidRPr="00960C64">
        <w:rPr>
          <w:b/>
          <w:bCs/>
          <w:color w:val="0070C0"/>
          <w:lang w:eastAsia="en-US"/>
        </w:rPr>
        <w:t>, shall not be replaced by Information given via the FVA system. A duplication of such mandatory information via the FVA system is possible.”</w:t>
      </w:r>
    </w:p>
    <w:p w14:paraId="52BA716B" w14:textId="77777777" w:rsidR="00CB40FB" w:rsidRDefault="00CB40FB" w:rsidP="00CB40FB">
      <w:pPr>
        <w:pStyle w:val="SingleTxtG"/>
        <w:ind w:left="2410" w:hanging="1276"/>
        <w:rPr>
          <w:rFonts w:eastAsia="Malgun Gothic"/>
          <w:i/>
          <w:iCs/>
          <w:lang w:eastAsia="ko-KR"/>
        </w:rPr>
      </w:pPr>
    </w:p>
    <w:p w14:paraId="559DF6E8" w14:textId="77777777" w:rsidR="00CB40FB" w:rsidRPr="008E6601" w:rsidRDefault="00CB40FB" w:rsidP="00CB40FB">
      <w:pPr>
        <w:pStyle w:val="SingleTxtG"/>
        <w:rPr>
          <w:rFonts w:eastAsia="Malgun Gothic"/>
          <w:i/>
          <w:iCs/>
          <w:lang w:eastAsia="ko-KR"/>
        </w:rPr>
      </w:pPr>
      <w:r w:rsidRPr="008E6601">
        <w:rPr>
          <w:rFonts w:eastAsia="Malgun Gothic"/>
          <w:i/>
          <w:iCs/>
          <w:lang w:eastAsia="ko-KR"/>
        </w:rPr>
        <w:t xml:space="preserve">Annex 5, </w:t>
      </w:r>
      <w:r w:rsidRPr="000E1735">
        <w:rPr>
          <w:rFonts w:eastAsia="Malgun Gothic"/>
          <w:iCs/>
          <w:lang w:eastAsia="ko-KR"/>
        </w:rPr>
        <w:t>amend to read:</w:t>
      </w:r>
    </w:p>
    <w:p w14:paraId="2815F561" w14:textId="77777777" w:rsidR="00CB40FB" w:rsidRPr="00D86426" w:rsidRDefault="00CB40FB" w:rsidP="00CB40FB">
      <w:pPr>
        <w:pStyle w:val="HChG"/>
        <w:ind w:firstLine="36"/>
        <w:rPr>
          <w:b w:val="0"/>
        </w:rPr>
      </w:pPr>
      <w:r w:rsidRPr="00D86426">
        <w:rPr>
          <w:b w:val="0"/>
        </w:rPr>
        <w:t>"Annex 5</w:t>
      </w:r>
    </w:p>
    <w:p w14:paraId="6D734E92" w14:textId="77777777" w:rsidR="00CB40FB" w:rsidRPr="00D86426" w:rsidRDefault="00CB40FB" w:rsidP="00CB40FB">
      <w:pPr>
        <w:pStyle w:val="HChG"/>
        <w:ind w:firstLine="36"/>
        <w:rPr>
          <w:b w:val="0"/>
        </w:rPr>
      </w:pPr>
      <w:r w:rsidRPr="00D86426">
        <w:rPr>
          <w:b w:val="0"/>
        </w:rPr>
        <w:t>Field of View Assistant</w:t>
      </w:r>
    </w:p>
    <w:p w14:paraId="7B9A2A0D" w14:textId="77777777" w:rsidR="00CB40FB" w:rsidRPr="00D86426" w:rsidRDefault="00CB40FB" w:rsidP="00CB40FB">
      <w:pPr>
        <w:pStyle w:val="Heading1"/>
        <w:rPr>
          <w:bCs/>
        </w:rPr>
      </w:pPr>
      <w:r w:rsidRPr="00D86426">
        <w:rPr>
          <w:bCs/>
        </w:rPr>
        <w:t>Examples for Warning / Highlight / Information as specified in paragraph 5.3.5.1.:</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6"/>
        <w:gridCol w:w="3969"/>
      </w:tblGrid>
      <w:tr w:rsidR="00CB40FB" w:rsidRPr="00D86426" w14:paraId="5544E5E2" w14:textId="77777777" w:rsidTr="00242D99">
        <w:tc>
          <w:tcPr>
            <w:tcW w:w="3686" w:type="dxa"/>
            <w:shd w:val="clear" w:color="auto" w:fill="auto"/>
          </w:tcPr>
          <w:p w14:paraId="644C2E08" w14:textId="77777777" w:rsidR="00CB40FB" w:rsidRPr="00D86426" w:rsidRDefault="00CB40FB" w:rsidP="00242D99">
            <w:pPr>
              <w:pStyle w:val="Para0"/>
              <w:ind w:left="0" w:right="275" w:firstLine="0"/>
              <w:jc w:val="left"/>
              <w:rPr>
                <w:bCs/>
              </w:rPr>
            </w:pPr>
          </w:p>
        </w:tc>
        <w:tc>
          <w:tcPr>
            <w:tcW w:w="3969" w:type="dxa"/>
            <w:shd w:val="clear" w:color="auto" w:fill="auto"/>
          </w:tcPr>
          <w:p w14:paraId="598EC5BE" w14:textId="77777777" w:rsidR="00CB40FB" w:rsidRPr="00D86426" w:rsidRDefault="00CB40FB" w:rsidP="00242D99">
            <w:pPr>
              <w:pStyle w:val="Para0"/>
              <w:tabs>
                <w:tab w:val="left" w:pos="1595"/>
              </w:tabs>
              <w:ind w:left="0" w:right="0" w:firstLine="0"/>
              <w:jc w:val="left"/>
              <w:rPr>
                <w:bCs/>
              </w:rPr>
            </w:pPr>
            <w:r w:rsidRPr="00D86426">
              <w:rPr>
                <w:bCs/>
              </w:rPr>
              <w:t>Examples</w:t>
            </w:r>
          </w:p>
        </w:tc>
      </w:tr>
      <w:tr w:rsidR="00CB40FB" w:rsidRPr="00D86426" w14:paraId="71B21CFF" w14:textId="77777777" w:rsidTr="00242D99">
        <w:tc>
          <w:tcPr>
            <w:tcW w:w="3686" w:type="dxa"/>
            <w:shd w:val="clear" w:color="auto" w:fill="auto"/>
          </w:tcPr>
          <w:p w14:paraId="4F340377" w14:textId="77777777" w:rsidR="00CB40FB" w:rsidRPr="00D86426" w:rsidRDefault="00CB40FB" w:rsidP="00242D99">
            <w:pPr>
              <w:pStyle w:val="Para0"/>
              <w:ind w:left="0" w:right="275" w:firstLine="0"/>
              <w:jc w:val="left"/>
              <w:rPr>
                <w:bCs/>
              </w:rPr>
            </w:pPr>
            <w:r w:rsidRPr="00D86426">
              <w:rPr>
                <w:bCs/>
              </w:rPr>
              <w:t>Warning/Highlight hazardous traffic situation</w:t>
            </w:r>
          </w:p>
        </w:tc>
        <w:tc>
          <w:tcPr>
            <w:tcW w:w="3969" w:type="dxa"/>
            <w:shd w:val="clear" w:color="auto" w:fill="auto"/>
          </w:tcPr>
          <w:p w14:paraId="1975C972" w14:textId="77777777" w:rsidR="00CB40FB" w:rsidRPr="008818DF" w:rsidRDefault="00CB40FB" w:rsidP="00242D99">
            <w:pPr>
              <w:pStyle w:val="Para0"/>
              <w:tabs>
                <w:tab w:val="left" w:pos="1595"/>
              </w:tabs>
              <w:ind w:left="0" w:right="0" w:firstLine="0"/>
              <w:jc w:val="left"/>
              <w:rPr>
                <w:bCs/>
              </w:rPr>
            </w:pPr>
            <w:r w:rsidRPr="00D86426">
              <w:rPr>
                <w:bCs/>
              </w:rPr>
              <w:t>Abrupt braking situations</w:t>
            </w:r>
            <w:r>
              <w:rPr>
                <w:bCs/>
              </w:rPr>
              <w:t xml:space="preserve"> </w:t>
            </w:r>
            <w:r w:rsidRPr="00247679">
              <w:rPr>
                <w:b/>
                <w:bCs/>
                <w:color w:val="0070C0"/>
              </w:rPr>
              <w:t>or</w:t>
            </w:r>
            <w:r w:rsidRPr="00247679">
              <w:rPr>
                <w:bCs/>
                <w:color w:val="0070C0"/>
              </w:rPr>
              <w:t xml:space="preserve"> </w:t>
            </w:r>
            <w:r w:rsidRPr="00247679">
              <w:rPr>
                <w:b/>
                <w:bCs/>
                <w:color w:val="0070C0"/>
              </w:rPr>
              <w:t>other</w:t>
            </w:r>
            <w:r w:rsidRPr="00247679">
              <w:rPr>
                <w:bCs/>
                <w:color w:val="0070C0"/>
              </w:rPr>
              <w:t xml:space="preserve"> e</w:t>
            </w:r>
            <w:r w:rsidRPr="00247679">
              <w:rPr>
                <w:b/>
                <w:bCs/>
                <w:color w:val="0070C0"/>
              </w:rPr>
              <w:t>mergency cases</w:t>
            </w:r>
            <w:r w:rsidRPr="00247679">
              <w:rPr>
                <w:bCs/>
                <w:color w:val="0070C0"/>
              </w:rPr>
              <w:t xml:space="preserve"> </w:t>
            </w:r>
          </w:p>
          <w:p w14:paraId="56BDCC64" w14:textId="77777777" w:rsidR="00CB40FB" w:rsidRPr="00D86426" w:rsidRDefault="00CB40FB" w:rsidP="00242D99">
            <w:pPr>
              <w:pStyle w:val="Para0"/>
              <w:tabs>
                <w:tab w:val="left" w:pos="1595"/>
              </w:tabs>
              <w:ind w:left="0" w:right="0" w:firstLine="0"/>
              <w:jc w:val="left"/>
              <w:rPr>
                <w:bCs/>
              </w:rPr>
            </w:pPr>
            <w:r w:rsidRPr="00D86426">
              <w:rPr>
                <w:bCs/>
              </w:rPr>
              <w:t>Oncoming traffic in turning manoeuvres</w:t>
            </w:r>
          </w:p>
          <w:p w14:paraId="4A56F816" w14:textId="77777777" w:rsidR="00CB40FB" w:rsidRPr="00D86426" w:rsidRDefault="00CB40FB" w:rsidP="00242D99">
            <w:pPr>
              <w:pStyle w:val="Para0"/>
              <w:tabs>
                <w:tab w:val="left" w:pos="1595"/>
              </w:tabs>
              <w:ind w:left="0" w:right="0" w:firstLine="0"/>
              <w:jc w:val="left"/>
              <w:rPr>
                <w:bCs/>
              </w:rPr>
            </w:pPr>
            <w:r w:rsidRPr="00D86426">
              <w:rPr>
                <w:bCs/>
              </w:rPr>
              <w:t>Oncoming Traffic Jam/vehicle break down.</w:t>
            </w:r>
          </w:p>
          <w:p w14:paraId="05784315" w14:textId="77777777" w:rsidR="00CB40FB" w:rsidRPr="00D86426" w:rsidRDefault="00CB40FB" w:rsidP="00242D99">
            <w:pPr>
              <w:pStyle w:val="Para0"/>
              <w:tabs>
                <w:tab w:val="left" w:pos="1595"/>
              </w:tabs>
              <w:ind w:left="0" w:right="0" w:firstLine="0"/>
              <w:jc w:val="left"/>
              <w:rPr>
                <w:bCs/>
              </w:rPr>
            </w:pPr>
            <w:r w:rsidRPr="00D86426">
              <w:rPr>
                <w:bCs/>
              </w:rPr>
              <w:t>Vehicles leaving the lane or entering the own driving path</w:t>
            </w:r>
          </w:p>
        </w:tc>
      </w:tr>
      <w:tr w:rsidR="00CB40FB" w:rsidRPr="00D86426" w14:paraId="0EAF7837" w14:textId="77777777" w:rsidTr="00242D99">
        <w:tc>
          <w:tcPr>
            <w:tcW w:w="3686" w:type="dxa"/>
            <w:shd w:val="clear" w:color="auto" w:fill="auto"/>
          </w:tcPr>
          <w:p w14:paraId="590F4E75" w14:textId="77777777" w:rsidR="00CB40FB" w:rsidRPr="00D86426" w:rsidRDefault="00CB40FB" w:rsidP="00242D99">
            <w:pPr>
              <w:pStyle w:val="Para0"/>
              <w:ind w:left="0" w:right="275" w:firstLine="0"/>
              <w:jc w:val="left"/>
              <w:rPr>
                <w:bCs/>
              </w:rPr>
            </w:pPr>
            <w:r w:rsidRPr="00D86426">
              <w:rPr>
                <w:bCs/>
              </w:rPr>
              <w:t>Warning/highlight vulnerable road users or other road users which may be overseen</w:t>
            </w:r>
          </w:p>
        </w:tc>
        <w:tc>
          <w:tcPr>
            <w:tcW w:w="3969" w:type="dxa"/>
            <w:shd w:val="clear" w:color="auto" w:fill="auto"/>
          </w:tcPr>
          <w:p w14:paraId="3B41C708" w14:textId="77777777" w:rsidR="00CB40FB" w:rsidRPr="00D86426" w:rsidRDefault="00CB40FB" w:rsidP="00242D99">
            <w:pPr>
              <w:pStyle w:val="Para0"/>
              <w:tabs>
                <w:tab w:val="left" w:pos="1595"/>
              </w:tabs>
              <w:ind w:left="0" w:right="0" w:firstLine="0"/>
              <w:jc w:val="left"/>
              <w:rPr>
                <w:bCs/>
              </w:rPr>
            </w:pPr>
            <w:r w:rsidRPr="00D86426">
              <w:rPr>
                <w:bCs/>
              </w:rPr>
              <w:t>Pedestrians</w:t>
            </w:r>
          </w:p>
          <w:p w14:paraId="657D404A" w14:textId="77777777" w:rsidR="00CB40FB" w:rsidRPr="00D86426" w:rsidRDefault="00CB40FB" w:rsidP="00242D99">
            <w:pPr>
              <w:pStyle w:val="Para0"/>
              <w:tabs>
                <w:tab w:val="left" w:pos="1595"/>
              </w:tabs>
              <w:ind w:left="0" w:right="0" w:firstLine="0"/>
              <w:jc w:val="left"/>
              <w:rPr>
                <w:bCs/>
              </w:rPr>
            </w:pPr>
            <w:r w:rsidRPr="00D86426">
              <w:rPr>
                <w:bCs/>
              </w:rPr>
              <w:t>Cyclists</w:t>
            </w:r>
          </w:p>
          <w:p w14:paraId="1118548A" w14:textId="77777777" w:rsidR="00CB40FB" w:rsidRPr="00D86426" w:rsidRDefault="00CB40FB" w:rsidP="00242D99">
            <w:pPr>
              <w:pStyle w:val="Para0"/>
              <w:tabs>
                <w:tab w:val="left" w:pos="1595"/>
              </w:tabs>
              <w:ind w:left="0" w:right="0" w:firstLine="0"/>
              <w:jc w:val="left"/>
              <w:rPr>
                <w:bCs/>
              </w:rPr>
            </w:pPr>
            <w:r w:rsidRPr="00D86426">
              <w:rPr>
                <w:bCs/>
              </w:rPr>
              <w:t>Crossing road users</w:t>
            </w:r>
          </w:p>
          <w:p w14:paraId="6D6FFD0F" w14:textId="77777777" w:rsidR="00CB40FB" w:rsidRPr="00D86426" w:rsidRDefault="00CB40FB" w:rsidP="00242D99">
            <w:pPr>
              <w:pStyle w:val="Para0"/>
              <w:tabs>
                <w:tab w:val="left" w:pos="1595"/>
              </w:tabs>
              <w:ind w:left="0" w:right="0" w:firstLine="0"/>
              <w:jc w:val="left"/>
              <w:rPr>
                <w:bCs/>
              </w:rPr>
            </w:pPr>
            <w:r w:rsidRPr="00D86426">
              <w:rPr>
                <w:bCs/>
              </w:rPr>
              <w:t>Road users in blind spot or road users covered by other objects</w:t>
            </w:r>
          </w:p>
          <w:p w14:paraId="7C4C1ADD" w14:textId="77777777" w:rsidR="00CB40FB" w:rsidRPr="00D86426" w:rsidRDefault="00CB40FB" w:rsidP="00242D99">
            <w:pPr>
              <w:pStyle w:val="Para0"/>
              <w:tabs>
                <w:tab w:val="left" w:pos="1595"/>
              </w:tabs>
              <w:ind w:left="0" w:right="0" w:firstLine="0"/>
              <w:jc w:val="left"/>
              <w:rPr>
                <w:bCs/>
              </w:rPr>
            </w:pPr>
            <w:r w:rsidRPr="00D86426">
              <w:rPr>
                <w:bCs/>
              </w:rPr>
              <w:t>Animals</w:t>
            </w:r>
          </w:p>
        </w:tc>
      </w:tr>
      <w:tr w:rsidR="00CB40FB" w:rsidRPr="00D86426" w14:paraId="66AD0C23" w14:textId="77777777" w:rsidTr="00242D99">
        <w:tc>
          <w:tcPr>
            <w:tcW w:w="3686" w:type="dxa"/>
            <w:shd w:val="clear" w:color="auto" w:fill="auto"/>
          </w:tcPr>
          <w:p w14:paraId="7CA3870E" w14:textId="77777777" w:rsidR="00CB40FB" w:rsidRPr="00D86426" w:rsidRDefault="00CB40FB" w:rsidP="00242D99">
            <w:pPr>
              <w:pStyle w:val="Para0"/>
              <w:ind w:left="0" w:right="275" w:firstLine="0"/>
              <w:jc w:val="left"/>
              <w:rPr>
                <w:bCs/>
              </w:rPr>
            </w:pPr>
            <w:r w:rsidRPr="00D86426">
              <w:rPr>
                <w:bCs/>
              </w:rPr>
              <w:t>Information to maintain the distances to surrounding road user and infrastructure</w:t>
            </w:r>
            <w:r>
              <w:rPr>
                <w:bCs/>
              </w:rPr>
              <w:t xml:space="preserve"> </w:t>
            </w:r>
            <w:r w:rsidRPr="00247679">
              <w:rPr>
                <w:b/>
                <w:bCs/>
                <w:color w:val="0070C0"/>
              </w:rPr>
              <w:t>as well as information on the infrastructure</w:t>
            </w:r>
          </w:p>
        </w:tc>
        <w:tc>
          <w:tcPr>
            <w:tcW w:w="3969" w:type="dxa"/>
            <w:shd w:val="clear" w:color="auto" w:fill="auto"/>
          </w:tcPr>
          <w:p w14:paraId="28812351" w14:textId="77777777" w:rsidR="00CB40FB" w:rsidRPr="00D86426" w:rsidRDefault="00CB40FB" w:rsidP="00242D99">
            <w:pPr>
              <w:pStyle w:val="Para0"/>
              <w:tabs>
                <w:tab w:val="left" w:pos="1595"/>
              </w:tabs>
              <w:ind w:left="0" w:right="0" w:firstLine="0"/>
              <w:jc w:val="left"/>
              <w:rPr>
                <w:bCs/>
              </w:rPr>
            </w:pPr>
            <w:r w:rsidRPr="00D86426">
              <w:rPr>
                <w:bCs/>
              </w:rPr>
              <w:t>Distance to vehicle in front</w:t>
            </w:r>
            <w:r w:rsidRPr="000755A7">
              <w:rPr>
                <w:b/>
                <w:bCs/>
              </w:rPr>
              <w:t>/</w:t>
            </w:r>
            <w:r>
              <w:rPr>
                <w:b/>
                <w:bCs/>
              </w:rPr>
              <w:t xml:space="preserve"> </w:t>
            </w:r>
            <w:r w:rsidRPr="00247679">
              <w:rPr>
                <w:b/>
                <w:bCs/>
                <w:color w:val="0070C0"/>
              </w:rPr>
              <w:t>to side</w:t>
            </w:r>
            <w:r>
              <w:rPr>
                <w:b/>
                <w:bCs/>
                <w:color w:val="0070C0"/>
              </w:rPr>
              <w:t xml:space="preserve"> / to rear</w:t>
            </w:r>
          </w:p>
          <w:p w14:paraId="7D349E62" w14:textId="77777777" w:rsidR="00CB40FB" w:rsidRPr="00D86426" w:rsidRDefault="00CB40FB" w:rsidP="00242D99">
            <w:pPr>
              <w:pStyle w:val="Para0"/>
              <w:tabs>
                <w:tab w:val="left" w:pos="1595"/>
              </w:tabs>
              <w:ind w:left="0" w:right="0" w:firstLine="0"/>
              <w:jc w:val="left"/>
              <w:rPr>
                <w:bCs/>
              </w:rPr>
            </w:pPr>
            <w:r w:rsidRPr="00D86426">
              <w:rPr>
                <w:bCs/>
              </w:rPr>
              <w:t>Lane keep assist, lane change assist, speed limits changes</w:t>
            </w:r>
          </w:p>
        </w:tc>
      </w:tr>
      <w:tr w:rsidR="00CB40FB" w:rsidRPr="00D86426" w14:paraId="395D4465" w14:textId="77777777" w:rsidTr="00242D99">
        <w:tc>
          <w:tcPr>
            <w:tcW w:w="3686" w:type="dxa"/>
            <w:shd w:val="clear" w:color="auto" w:fill="auto"/>
          </w:tcPr>
          <w:p w14:paraId="17B78258" w14:textId="77777777" w:rsidR="00CB40FB" w:rsidRPr="00D86426" w:rsidRDefault="00CB40FB" w:rsidP="00242D99">
            <w:pPr>
              <w:pStyle w:val="Para0"/>
              <w:ind w:left="0" w:right="0" w:firstLine="0"/>
              <w:jc w:val="left"/>
              <w:rPr>
                <w:bCs/>
              </w:rPr>
            </w:pPr>
            <w:r w:rsidRPr="00D86426">
              <w:rPr>
                <w:bCs/>
              </w:rPr>
              <w:t>Information to find and maintain the correct driveway and to follow the road instructions</w:t>
            </w:r>
          </w:p>
        </w:tc>
        <w:tc>
          <w:tcPr>
            <w:tcW w:w="3969" w:type="dxa"/>
            <w:shd w:val="clear" w:color="auto" w:fill="auto"/>
          </w:tcPr>
          <w:p w14:paraId="76102575" w14:textId="77777777" w:rsidR="00CB40FB" w:rsidRPr="00D86426" w:rsidRDefault="00CB40FB" w:rsidP="00242D99">
            <w:pPr>
              <w:pStyle w:val="Para0"/>
              <w:tabs>
                <w:tab w:val="left" w:pos="1595"/>
              </w:tabs>
              <w:ind w:left="0" w:right="0" w:firstLine="0"/>
              <w:jc w:val="left"/>
              <w:rPr>
                <w:bCs/>
              </w:rPr>
            </w:pPr>
            <w:r w:rsidRPr="00D86426">
              <w:rPr>
                <w:bCs/>
              </w:rPr>
              <w:t>Navigation Information, symbols and arrows during automatic lane change</w:t>
            </w:r>
          </w:p>
          <w:p w14:paraId="647A023F" w14:textId="77777777" w:rsidR="00CB40FB" w:rsidRPr="00D86426" w:rsidRDefault="00CB40FB" w:rsidP="00242D99">
            <w:pPr>
              <w:pStyle w:val="Para0"/>
              <w:ind w:left="0" w:right="0" w:firstLine="0"/>
              <w:jc w:val="left"/>
              <w:rPr>
                <w:bCs/>
              </w:rPr>
            </w:pPr>
            <w:r>
              <w:rPr>
                <w:bCs/>
              </w:rPr>
              <w:t xml:space="preserve">(Directions, </w:t>
            </w:r>
            <w:proofErr w:type="spellStart"/>
            <w:r w:rsidRPr="00247679">
              <w:rPr>
                <w:b/>
                <w:bCs/>
                <w:strike/>
                <w:color w:val="0070C0"/>
              </w:rPr>
              <w:t>R</w:t>
            </w:r>
            <w:r w:rsidRPr="00247679">
              <w:rPr>
                <w:b/>
                <w:bCs/>
                <w:color w:val="0070C0"/>
              </w:rPr>
              <w:t>r</w:t>
            </w:r>
            <w:r w:rsidRPr="00D86426">
              <w:rPr>
                <w:bCs/>
              </w:rPr>
              <w:t>emaining</w:t>
            </w:r>
            <w:proofErr w:type="spellEnd"/>
            <w:r w:rsidRPr="00D86426">
              <w:rPr>
                <w:bCs/>
              </w:rPr>
              <w:t xml:space="preserve"> distance to target, border crossings)</w:t>
            </w:r>
          </w:p>
          <w:p w14:paraId="37B517C2" w14:textId="77777777" w:rsidR="00CB40FB" w:rsidRPr="000755A7" w:rsidRDefault="00CB40FB" w:rsidP="00242D99">
            <w:pPr>
              <w:pStyle w:val="Para0"/>
              <w:tabs>
                <w:tab w:val="left" w:pos="1595"/>
              </w:tabs>
              <w:ind w:left="0" w:right="0" w:firstLine="0"/>
              <w:jc w:val="left"/>
              <w:rPr>
                <w:b/>
                <w:bCs/>
              </w:rPr>
            </w:pPr>
            <w:r w:rsidRPr="00D86426">
              <w:rPr>
                <w:bCs/>
              </w:rPr>
              <w:t>Highlighting stop lines and pedestrian crosswalks</w:t>
            </w:r>
            <w:r>
              <w:rPr>
                <w:b/>
                <w:bCs/>
              </w:rPr>
              <w:t xml:space="preserve"> </w:t>
            </w:r>
          </w:p>
        </w:tc>
      </w:tr>
      <w:tr w:rsidR="00CB40FB" w:rsidRPr="0026717F" w14:paraId="67D9B046" w14:textId="77777777" w:rsidTr="00242D99">
        <w:tc>
          <w:tcPr>
            <w:tcW w:w="3686" w:type="dxa"/>
            <w:tcBorders>
              <w:top w:val="single" w:sz="4" w:space="0" w:color="auto"/>
              <w:left w:val="single" w:sz="4" w:space="0" w:color="auto"/>
              <w:bottom w:val="single" w:sz="4" w:space="0" w:color="auto"/>
              <w:right w:val="single" w:sz="4" w:space="0" w:color="auto"/>
            </w:tcBorders>
            <w:shd w:val="clear" w:color="auto" w:fill="auto"/>
          </w:tcPr>
          <w:p w14:paraId="4A15A524" w14:textId="77777777" w:rsidR="00CB40FB" w:rsidRPr="00BC6B5F" w:rsidRDefault="00CB40FB" w:rsidP="00242D99">
            <w:pPr>
              <w:pStyle w:val="Para0"/>
              <w:ind w:left="0" w:right="0" w:firstLine="0"/>
              <w:jc w:val="left"/>
              <w:rPr>
                <w:bCs/>
                <w:color w:val="000000" w:themeColor="text1"/>
              </w:rPr>
            </w:pPr>
            <w:r w:rsidRPr="00BC6B5F">
              <w:rPr>
                <w:bCs/>
                <w:color w:val="000000" w:themeColor="text1"/>
              </w:rPr>
              <w:t>Information to support driver’s setting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6D36BC" w14:textId="77777777" w:rsidR="00CB40FB" w:rsidRPr="000755A7" w:rsidRDefault="00CB40FB" w:rsidP="00242D99">
            <w:pPr>
              <w:pStyle w:val="Para0"/>
              <w:tabs>
                <w:tab w:val="left" w:pos="1595"/>
              </w:tabs>
              <w:ind w:left="0" w:right="0" w:firstLine="0"/>
              <w:jc w:val="left"/>
              <w:rPr>
                <w:b/>
                <w:bCs/>
              </w:rPr>
            </w:pPr>
            <w:r w:rsidRPr="00BC6B5F">
              <w:rPr>
                <w:bCs/>
                <w:color w:val="000000" w:themeColor="text1"/>
              </w:rPr>
              <w:t>Highlighting edges of  the position of the FVA area during adjustment</w:t>
            </w:r>
            <w:r>
              <w:rPr>
                <w:b/>
                <w:bCs/>
              </w:rPr>
              <w:t xml:space="preserve"> </w:t>
            </w:r>
          </w:p>
        </w:tc>
      </w:tr>
      <w:tr w:rsidR="00CB40FB" w:rsidRPr="0026717F" w14:paraId="0F4DEC78" w14:textId="77777777" w:rsidTr="00242D99">
        <w:tc>
          <w:tcPr>
            <w:tcW w:w="3686" w:type="dxa"/>
            <w:tcBorders>
              <w:top w:val="single" w:sz="4" w:space="0" w:color="auto"/>
              <w:left w:val="single" w:sz="4" w:space="0" w:color="auto"/>
              <w:bottom w:val="single" w:sz="4" w:space="0" w:color="auto"/>
              <w:right w:val="single" w:sz="4" w:space="0" w:color="auto"/>
            </w:tcBorders>
            <w:shd w:val="clear" w:color="auto" w:fill="auto"/>
          </w:tcPr>
          <w:p w14:paraId="254C4F70" w14:textId="77777777" w:rsidR="00CB40FB" w:rsidRPr="008E6601" w:rsidRDefault="00CB40FB" w:rsidP="00242D99">
            <w:pPr>
              <w:pStyle w:val="Para0"/>
              <w:tabs>
                <w:tab w:val="left" w:pos="1595"/>
              </w:tabs>
              <w:ind w:left="0" w:right="0" w:firstLine="0"/>
              <w:jc w:val="left"/>
              <w:rPr>
                <w:b/>
                <w:bCs/>
                <w:color w:val="0070C0"/>
              </w:rPr>
            </w:pPr>
            <w:r w:rsidRPr="008E6601">
              <w:rPr>
                <w:b/>
                <w:bCs/>
                <w:color w:val="0070C0"/>
              </w:rPr>
              <w:lastRenderedPageBreak/>
              <w:t>Warnings and information to the driver that require drivers immediate action</w:t>
            </w:r>
          </w:p>
          <w:p w14:paraId="7B9045A3" w14:textId="77777777" w:rsidR="00CB40FB" w:rsidRPr="002D0F6E" w:rsidRDefault="00CB40FB" w:rsidP="00242D99">
            <w:pPr>
              <w:pStyle w:val="Para0"/>
              <w:tabs>
                <w:tab w:val="left" w:pos="1595"/>
              </w:tabs>
              <w:ind w:left="0" w:right="0" w:firstLine="0"/>
              <w:jc w:val="left"/>
              <w:rPr>
                <w:b/>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8CC8921" w14:textId="77777777" w:rsidR="00CB40FB" w:rsidRPr="000755A7" w:rsidRDefault="00CB40FB" w:rsidP="00242D99">
            <w:pPr>
              <w:pStyle w:val="Para0"/>
              <w:tabs>
                <w:tab w:val="left" w:pos="1595"/>
              </w:tabs>
              <w:ind w:left="0" w:right="0" w:firstLine="0"/>
              <w:jc w:val="left"/>
              <w:rPr>
                <w:b/>
                <w:bCs/>
                <w:strike/>
              </w:rPr>
            </w:pPr>
            <w:r w:rsidRPr="00CF655E">
              <w:rPr>
                <w:b/>
                <w:bCs/>
                <w:color w:val="0070C0"/>
              </w:rPr>
              <w:t xml:space="preserve">Transition demand/ Hands-off warning </w:t>
            </w:r>
          </w:p>
          <w:p w14:paraId="09B5AE34" w14:textId="77777777" w:rsidR="00CB40FB" w:rsidRPr="00CF655E" w:rsidRDefault="00CB40FB" w:rsidP="00242D99">
            <w:pPr>
              <w:pStyle w:val="Para0"/>
              <w:tabs>
                <w:tab w:val="left" w:pos="1595"/>
              </w:tabs>
              <w:ind w:left="0" w:right="0" w:firstLine="0"/>
              <w:jc w:val="left"/>
              <w:rPr>
                <w:b/>
                <w:bCs/>
                <w:color w:val="0070C0"/>
              </w:rPr>
            </w:pPr>
            <w:r w:rsidRPr="00CF655E">
              <w:rPr>
                <w:b/>
                <w:bCs/>
                <w:color w:val="0070C0"/>
              </w:rPr>
              <w:t>Requests to stop the vehicle immediately due to safety relevant failures of the vehicle or its systems</w:t>
            </w:r>
          </w:p>
          <w:p w14:paraId="19E8B3FF" w14:textId="77777777" w:rsidR="00CB40FB" w:rsidRPr="00F464BB" w:rsidRDefault="00CB40FB" w:rsidP="00242D99">
            <w:pPr>
              <w:pStyle w:val="Para0"/>
              <w:tabs>
                <w:tab w:val="left" w:pos="1595"/>
              </w:tabs>
              <w:ind w:left="0" w:right="0" w:firstLine="0"/>
              <w:jc w:val="left"/>
              <w:rPr>
                <w:b/>
                <w:bCs/>
                <w:color w:val="0070C0"/>
              </w:rPr>
            </w:pPr>
            <w:r w:rsidRPr="00CF655E">
              <w:rPr>
                <w:b/>
                <w:bCs/>
                <w:color w:val="0070C0"/>
              </w:rPr>
              <w:t xml:space="preserve">Requests to switch off systems immediately due to safety relevant failures. </w:t>
            </w:r>
          </w:p>
        </w:tc>
      </w:tr>
    </w:tbl>
    <w:p w14:paraId="3B757F3A" w14:textId="77777777" w:rsidR="00CB40FB" w:rsidRPr="007105B2" w:rsidRDefault="00CB40FB" w:rsidP="00CB40FB">
      <w:pPr>
        <w:pStyle w:val="Para0"/>
        <w:ind w:left="0" w:firstLine="0"/>
        <w:rPr>
          <w:b/>
          <w:bCs/>
          <w:color w:val="000000" w:themeColor="text1"/>
        </w:rPr>
      </w:pPr>
      <w:r w:rsidRPr="007105B2">
        <w:rPr>
          <w:b/>
          <w:bCs/>
          <w:color w:val="000000" w:themeColor="text1"/>
        </w:rPr>
        <w:t>“</w:t>
      </w:r>
    </w:p>
    <w:p w14:paraId="259EA06D" w14:textId="77777777" w:rsidR="00CB40FB" w:rsidRPr="006E5316" w:rsidRDefault="00CB40FB" w:rsidP="00CB40FB">
      <w:pPr>
        <w:pStyle w:val="HChG"/>
      </w:pPr>
      <w:r w:rsidRPr="006E5316">
        <w:tab/>
        <w:t>II.</w:t>
      </w:r>
      <w:r w:rsidRPr="006E5316">
        <w:tab/>
      </w:r>
      <w:r w:rsidRPr="006E5316">
        <w:tab/>
        <w:t>Justification</w:t>
      </w:r>
    </w:p>
    <w:p w14:paraId="517D2C98" w14:textId="77777777" w:rsidR="00CB40FB" w:rsidRPr="00262C5E" w:rsidRDefault="00CB40FB" w:rsidP="00CB40FB">
      <w:pPr>
        <w:pStyle w:val="SingleTxtG"/>
        <w:ind w:left="1701" w:hanging="567"/>
        <w:rPr>
          <w:rFonts w:eastAsia="Malgun Gothic"/>
        </w:rPr>
      </w:pPr>
      <w:r>
        <w:rPr>
          <w:rFonts w:eastAsia="Malgun Gothic"/>
          <w:lang w:eastAsia="ko-KR"/>
        </w:rPr>
        <w:t>1.</w:t>
      </w:r>
      <w:r>
        <w:rPr>
          <w:rFonts w:eastAsia="Malgun Gothic"/>
          <w:lang w:eastAsia="ko-KR"/>
        </w:rPr>
        <w:tab/>
      </w:r>
      <w:r w:rsidRPr="006E5316">
        <w:rPr>
          <w:rFonts w:eastAsia="Malgun Gothic"/>
          <w:lang w:eastAsia="ko-KR"/>
        </w:rPr>
        <w:t>The FVA switch off function is often achieved via the main menu</w:t>
      </w:r>
      <w:bookmarkStart w:id="0" w:name="_Hlk107411454"/>
      <w:r w:rsidRPr="006E5316">
        <w:rPr>
          <w:rFonts w:eastAsia="Malgun Gothic"/>
          <w:lang w:eastAsia="ko-KR"/>
        </w:rPr>
        <w:t xml:space="preserve"> on the centr</w:t>
      </w:r>
      <w:r>
        <w:rPr>
          <w:rFonts w:eastAsia="Malgun Gothic"/>
          <w:lang w:eastAsia="ko-KR"/>
        </w:rPr>
        <w:t>e</w:t>
      </w:r>
      <w:r w:rsidRPr="006E5316">
        <w:rPr>
          <w:rFonts w:eastAsia="Malgun Gothic"/>
          <w:lang w:eastAsia="ko-KR"/>
        </w:rPr>
        <w:t xml:space="preserve"> screen of the vehicle</w:t>
      </w:r>
      <w:r w:rsidRPr="00262C5E">
        <w:rPr>
          <w:rFonts w:eastAsia="Malgun Gothic"/>
        </w:rPr>
        <w:t>. This centre screen at the same time is used by camera/monitor systems according to UN Regulation No. 158.</w:t>
      </w:r>
    </w:p>
    <w:p w14:paraId="4A24A97F" w14:textId="77777777" w:rsidR="00CB40FB" w:rsidRDefault="00CB40FB" w:rsidP="00CB40FB">
      <w:pPr>
        <w:pStyle w:val="SingleTxtG"/>
        <w:ind w:left="1701" w:hanging="567"/>
        <w:rPr>
          <w:rFonts w:eastAsia="Malgun Gothic"/>
          <w:lang w:eastAsia="ko-KR"/>
        </w:rPr>
      </w:pPr>
      <w:r>
        <w:rPr>
          <w:rFonts w:eastAsia="Malgun Gothic"/>
        </w:rPr>
        <w:t>2.</w:t>
      </w:r>
      <w:r>
        <w:rPr>
          <w:rFonts w:eastAsia="Malgun Gothic"/>
        </w:rPr>
        <w:tab/>
      </w:r>
      <w:r w:rsidRPr="00262C5E">
        <w:rPr>
          <w:rFonts w:eastAsia="Malgun Gothic"/>
        </w:rPr>
        <w:t xml:space="preserve">During </w:t>
      </w:r>
      <w:r w:rsidRPr="00262C5E">
        <w:rPr>
          <w:rFonts w:eastAsia="Malgun Gothic"/>
          <w:lang w:eastAsia="ko-KR"/>
        </w:rPr>
        <w:t>a backing event, this monitor function has a higher priority and FVA experts do not see a safety</w:t>
      </w:r>
      <w:r w:rsidRPr="006E5316">
        <w:rPr>
          <w:rFonts w:eastAsia="Malgun Gothic"/>
          <w:lang w:eastAsia="ko-KR"/>
        </w:rPr>
        <w:t xml:space="preserve"> risk if the FVA system cannot be immediately switched off during a backing event</w:t>
      </w:r>
      <w:bookmarkEnd w:id="0"/>
      <w:r w:rsidRPr="006E5316">
        <w:rPr>
          <w:rFonts w:eastAsia="Malgun Gothic"/>
          <w:lang w:eastAsia="ko-KR"/>
        </w:rPr>
        <w:t>.</w:t>
      </w:r>
    </w:p>
    <w:p w14:paraId="7B8744A6" w14:textId="77777777" w:rsidR="00CB40FB" w:rsidRPr="00CB40FB" w:rsidRDefault="00CB40FB" w:rsidP="00CB40FB">
      <w:pPr>
        <w:pStyle w:val="SingleTxtG"/>
        <w:ind w:left="1701" w:hanging="567"/>
        <w:rPr>
          <w:bCs/>
          <w:color w:val="0070C0"/>
          <w:lang w:eastAsia="en-US"/>
        </w:rPr>
      </w:pPr>
      <w:r w:rsidRPr="00CB40FB">
        <w:rPr>
          <w:bCs/>
          <w:color w:val="0070C0"/>
          <w:lang w:eastAsia="en-US"/>
        </w:rPr>
        <w:t xml:space="preserve">3. </w:t>
      </w:r>
      <w:r w:rsidRPr="00CB40FB">
        <w:rPr>
          <w:bCs/>
          <w:color w:val="0070C0"/>
          <w:lang w:eastAsia="en-US"/>
        </w:rPr>
        <w:tab/>
        <w:t>Annex 5 was amended to further clarify the examples given by this Annex and correct some typing mistakes. Some additional examples for permitted information via the FVA are added. It has to be noted, that the examples given in this Annex are not conclusive and not limiting.</w:t>
      </w:r>
    </w:p>
    <w:p w14:paraId="0F619A81" w14:textId="77777777" w:rsidR="00CB40FB" w:rsidRPr="007105B2" w:rsidRDefault="00CB40FB" w:rsidP="00CB40FB">
      <w:pPr>
        <w:pStyle w:val="SingleTxtG"/>
        <w:ind w:left="1701" w:hanging="567"/>
        <w:rPr>
          <w:bCs/>
          <w:color w:val="0070C0"/>
          <w:lang w:eastAsia="en-US"/>
        </w:rPr>
      </w:pPr>
      <w:r w:rsidRPr="007105B2">
        <w:rPr>
          <w:bCs/>
          <w:color w:val="0070C0"/>
          <w:lang w:eastAsia="en-US"/>
        </w:rPr>
        <w:t xml:space="preserve">4. </w:t>
      </w:r>
      <w:r w:rsidRPr="007105B2">
        <w:rPr>
          <w:bCs/>
          <w:color w:val="0070C0"/>
          <w:lang w:eastAsia="en-US"/>
        </w:rPr>
        <w:tab/>
        <w:t>Paragraph 5.1.3.7. was added to clarify that the information displayed via the FVA shall be secondary information only, or primary information which is also available via the instrument cluster(s). This has always been the intention of the TF-FVA and IWG-FVA, but was not clearly indicated as such. Reason why this clarification is needed is the fact that at this stage, the IWG-FVA has not foreseen to introduce provisions for the visibility of the information displayed under all foreseeable weather conditions, during day and night etc. As long as the information displayed is not necessary to perform the driving task or also elsewhere available in the instrument cluster(s), there is no need to define such provisions.</w:t>
      </w:r>
    </w:p>
    <w:p w14:paraId="5AA1E3A8" w14:textId="654BFE9A" w:rsidR="00AA2E18" w:rsidRDefault="00AA2E18">
      <w:pPr>
        <w:suppressAutoHyphens w:val="0"/>
        <w:spacing w:line="240" w:lineRule="auto"/>
      </w:pPr>
    </w:p>
    <w:p w14:paraId="5C3C952A" w14:textId="77777777" w:rsidR="008C6479" w:rsidRPr="004B0CFA" w:rsidRDefault="008C6479" w:rsidP="00AA2E18">
      <w:pPr>
        <w:pStyle w:val="SingleTxtG"/>
        <w:ind w:firstLine="567"/>
        <w:jc w:val="left"/>
        <w:rPr>
          <w:color w:val="0070C0"/>
        </w:rPr>
      </w:pPr>
    </w:p>
    <w:p w14:paraId="45BC41E6" w14:textId="77777777" w:rsidR="00400F4B" w:rsidRPr="00ED50B4" w:rsidRDefault="00400F4B" w:rsidP="00400F4B">
      <w:pPr>
        <w:spacing w:before="240"/>
        <w:jc w:val="center"/>
        <w:rPr>
          <w:u w:val="single"/>
        </w:rPr>
      </w:pPr>
      <w:r w:rsidRPr="00ED50B4">
        <w:rPr>
          <w:u w:val="single"/>
        </w:rPr>
        <w:tab/>
      </w:r>
      <w:r w:rsidRPr="00ED50B4">
        <w:rPr>
          <w:u w:val="single"/>
        </w:rPr>
        <w:tab/>
      </w:r>
      <w:r w:rsidRPr="00ED50B4">
        <w:rPr>
          <w:u w:val="single"/>
        </w:rPr>
        <w:tab/>
      </w:r>
    </w:p>
    <w:sectPr w:rsidR="00400F4B" w:rsidRPr="00ED50B4" w:rsidSect="0039621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4C45" w14:textId="77777777" w:rsidR="0047134C" w:rsidRDefault="0047134C"/>
  </w:endnote>
  <w:endnote w:type="continuationSeparator" w:id="0">
    <w:p w14:paraId="2DA2E6B8" w14:textId="77777777" w:rsidR="0047134C" w:rsidRDefault="0047134C"/>
  </w:endnote>
  <w:endnote w:type="continuationNotice" w:id="1">
    <w:p w14:paraId="2A84A968" w14:textId="77777777" w:rsidR="0047134C" w:rsidRDefault="00471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0D44" w14:textId="4C1087D9" w:rsidR="0039621D" w:rsidRPr="0039621D" w:rsidRDefault="0039621D" w:rsidP="0039621D">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CB40FB">
      <w:rPr>
        <w:b/>
        <w:noProof/>
        <w:sz w:val="18"/>
      </w:rPr>
      <w:t>2</w:t>
    </w:r>
    <w:r w:rsidRPr="0039621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D95C" w14:textId="5CF594C0" w:rsidR="0039621D" w:rsidRPr="0039621D" w:rsidRDefault="0039621D" w:rsidP="0039621D">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CB40FB">
      <w:rPr>
        <w:b/>
        <w:noProof/>
        <w:sz w:val="18"/>
      </w:rPr>
      <w:t>3</w:t>
    </w:r>
    <w:r w:rsidRPr="003962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87C" w14:textId="77777777" w:rsidR="00554DA3" w:rsidRDefault="00554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7EB5" w14:textId="77777777" w:rsidR="0047134C" w:rsidRPr="000B175B" w:rsidRDefault="0047134C" w:rsidP="000B175B">
      <w:pPr>
        <w:tabs>
          <w:tab w:val="right" w:pos="2155"/>
        </w:tabs>
        <w:spacing w:after="80"/>
        <w:ind w:left="680"/>
        <w:rPr>
          <w:u w:val="single"/>
        </w:rPr>
      </w:pPr>
      <w:r>
        <w:rPr>
          <w:u w:val="single"/>
        </w:rPr>
        <w:tab/>
      </w:r>
    </w:p>
  </w:footnote>
  <w:footnote w:type="continuationSeparator" w:id="0">
    <w:p w14:paraId="29AFC915" w14:textId="77777777" w:rsidR="0047134C" w:rsidRPr="00FC68B7" w:rsidRDefault="0047134C" w:rsidP="00FC68B7">
      <w:pPr>
        <w:tabs>
          <w:tab w:val="left" w:pos="2155"/>
        </w:tabs>
        <w:spacing w:after="80"/>
        <w:ind w:left="680"/>
        <w:rPr>
          <w:u w:val="single"/>
        </w:rPr>
      </w:pPr>
      <w:r>
        <w:rPr>
          <w:u w:val="single"/>
        </w:rPr>
        <w:tab/>
      </w:r>
    </w:p>
  </w:footnote>
  <w:footnote w:type="continuationNotice" w:id="1">
    <w:p w14:paraId="48E1C4E3" w14:textId="77777777" w:rsidR="0047134C" w:rsidRDefault="0047134C"/>
  </w:footnote>
  <w:footnote w:id="2">
    <w:p w14:paraId="1AC3AEB4" w14:textId="77777777" w:rsidR="00CB40FB" w:rsidRPr="00262C5E" w:rsidRDefault="00CB40FB" w:rsidP="00CB40FB">
      <w:pPr>
        <w:pStyle w:val="FootnoteText"/>
        <w:tabs>
          <w:tab w:val="clear" w:pos="1021"/>
        </w:tabs>
        <w:ind w:left="1135" w:hanging="284"/>
        <w:rPr>
          <w:rStyle w:val="FootnoteReference"/>
          <w:szCs w:val="18"/>
          <w:vertAlign w:val="baseline"/>
        </w:rPr>
      </w:pPr>
      <w:r w:rsidRPr="00452BC5">
        <w:rPr>
          <w:rStyle w:val="FootnoteReference"/>
          <w:color w:val="000000" w:themeColor="text1"/>
        </w:rPr>
        <w:t>*</w:t>
      </w:r>
      <w:r w:rsidRPr="00452BC5">
        <w:rPr>
          <w:color w:val="000000" w:themeColor="text1"/>
        </w:rPr>
        <w:tab/>
      </w:r>
      <w:r w:rsidRPr="004E14CB">
        <w:rPr>
          <w:rStyle w:val="FootnoteReference"/>
          <w:rFonts w:hint="eastAsia"/>
          <w:szCs w:val="18"/>
          <w:vertAlign w:val="baseline"/>
        </w:rPr>
        <w:t xml:space="preserve">In accordance with the programme of work of the Inland Transport Committee for 2022 as outlined in </w:t>
      </w:r>
      <w:r w:rsidRPr="004E14CB">
        <w:rPr>
          <w:rStyle w:val="FootnoteReference"/>
          <w:szCs w:val="18"/>
          <w:vertAlign w:val="baseline"/>
        </w:rPr>
        <w:t xml:space="preserve">the </w:t>
      </w:r>
      <w:r w:rsidRPr="004E14CB">
        <w:rPr>
          <w:rStyle w:val="FootnoteReference"/>
          <w:rFonts w:hint="eastAsia"/>
          <w:szCs w:val="18"/>
          <w:vertAlign w:val="baseline"/>
        </w:rPr>
        <w:t>proposed programme budget for 2022 (A/76/6</w:t>
      </w:r>
      <w:r w:rsidRPr="004E14CB">
        <w:rPr>
          <w:rStyle w:val="FootnoteReference"/>
          <w:szCs w:val="18"/>
          <w:vertAlign w:val="baseline"/>
        </w:rPr>
        <w:t>,</w:t>
      </w:r>
      <w:r w:rsidRPr="004E14CB">
        <w:rPr>
          <w:rStyle w:val="FootnoteReference"/>
          <w:rFonts w:hint="eastAsia"/>
          <w:szCs w:val="18"/>
          <w:vertAlign w:val="baseline"/>
        </w:rPr>
        <w:t xml:space="preserve"> part V, sect. 20</w:t>
      </w:r>
      <w:r w:rsidRPr="004E14CB">
        <w:rPr>
          <w:rStyle w:val="FootnoteReference"/>
          <w:szCs w:val="18"/>
          <w:vertAlign w:val="baseline"/>
        </w:rPr>
        <w:t>,</w:t>
      </w:r>
      <w:r w:rsidRPr="004E14CB">
        <w:rPr>
          <w:rStyle w:val="FootnoteReference"/>
          <w:rFonts w:hint="eastAsia"/>
          <w:szCs w:val="18"/>
          <w:vertAlign w:val="baseline"/>
        </w:rPr>
        <w:t xml:space="preserve">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225C" w14:textId="330384AB" w:rsidR="0039621D" w:rsidRPr="00AA49E6" w:rsidRDefault="008B4DA2" w:rsidP="00AA49E6">
    <w:pPr>
      <w:pStyle w:val="Header"/>
    </w:pPr>
    <w:fldSimple w:instr=" TITLE  \* MERGEFORMAT ">
      <w:r w:rsidR="00CB40FB">
        <w:t>GRSG-124-xx</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81B4" w14:textId="510D5FE4" w:rsidR="0039621D" w:rsidRPr="00AA49E6" w:rsidRDefault="008B4DA2" w:rsidP="00AA49E6">
    <w:pPr>
      <w:pStyle w:val="Header"/>
      <w:jc w:val="right"/>
    </w:pPr>
    <w:fldSimple w:instr=" TITLE  \* MERGEFORMAT ">
      <w:r w:rsidR="00CB40FB">
        <w:t>GRSG-124-xx</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000" w:firstRow="0" w:lastRow="0" w:firstColumn="0" w:lastColumn="0" w:noHBand="0" w:noVBand="0"/>
    </w:tblPr>
    <w:tblGrid>
      <w:gridCol w:w="4962"/>
      <w:gridCol w:w="4961"/>
    </w:tblGrid>
    <w:tr w:rsidR="00FD5357" w:rsidRPr="00E27568" w14:paraId="4184A21A" w14:textId="77777777" w:rsidTr="008053E1">
      <w:tc>
        <w:tcPr>
          <w:tcW w:w="4962" w:type="dxa"/>
        </w:tcPr>
        <w:p w14:paraId="6702877C" w14:textId="356AFA84" w:rsidR="00FD5357" w:rsidRPr="00FD5357" w:rsidRDefault="00FD5357" w:rsidP="008053E1">
          <w:pPr>
            <w:pStyle w:val="Header"/>
            <w:pBdr>
              <w:bottom w:val="none" w:sz="0" w:space="0" w:color="auto"/>
            </w:pBdr>
            <w:rPr>
              <w:b w:val="0"/>
              <w:sz w:val="20"/>
            </w:rPr>
          </w:pPr>
          <w:r w:rsidRPr="00FD5357">
            <w:rPr>
              <w:b w:val="0"/>
              <w:sz w:val="20"/>
            </w:rPr>
            <w:t xml:space="preserve">Submitted by the </w:t>
          </w:r>
          <w:r w:rsidR="00CB40FB">
            <w:rPr>
              <w:b w:val="0"/>
              <w:sz w:val="20"/>
            </w:rPr>
            <w:t>IWG-FVA</w:t>
          </w:r>
          <w:r w:rsidRPr="00FD5357">
            <w:rPr>
              <w:b w:val="0"/>
              <w:sz w:val="20"/>
            </w:rPr>
            <w:t xml:space="preserve"> </w:t>
          </w:r>
        </w:p>
        <w:p w14:paraId="67149528" w14:textId="77777777" w:rsidR="00FD5357" w:rsidRPr="00FD5357" w:rsidRDefault="00FD5357" w:rsidP="008053E1">
          <w:pPr>
            <w:pStyle w:val="Header"/>
            <w:pBdr>
              <w:bottom w:val="none" w:sz="0" w:space="0" w:color="auto"/>
            </w:pBdr>
            <w:rPr>
              <w:b w:val="0"/>
              <w:sz w:val="20"/>
            </w:rPr>
          </w:pPr>
        </w:p>
        <w:p w14:paraId="1BAB1C11" w14:textId="77777777" w:rsidR="00FD5357" w:rsidRPr="00FD5357" w:rsidRDefault="00FD5357" w:rsidP="008053E1">
          <w:pPr>
            <w:pStyle w:val="Header"/>
            <w:pBdr>
              <w:bottom w:val="none" w:sz="0" w:space="0" w:color="auto"/>
            </w:pBdr>
            <w:rPr>
              <w:b w:val="0"/>
              <w:sz w:val="16"/>
              <w:szCs w:val="16"/>
            </w:rPr>
          </w:pPr>
        </w:p>
      </w:tc>
      <w:tc>
        <w:tcPr>
          <w:tcW w:w="4961" w:type="dxa"/>
        </w:tcPr>
        <w:p w14:paraId="3090DF62" w14:textId="697460B1" w:rsidR="00FD5357" w:rsidRPr="0086358D" w:rsidRDefault="00FD5357" w:rsidP="00554DA3">
          <w:pPr>
            <w:pStyle w:val="Header"/>
            <w:pBdr>
              <w:bottom w:val="none" w:sz="0" w:space="0" w:color="auto"/>
            </w:pBdr>
            <w:ind w:left="404" w:right="716"/>
            <w:jc w:val="right"/>
            <w:rPr>
              <w:u w:val="single"/>
            </w:rPr>
          </w:pPr>
          <w:r w:rsidRPr="0086358D">
            <w:rPr>
              <w:bCs/>
              <w:sz w:val="20"/>
              <w:u w:val="single"/>
            </w:rPr>
            <w:t>Informal document</w:t>
          </w:r>
          <w:r w:rsidRPr="00FC6C10">
            <w:rPr>
              <w:sz w:val="20"/>
            </w:rPr>
            <w:t xml:space="preserve"> </w:t>
          </w:r>
          <w:fldSimple w:instr=" TITLE  \* MERGEFORMAT ">
            <w:r w:rsidR="00CB40FB">
              <w:t>GRSG-124-</w:t>
            </w:r>
            <w:r w:rsidR="00DC5542">
              <w:t>09</w:t>
            </w:r>
          </w:fldSimple>
          <w:r w:rsidR="00B93B7D">
            <w:t>-Rev.1</w:t>
          </w:r>
        </w:p>
        <w:p w14:paraId="2367FED8" w14:textId="62861CE7" w:rsidR="00FD5357" w:rsidRPr="00985586" w:rsidRDefault="00FD5357" w:rsidP="0086358D">
          <w:pPr>
            <w:pStyle w:val="Header"/>
            <w:pBdr>
              <w:bottom w:val="none" w:sz="0" w:space="0" w:color="auto"/>
            </w:pBdr>
            <w:ind w:left="742" w:right="716"/>
            <w:jc w:val="right"/>
            <w:rPr>
              <w:b w:val="0"/>
              <w:sz w:val="20"/>
              <w:lang w:eastAsia="ja-JP"/>
            </w:rPr>
          </w:pPr>
          <w:r w:rsidRPr="00985586">
            <w:rPr>
              <w:b w:val="0"/>
              <w:sz w:val="20"/>
            </w:rPr>
            <w:t>(</w:t>
          </w:r>
          <w:r w:rsidR="00AA2E18" w:rsidRPr="00985586">
            <w:rPr>
              <w:b w:val="0"/>
              <w:sz w:val="20"/>
            </w:rPr>
            <w:t>12</w:t>
          </w:r>
          <w:r w:rsidR="00CB40FB">
            <w:rPr>
              <w:b w:val="0"/>
              <w:sz w:val="20"/>
            </w:rPr>
            <w:t>4</w:t>
          </w:r>
          <w:r w:rsidR="00CB40FB" w:rsidRPr="00CB40FB">
            <w:rPr>
              <w:b w:val="0"/>
              <w:sz w:val="20"/>
              <w:vertAlign w:val="superscript"/>
            </w:rPr>
            <w:t>th</w:t>
          </w:r>
          <w:r w:rsidR="00CB40FB">
            <w:rPr>
              <w:b w:val="0"/>
              <w:sz w:val="20"/>
            </w:rPr>
            <w:t xml:space="preserve"> </w:t>
          </w:r>
          <w:r w:rsidRPr="00985586">
            <w:rPr>
              <w:b w:val="0"/>
              <w:sz w:val="20"/>
            </w:rPr>
            <w:t>GRS</w:t>
          </w:r>
          <w:r w:rsidR="00AA2E18" w:rsidRPr="00985586">
            <w:rPr>
              <w:b w:val="0"/>
              <w:sz w:val="20"/>
            </w:rPr>
            <w:t>G</w:t>
          </w:r>
          <w:r w:rsidRPr="00985586">
            <w:rPr>
              <w:b w:val="0"/>
              <w:sz w:val="20"/>
            </w:rPr>
            <w:t xml:space="preserve">, </w:t>
          </w:r>
          <w:r w:rsidR="00AA2E18" w:rsidRPr="00985586">
            <w:rPr>
              <w:b w:val="0"/>
              <w:sz w:val="20"/>
              <w:lang w:eastAsia="ja-JP"/>
            </w:rPr>
            <w:t>1</w:t>
          </w:r>
          <w:r w:rsidR="00CB40FB">
            <w:rPr>
              <w:b w:val="0"/>
              <w:sz w:val="20"/>
              <w:lang w:eastAsia="ja-JP"/>
            </w:rPr>
            <w:t>1</w:t>
          </w:r>
          <w:r w:rsidR="00AA2E18" w:rsidRPr="00985586">
            <w:rPr>
              <w:b w:val="0"/>
              <w:sz w:val="20"/>
              <w:lang w:eastAsia="ja-JP"/>
            </w:rPr>
            <w:t xml:space="preserve"> – 1</w:t>
          </w:r>
          <w:r w:rsidR="00CB40FB">
            <w:rPr>
              <w:b w:val="0"/>
              <w:sz w:val="20"/>
              <w:lang w:eastAsia="ja-JP"/>
            </w:rPr>
            <w:t>4</w:t>
          </w:r>
          <w:r w:rsidR="009173AD">
            <w:rPr>
              <w:b w:val="0"/>
              <w:sz w:val="20"/>
              <w:lang w:eastAsia="ja-JP"/>
            </w:rPr>
            <w:t xml:space="preserve"> October</w:t>
          </w:r>
          <w:r w:rsidRPr="00985586">
            <w:rPr>
              <w:b w:val="0"/>
              <w:sz w:val="20"/>
            </w:rPr>
            <w:t xml:space="preserve"> 202</w:t>
          </w:r>
          <w:r w:rsidR="00CB40FB">
            <w:rPr>
              <w:b w:val="0"/>
              <w:sz w:val="20"/>
            </w:rPr>
            <w:t>2</w:t>
          </w:r>
        </w:p>
        <w:p w14:paraId="67A86056" w14:textId="324A3CF0" w:rsidR="00FD5357" w:rsidRPr="00E27568" w:rsidRDefault="00FD5357" w:rsidP="00CB40FB">
          <w:pPr>
            <w:pStyle w:val="Header"/>
            <w:pBdr>
              <w:bottom w:val="none" w:sz="0" w:space="0" w:color="auto"/>
            </w:pBdr>
            <w:ind w:left="742" w:right="716"/>
            <w:jc w:val="right"/>
            <w:rPr>
              <w:sz w:val="20"/>
            </w:rPr>
          </w:pPr>
          <w:r w:rsidRPr="00985586">
            <w:rPr>
              <w:b w:val="0"/>
              <w:sz w:val="20"/>
            </w:rPr>
            <w:t xml:space="preserve">agenda item </w:t>
          </w:r>
          <w:r w:rsidR="00CB40FB">
            <w:rPr>
              <w:b w:val="0"/>
              <w:sz w:val="20"/>
              <w:lang w:eastAsia="ja-JP"/>
            </w:rPr>
            <w:t>10</w:t>
          </w:r>
          <w:r w:rsidRPr="00985586">
            <w:rPr>
              <w:b w:val="0"/>
              <w:sz w:val="20"/>
            </w:rPr>
            <w:t>)</w:t>
          </w:r>
        </w:p>
      </w:tc>
    </w:tr>
  </w:tbl>
  <w:p w14:paraId="0EE4CD69" w14:textId="144A4EDB" w:rsidR="008C0C40" w:rsidRDefault="008C0C40" w:rsidP="008C0C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2353362"/>
    <w:multiLevelType w:val="hybridMultilevel"/>
    <w:tmpl w:val="EEA859AA"/>
    <w:lvl w:ilvl="0" w:tplc="0E6832D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1"/>
  </w:num>
  <w:num w:numId="19">
    <w:abstractNumId w:val="11"/>
  </w:num>
  <w:num w:numId="20">
    <w:abstractNumId w:val="18"/>
  </w:num>
  <w:num w:numId="21">
    <w:abstractNumId w:val="17"/>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1D"/>
    <w:rsid w:val="0000122C"/>
    <w:rsid w:val="00002A7D"/>
    <w:rsid w:val="000038A8"/>
    <w:rsid w:val="00005DF3"/>
    <w:rsid w:val="00006790"/>
    <w:rsid w:val="000209FB"/>
    <w:rsid w:val="00027624"/>
    <w:rsid w:val="00041AEC"/>
    <w:rsid w:val="000426E7"/>
    <w:rsid w:val="00050B0A"/>
    <w:rsid w:val="00050F6B"/>
    <w:rsid w:val="00065916"/>
    <w:rsid w:val="000678CD"/>
    <w:rsid w:val="00072C8C"/>
    <w:rsid w:val="00081CE0"/>
    <w:rsid w:val="00084D30"/>
    <w:rsid w:val="00090320"/>
    <w:rsid w:val="000931C0"/>
    <w:rsid w:val="00095BBA"/>
    <w:rsid w:val="000964E3"/>
    <w:rsid w:val="00097003"/>
    <w:rsid w:val="000A2E09"/>
    <w:rsid w:val="000B175B"/>
    <w:rsid w:val="000B3A0F"/>
    <w:rsid w:val="000D3A4E"/>
    <w:rsid w:val="000E0415"/>
    <w:rsid w:val="000F7715"/>
    <w:rsid w:val="00145183"/>
    <w:rsid w:val="00156B99"/>
    <w:rsid w:val="0016358F"/>
    <w:rsid w:val="00166124"/>
    <w:rsid w:val="00184DDA"/>
    <w:rsid w:val="001900CD"/>
    <w:rsid w:val="001A0452"/>
    <w:rsid w:val="001B4B04"/>
    <w:rsid w:val="001B5875"/>
    <w:rsid w:val="001C4B9C"/>
    <w:rsid w:val="001C6663"/>
    <w:rsid w:val="001C7895"/>
    <w:rsid w:val="001D26DF"/>
    <w:rsid w:val="001F1599"/>
    <w:rsid w:val="001F19C4"/>
    <w:rsid w:val="002043F0"/>
    <w:rsid w:val="002070F0"/>
    <w:rsid w:val="00211E0B"/>
    <w:rsid w:val="00215B45"/>
    <w:rsid w:val="00232575"/>
    <w:rsid w:val="002422F2"/>
    <w:rsid w:val="00242D99"/>
    <w:rsid w:val="00247258"/>
    <w:rsid w:val="00256E86"/>
    <w:rsid w:val="00257CAC"/>
    <w:rsid w:val="0026581E"/>
    <w:rsid w:val="0027237A"/>
    <w:rsid w:val="00275642"/>
    <w:rsid w:val="00275B39"/>
    <w:rsid w:val="00276898"/>
    <w:rsid w:val="0028259C"/>
    <w:rsid w:val="002974E9"/>
    <w:rsid w:val="002A306B"/>
    <w:rsid w:val="002A6510"/>
    <w:rsid w:val="002A7F94"/>
    <w:rsid w:val="002B0039"/>
    <w:rsid w:val="002B109A"/>
    <w:rsid w:val="002C6D45"/>
    <w:rsid w:val="002D4F0C"/>
    <w:rsid w:val="002D6E53"/>
    <w:rsid w:val="002E56BB"/>
    <w:rsid w:val="002F046D"/>
    <w:rsid w:val="002F3023"/>
    <w:rsid w:val="00301764"/>
    <w:rsid w:val="003028EC"/>
    <w:rsid w:val="003229D8"/>
    <w:rsid w:val="00336C97"/>
    <w:rsid w:val="00337F88"/>
    <w:rsid w:val="00342432"/>
    <w:rsid w:val="0035223F"/>
    <w:rsid w:val="00352D4B"/>
    <w:rsid w:val="0035638C"/>
    <w:rsid w:val="00356564"/>
    <w:rsid w:val="0039621D"/>
    <w:rsid w:val="003A4205"/>
    <w:rsid w:val="003A46BB"/>
    <w:rsid w:val="003A4EC7"/>
    <w:rsid w:val="003A7295"/>
    <w:rsid w:val="003B1F60"/>
    <w:rsid w:val="003C2CC4"/>
    <w:rsid w:val="003C3529"/>
    <w:rsid w:val="003D3C1A"/>
    <w:rsid w:val="003D4B23"/>
    <w:rsid w:val="003E278A"/>
    <w:rsid w:val="003E603C"/>
    <w:rsid w:val="00400F4B"/>
    <w:rsid w:val="00413520"/>
    <w:rsid w:val="004325CB"/>
    <w:rsid w:val="00440A07"/>
    <w:rsid w:val="00462880"/>
    <w:rsid w:val="004667F1"/>
    <w:rsid w:val="0047134C"/>
    <w:rsid w:val="00476F24"/>
    <w:rsid w:val="004A0575"/>
    <w:rsid w:val="004A5D33"/>
    <w:rsid w:val="004B0CFA"/>
    <w:rsid w:val="004C55B0"/>
    <w:rsid w:val="004C75DC"/>
    <w:rsid w:val="004E1D67"/>
    <w:rsid w:val="004F6BA0"/>
    <w:rsid w:val="00503BEA"/>
    <w:rsid w:val="005068E2"/>
    <w:rsid w:val="00533616"/>
    <w:rsid w:val="00535ABA"/>
    <w:rsid w:val="0053768B"/>
    <w:rsid w:val="005420F2"/>
    <w:rsid w:val="0054285C"/>
    <w:rsid w:val="00554DA3"/>
    <w:rsid w:val="00566E14"/>
    <w:rsid w:val="005702D5"/>
    <w:rsid w:val="00584173"/>
    <w:rsid w:val="00593DDD"/>
    <w:rsid w:val="00595520"/>
    <w:rsid w:val="005A44B9"/>
    <w:rsid w:val="005B1BA0"/>
    <w:rsid w:val="005B3DB3"/>
    <w:rsid w:val="005B57B2"/>
    <w:rsid w:val="005C0268"/>
    <w:rsid w:val="005D15CA"/>
    <w:rsid w:val="005F08DF"/>
    <w:rsid w:val="005F3066"/>
    <w:rsid w:val="005F3E61"/>
    <w:rsid w:val="00604DDD"/>
    <w:rsid w:val="006115CC"/>
    <w:rsid w:val="00611FC4"/>
    <w:rsid w:val="006176FB"/>
    <w:rsid w:val="00626F97"/>
    <w:rsid w:val="00630FCB"/>
    <w:rsid w:val="00633124"/>
    <w:rsid w:val="00640B26"/>
    <w:rsid w:val="0065766B"/>
    <w:rsid w:val="006770B2"/>
    <w:rsid w:val="00686A48"/>
    <w:rsid w:val="0068763C"/>
    <w:rsid w:val="0069081F"/>
    <w:rsid w:val="0069264A"/>
    <w:rsid w:val="006940E1"/>
    <w:rsid w:val="00694708"/>
    <w:rsid w:val="006A3C72"/>
    <w:rsid w:val="006A7392"/>
    <w:rsid w:val="006B03A1"/>
    <w:rsid w:val="006B67D9"/>
    <w:rsid w:val="006C5535"/>
    <w:rsid w:val="006C6F86"/>
    <w:rsid w:val="006D0589"/>
    <w:rsid w:val="006E564B"/>
    <w:rsid w:val="006E7154"/>
    <w:rsid w:val="007003CD"/>
    <w:rsid w:val="0070701E"/>
    <w:rsid w:val="0072632A"/>
    <w:rsid w:val="007358E8"/>
    <w:rsid w:val="00736ECE"/>
    <w:rsid w:val="0074533B"/>
    <w:rsid w:val="00751B23"/>
    <w:rsid w:val="007643BC"/>
    <w:rsid w:val="00773BF8"/>
    <w:rsid w:val="00780C68"/>
    <w:rsid w:val="007959FE"/>
    <w:rsid w:val="007A084E"/>
    <w:rsid w:val="007A0CF1"/>
    <w:rsid w:val="007B6BA5"/>
    <w:rsid w:val="007C3390"/>
    <w:rsid w:val="007C42D8"/>
    <w:rsid w:val="007C4F4B"/>
    <w:rsid w:val="007D6F65"/>
    <w:rsid w:val="007D7362"/>
    <w:rsid w:val="007E312C"/>
    <w:rsid w:val="007F3D01"/>
    <w:rsid w:val="007F5CE2"/>
    <w:rsid w:val="007F6611"/>
    <w:rsid w:val="008053E1"/>
    <w:rsid w:val="00810BAC"/>
    <w:rsid w:val="008175E9"/>
    <w:rsid w:val="008242D7"/>
    <w:rsid w:val="008253C4"/>
    <w:rsid w:val="0082577B"/>
    <w:rsid w:val="00825CB5"/>
    <w:rsid w:val="0082768F"/>
    <w:rsid w:val="0086358D"/>
    <w:rsid w:val="00866893"/>
    <w:rsid w:val="00866F02"/>
    <w:rsid w:val="00867D18"/>
    <w:rsid w:val="00871F9A"/>
    <w:rsid w:val="00871FD5"/>
    <w:rsid w:val="0088172E"/>
    <w:rsid w:val="00881EFA"/>
    <w:rsid w:val="008879CB"/>
    <w:rsid w:val="008979B1"/>
    <w:rsid w:val="008A6B25"/>
    <w:rsid w:val="008A6C4F"/>
    <w:rsid w:val="008B389E"/>
    <w:rsid w:val="008B4DA2"/>
    <w:rsid w:val="008C0C40"/>
    <w:rsid w:val="008C6479"/>
    <w:rsid w:val="008D045E"/>
    <w:rsid w:val="008D27FC"/>
    <w:rsid w:val="008D3F25"/>
    <w:rsid w:val="008D4D82"/>
    <w:rsid w:val="008D53A9"/>
    <w:rsid w:val="008E0E46"/>
    <w:rsid w:val="008E7116"/>
    <w:rsid w:val="008F143B"/>
    <w:rsid w:val="008F25B8"/>
    <w:rsid w:val="008F3882"/>
    <w:rsid w:val="008F4B7C"/>
    <w:rsid w:val="009173AD"/>
    <w:rsid w:val="00926E47"/>
    <w:rsid w:val="009369A9"/>
    <w:rsid w:val="0094343D"/>
    <w:rsid w:val="00947162"/>
    <w:rsid w:val="009610D0"/>
    <w:rsid w:val="0096375C"/>
    <w:rsid w:val="009662E6"/>
    <w:rsid w:val="0097095E"/>
    <w:rsid w:val="00975C3F"/>
    <w:rsid w:val="00985586"/>
    <w:rsid w:val="0098592B"/>
    <w:rsid w:val="00985FC4"/>
    <w:rsid w:val="00990766"/>
    <w:rsid w:val="00991261"/>
    <w:rsid w:val="00993694"/>
    <w:rsid w:val="009964C4"/>
    <w:rsid w:val="009A23EE"/>
    <w:rsid w:val="009A7B81"/>
    <w:rsid w:val="009B7EB7"/>
    <w:rsid w:val="009D01C0"/>
    <w:rsid w:val="009D6A08"/>
    <w:rsid w:val="009E0A16"/>
    <w:rsid w:val="009E6CB7"/>
    <w:rsid w:val="009E7970"/>
    <w:rsid w:val="009F004A"/>
    <w:rsid w:val="009F2EAC"/>
    <w:rsid w:val="009F57E3"/>
    <w:rsid w:val="00A03B6B"/>
    <w:rsid w:val="00A10F4F"/>
    <w:rsid w:val="00A11067"/>
    <w:rsid w:val="00A117E2"/>
    <w:rsid w:val="00A13048"/>
    <w:rsid w:val="00A1704A"/>
    <w:rsid w:val="00A36AC2"/>
    <w:rsid w:val="00A425EB"/>
    <w:rsid w:val="00A72F22"/>
    <w:rsid w:val="00A733BC"/>
    <w:rsid w:val="00A748A6"/>
    <w:rsid w:val="00A76A69"/>
    <w:rsid w:val="00A879A4"/>
    <w:rsid w:val="00AA0FF8"/>
    <w:rsid w:val="00AA2E18"/>
    <w:rsid w:val="00AA49E6"/>
    <w:rsid w:val="00AA798F"/>
    <w:rsid w:val="00AC0F2C"/>
    <w:rsid w:val="00AC38EF"/>
    <w:rsid w:val="00AC502A"/>
    <w:rsid w:val="00AE0666"/>
    <w:rsid w:val="00AE1E26"/>
    <w:rsid w:val="00AF19C2"/>
    <w:rsid w:val="00AF587D"/>
    <w:rsid w:val="00AF58C1"/>
    <w:rsid w:val="00B04A3F"/>
    <w:rsid w:val="00B06643"/>
    <w:rsid w:val="00B15055"/>
    <w:rsid w:val="00B20551"/>
    <w:rsid w:val="00B30179"/>
    <w:rsid w:val="00B31E0B"/>
    <w:rsid w:val="00B33FC7"/>
    <w:rsid w:val="00B37B15"/>
    <w:rsid w:val="00B4162A"/>
    <w:rsid w:val="00B45C02"/>
    <w:rsid w:val="00B471CD"/>
    <w:rsid w:val="00B6590B"/>
    <w:rsid w:val="00B70B63"/>
    <w:rsid w:val="00B72A1E"/>
    <w:rsid w:val="00B81E12"/>
    <w:rsid w:val="00B917F0"/>
    <w:rsid w:val="00B93B7D"/>
    <w:rsid w:val="00BA339B"/>
    <w:rsid w:val="00BA5D6B"/>
    <w:rsid w:val="00BB23CC"/>
    <w:rsid w:val="00BC1E7E"/>
    <w:rsid w:val="00BC74E9"/>
    <w:rsid w:val="00BD4451"/>
    <w:rsid w:val="00BE36A9"/>
    <w:rsid w:val="00BE618E"/>
    <w:rsid w:val="00BE7BEC"/>
    <w:rsid w:val="00BF0A5A"/>
    <w:rsid w:val="00BF0E63"/>
    <w:rsid w:val="00BF12A3"/>
    <w:rsid w:val="00BF16D7"/>
    <w:rsid w:val="00BF2373"/>
    <w:rsid w:val="00BF279B"/>
    <w:rsid w:val="00C044E2"/>
    <w:rsid w:val="00C048CB"/>
    <w:rsid w:val="00C066F3"/>
    <w:rsid w:val="00C17ED2"/>
    <w:rsid w:val="00C261FE"/>
    <w:rsid w:val="00C37129"/>
    <w:rsid w:val="00C463DD"/>
    <w:rsid w:val="00C57671"/>
    <w:rsid w:val="00C745C3"/>
    <w:rsid w:val="00C978F5"/>
    <w:rsid w:val="00CA24A4"/>
    <w:rsid w:val="00CB280F"/>
    <w:rsid w:val="00CB330B"/>
    <w:rsid w:val="00CB348D"/>
    <w:rsid w:val="00CB40FB"/>
    <w:rsid w:val="00CC1D22"/>
    <w:rsid w:val="00CD46F5"/>
    <w:rsid w:val="00CD6F60"/>
    <w:rsid w:val="00CE4A8F"/>
    <w:rsid w:val="00CF071D"/>
    <w:rsid w:val="00D003C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460A"/>
    <w:rsid w:val="00DC18AD"/>
    <w:rsid w:val="00DC5542"/>
    <w:rsid w:val="00DF7CAE"/>
    <w:rsid w:val="00E15610"/>
    <w:rsid w:val="00E423C0"/>
    <w:rsid w:val="00E54E90"/>
    <w:rsid w:val="00E6414C"/>
    <w:rsid w:val="00E64D13"/>
    <w:rsid w:val="00E71624"/>
    <w:rsid w:val="00E7260F"/>
    <w:rsid w:val="00E8702D"/>
    <w:rsid w:val="00E905F4"/>
    <w:rsid w:val="00E916A9"/>
    <w:rsid w:val="00E916DE"/>
    <w:rsid w:val="00E925AD"/>
    <w:rsid w:val="00E96630"/>
    <w:rsid w:val="00EC62F7"/>
    <w:rsid w:val="00ED18DC"/>
    <w:rsid w:val="00ED50B4"/>
    <w:rsid w:val="00ED6201"/>
    <w:rsid w:val="00ED7A2A"/>
    <w:rsid w:val="00EE3E3A"/>
    <w:rsid w:val="00EF1D7F"/>
    <w:rsid w:val="00F0137E"/>
    <w:rsid w:val="00F04E44"/>
    <w:rsid w:val="00F21786"/>
    <w:rsid w:val="00F25D06"/>
    <w:rsid w:val="00F314A5"/>
    <w:rsid w:val="00F31CFF"/>
    <w:rsid w:val="00F3742B"/>
    <w:rsid w:val="00F41FDB"/>
    <w:rsid w:val="00F50597"/>
    <w:rsid w:val="00F56D63"/>
    <w:rsid w:val="00F609A9"/>
    <w:rsid w:val="00F80C99"/>
    <w:rsid w:val="00F867EC"/>
    <w:rsid w:val="00F91B2B"/>
    <w:rsid w:val="00FC03CD"/>
    <w:rsid w:val="00FC0646"/>
    <w:rsid w:val="00FC68B7"/>
    <w:rsid w:val="00FC6C10"/>
    <w:rsid w:val="00FD2653"/>
    <w:rsid w:val="00FD535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5A4576"/>
  <w15:docId w15:val="{155D4FFC-0DF9-44F7-842D-8210E672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semiHidden/>
    <w:rsid w:val="008C0C40"/>
    <w:rPr>
      <w:sz w:val="24"/>
      <w:szCs w:val="24"/>
      <w:lang w:eastAsia="en-US"/>
    </w:rPr>
  </w:style>
  <w:style w:type="paragraph" w:styleId="ListParagraph">
    <w:name w:val="List Paragraph"/>
    <w:basedOn w:val="Normal"/>
    <w:uiPriority w:val="34"/>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C62F7"/>
    <w:rPr>
      <w:rFonts w:eastAsia="Yu Mincho"/>
      <w:snapToGrid w:val="0"/>
      <w:lang w:eastAsia="en-US"/>
    </w:rPr>
  </w:style>
  <w:style w:type="character" w:customStyle="1" w:styleId="HeaderChar">
    <w:name w:val="Header Char"/>
    <w:aliases w:val="6_G Char"/>
    <w:link w:val="Header"/>
    <w:uiPriority w:val="99"/>
    <w:rsid w:val="00FD5357"/>
    <w:rPr>
      <w:b/>
      <w:sz w:val="18"/>
      <w:lang w:val="en-GB"/>
    </w:rPr>
  </w:style>
  <w:style w:type="character" w:styleId="CommentReference">
    <w:name w:val="annotation reference"/>
    <w:basedOn w:val="DefaultParagraphFont"/>
    <w:uiPriority w:val="99"/>
    <w:semiHidden/>
    <w:unhideWhenUsed/>
    <w:rsid w:val="00275B39"/>
    <w:rPr>
      <w:sz w:val="18"/>
      <w:szCs w:val="18"/>
    </w:rPr>
  </w:style>
  <w:style w:type="paragraph" w:styleId="CommentText">
    <w:name w:val="annotation text"/>
    <w:basedOn w:val="Normal"/>
    <w:link w:val="CommentTextChar"/>
    <w:uiPriority w:val="99"/>
    <w:semiHidden/>
    <w:unhideWhenUsed/>
    <w:rsid w:val="00275B39"/>
    <w:rPr>
      <w:rFonts w:eastAsia="MS Mincho"/>
    </w:rPr>
  </w:style>
  <w:style w:type="character" w:customStyle="1" w:styleId="CommentTextChar">
    <w:name w:val="Comment Text Char"/>
    <w:basedOn w:val="DefaultParagraphFont"/>
    <w:link w:val="CommentText"/>
    <w:uiPriority w:val="99"/>
    <w:semiHidden/>
    <w:rsid w:val="00275B39"/>
    <w:rPr>
      <w:rFonts w:eastAsia="MS Mincho"/>
      <w:lang w:val="en-GB"/>
    </w:rPr>
  </w:style>
  <w:style w:type="paragraph" w:customStyle="1" w:styleId="Default">
    <w:name w:val="Default"/>
    <w:rsid w:val="00AF19C2"/>
    <w:pPr>
      <w:autoSpaceDE w:val="0"/>
      <w:autoSpaceDN w:val="0"/>
      <w:adjustRightInd w:val="0"/>
    </w:pPr>
    <w:rPr>
      <w:color w:val="000000"/>
      <w:sz w:val="24"/>
      <w:szCs w:val="24"/>
      <w:lang w:val="nl-NL"/>
    </w:rPr>
  </w:style>
  <w:style w:type="paragraph" w:customStyle="1" w:styleId="Para0">
    <w:name w:val="Para"/>
    <w:basedOn w:val="Normal"/>
    <w:qFormat/>
    <w:rsid w:val="00AA2E18"/>
    <w:pPr>
      <w:suppressAutoHyphens w:val="0"/>
      <w:spacing w:after="120"/>
      <w:ind w:left="2268" w:right="1134" w:hanging="1134"/>
      <w:jc w:val="both"/>
    </w:pPr>
    <w:rPr>
      <w:lang w:eastAsia="en-US"/>
    </w:rPr>
  </w:style>
  <w:style w:type="character" w:customStyle="1" w:styleId="normaltextrun">
    <w:name w:val="normaltextrun"/>
    <w:basedOn w:val="DefaultParagraphFont"/>
    <w:rsid w:val="00CB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4353C-540B-461A-B538-761925207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F1D33-02E5-4103-AD58-332808425950}">
  <ds:schemaRefs>
    <ds:schemaRef ds:uri="http://schemas.microsoft.com/sharepoint/v3/contenttype/forms"/>
  </ds:schemaRefs>
</ds:datastoreItem>
</file>

<file path=customXml/itemProps3.xml><?xml version="1.0" encoding="utf-8"?>
<ds:datastoreItem xmlns:ds="http://schemas.openxmlformats.org/officeDocument/2006/customXml" ds:itemID="{55F6EB45-E912-48EF-9D24-533712A2CF5C}">
  <ds:schemaRefs>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cccb6d4-dbe5-46d2-b4d3-5733603d8cc6"/>
    <ds:schemaRef ds:uri="http://www.w3.org/XML/1998/namespace"/>
    <ds:schemaRef ds:uri="http://purl.org/dc/dcmitype/"/>
    <ds:schemaRef ds:uri="985ec44e-1bab-4c0b-9df0-6ba128686fc9"/>
  </ds:schemaRefs>
</ds:datastoreItem>
</file>

<file path=customXml/itemProps4.xml><?xml version="1.0" encoding="utf-8"?>
<ds:datastoreItem xmlns:ds="http://schemas.openxmlformats.org/officeDocument/2006/customXml" ds:itemID="{26CCCBC0-9478-46C5-8864-87A6BD48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3630</Characters>
  <Application>Microsoft Office Word</Application>
  <DocSecurity>0</DocSecurity>
  <Lines>103</Lines>
  <Paragraphs>51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GRSG-124-xx</vt:lpstr>
      <vt:lpstr>ECE/TRANS/WP.29/GRSP/2019/20</vt:lpstr>
      <vt:lpstr/>
    </vt:vector>
  </TitlesOfParts>
  <Company>CSD</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GRSG-124-xx</dc:title>
  <dc:subject>1916529</dc:subject>
  <dc:creator>Lammers, Hans</dc:creator>
  <cp:keywords/>
  <dc:description/>
  <cp:lastModifiedBy>Edoardo Gianotti</cp:lastModifiedBy>
  <cp:revision>2</cp:revision>
  <cp:lastPrinted>2021-04-08T22:15:00Z</cp:lastPrinted>
  <dcterms:created xsi:type="dcterms:W3CDTF">2022-10-13T11:31:00Z</dcterms:created>
  <dcterms:modified xsi:type="dcterms:W3CDTF">2022-10-13T11:31:00Z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