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76C4C1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CA85258" w14:textId="77777777" w:rsidR="002D5AAC" w:rsidRDefault="002D5AAC" w:rsidP="00E64E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06BDA1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49AF316" w14:textId="764B7BBD" w:rsidR="002D5AAC" w:rsidRDefault="00E64EA1" w:rsidP="00E64EA1">
            <w:pPr>
              <w:jc w:val="right"/>
            </w:pPr>
            <w:r w:rsidRPr="00E64EA1">
              <w:rPr>
                <w:sz w:val="40"/>
              </w:rPr>
              <w:t>ECE</w:t>
            </w:r>
            <w:r>
              <w:t>/TRANS/WP.29/GRE/2022/25</w:t>
            </w:r>
          </w:p>
        </w:tc>
      </w:tr>
      <w:tr w:rsidR="002D5AAC" w:rsidRPr="00C62B2E" w14:paraId="0C33375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0AFD19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128A67C" wp14:editId="2F87A8B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077EE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44CA7FE" w14:textId="77777777" w:rsidR="002D5AAC" w:rsidRDefault="00E64EA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FF4B71D" w14:textId="77777777" w:rsidR="00E64EA1" w:rsidRDefault="00E64EA1" w:rsidP="00E64EA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July 2022</w:t>
            </w:r>
          </w:p>
          <w:p w14:paraId="6A19F3A0" w14:textId="77777777" w:rsidR="00E64EA1" w:rsidRDefault="00E64EA1" w:rsidP="00E64EA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E9BDB28" w14:textId="35DE828C" w:rsidR="00E64EA1" w:rsidRPr="008D53B6" w:rsidRDefault="00E64EA1" w:rsidP="00E64EA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3DEEC1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A70E138" w14:textId="77777777" w:rsidR="00E64EA1" w:rsidRPr="00E64EA1" w:rsidRDefault="00E64EA1" w:rsidP="00E64EA1">
      <w:pPr>
        <w:spacing w:before="120"/>
        <w:rPr>
          <w:sz w:val="40"/>
          <w:szCs w:val="40"/>
        </w:rPr>
      </w:pPr>
      <w:r w:rsidRPr="00E64EA1">
        <w:rPr>
          <w:sz w:val="28"/>
          <w:szCs w:val="32"/>
        </w:rPr>
        <w:t>Комитет по внутреннему транспорту</w:t>
      </w:r>
    </w:p>
    <w:p w14:paraId="777CD3D8" w14:textId="102DA1C0" w:rsidR="00E64EA1" w:rsidRPr="00E64EA1" w:rsidRDefault="00E64EA1" w:rsidP="00E64EA1">
      <w:pPr>
        <w:spacing w:before="120"/>
        <w:rPr>
          <w:b/>
          <w:sz w:val="32"/>
          <w:szCs w:val="32"/>
        </w:rPr>
      </w:pPr>
      <w:r w:rsidRPr="00E64EA1">
        <w:rPr>
          <w:b/>
          <w:bCs/>
          <w:sz w:val="24"/>
          <w:szCs w:val="28"/>
        </w:rPr>
        <w:t xml:space="preserve">Всемирный форум для согласования правил </w:t>
      </w:r>
      <w:r>
        <w:rPr>
          <w:b/>
          <w:bCs/>
          <w:sz w:val="24"/>
          <w:szCs w:val="28"/>
        </w:rPr>
        <w:br/>
      </w:r>
      <w:r w:rsidRPr="00E64EA1">
        <w:rPr>
          <w:b/>
          <w:bCs/>
          <w:sz w:val="24"/>
          <w:szCs w:val="28"/>
        </w:rPr>
        <w:t>в области транспортных средств</w:t>
      </w:r>
    </w:p>
    <w:p w14:paraId="0AD7EFA5" w14:textId="41A2FD6B" w:rsidR="00E64EA1" w:rsidRPr="006B3897" w:rsidRDefault="00E64EA1" w:rsidP="00E64EA1">
      <w:pPr>
        <w:spacing w:before="120" w:after="120"/>
        <w:rPr>
          <w:b/>
          <w:bCs/>
        </w:rPr>
      </w:pPr>
      <w:r w:rsidRPr="006B3897"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</w:r>
      <w:r w:rsidRPr="006B3897">
        <w:rPr>
          <w:b/>
          <w:bCs/>
        </w:rPr>
        <w:t>и световой сигнализации</w:t>
      </w:r>
    </w:p>
    <w:p w14:paraId="19114F41" w14:textId="77777777" w:rsidR="00E64EA1" w:rsidRPr="006B3897" w:rsidRDefault="00E64EA1" w:rsidP="00E64EA1">
      <w:pPr>
        <w:ind w:right="1134"/>
        <w:rPr>
          <w:b/>
        </w:rPr>
      </w:pPr>
      <w:r w:rsidRPr="006B3897">
        <w:rPr>
          <w:b/>
          <w:bCs/>
        </w:rPr>
        <w:t>Восемьдесят седьмая сессия</w:t>
      </w:r>
    </w:p>
    <w:p w14:paraId="481A40F0" w14:textId="77777777" w:rsidR="00E64EA1" w:rsidRPr="006B3897" w:rsidRDefault="00E64EA1" w:rsidP="00E64EA1">
      <w:pPr>
        <w:ind w:right="1134"/>
      </w:pPr>
      <w:r w:rsidRPr="006B3897">
        <w:t>Женева, 25–28 октября 2022 года</w:t>
      </w:r>
    </w:p>
    <w:p w14:paraId="323A063D" w14:textId="77777777" w:rsidR="00E64EA1" w:rsidRPr="006B3897" w:rsidRDefault="00E64EA1" w:rsidP="00E64EA1">
      <w:pPr>
        <w:ind w:right="1134"/>
        <w:rPr>
          <w:bCs/>
        </w:rPr>
      </w:pPr>
      <w:r w:rsidRPr="006B3897">
        <w:t>Пункт 6 a) предварительной повестки дня</w:t>
      </w:r>
    </w:p>
    <w:p w14:paraId="770E1DD6" w14:textId="77777777" w:rsidR="00E64EA1" w:rsidRPr="006B3897" w:rsidRDefault="00E64EA1" w:rsidP="00E64EA1">
      <w:pPr>
        <w:ind w:right="1467"/>
        <w:rPr>
          <w:b/>
          <w:bCs/>
        </w:rPr>
      </w:pPr>
      <w:r w:rsidRPr="006B3897">
        <w:rPr>
          <w:b/>
          <w:bCs/>
        </w:rPr>
        <w:t>Правила ООН, касающиеся установки:</w:t>
      </w:r>
      <w:r w:rsidRPr="006B3897">
        <w:t xml:space="preserve"> </w:t>
      </w:r>
    </w:p>
    <w:p w14:paraId="739B861D" w14:textId="333E3C5F" w:rsidR="00E64EA1" w:rsidRPr="006B3897" w:rsidRDefault="00E64EA1" w:rsidP="00E64EA1">
      <w:pPr>
        <w:ind w:right="1467"/>
        <w:rPr>
          <w:b/>
          <w:bCs/>
        </w:rPr>
      </w:pPr>
      <w:r w:rsidRPr="006B3897">
        <w:rPr>
          <w:b/>
          <w:bCs/>
        </w:rPr>
        <w:t xml:space="preserve">Правила № 48 ООН (установка устройств </w:t>
      </w:r>
      <w:r w:rsidR="00E60106">
        <w:rPr>
          <w:b/>
          <w:bCs/>
        </w:rPr>
        <w:br/>
      </w:r>
      <w:r w:rsidRPr="006B3897">
        <w:rPr>
          <w:b/>
          <w:bCs/>
        </w:rPr>
        <w:t>освещения и световой сигнализации)</w:t>
      </w:r>
    </w:p>
    <w:p w14:paraId="3074EB9D" w14:textId="348D99D6" w:rsidR="00E64EA1" w:rsidRPr="006B3897" w:rsidRDefault="00E64EA1" w:rsidP="00E64EA1">
      <w:pPr>
        <w:pStyle w:val="HChG"/>
        <w:rPr>
          <w:szCs w:val="28"/>
        </w:rPr>
      </w:pPr>
      <w:r w:rsidRPr="006B3897">
        <w:tab/>
      </w:r>
      <w:r>
        <w:tab/>
      </w:r>
      <w:r w:rsidRPr="006B3897">
        <w:t xml:space="preserve">Предложение по поправкам новой серии </w:t>
      </w:r>
      <w:r>
        <w:br/>
      </w:r>
      <w:r w:rsidRPr="006B3897">
        <w:t xml:space="preserve">к Правилам № 48 ООН </w:t>
      </w:r>
    </w:p>
    <w:p w14:paraId="107FC13A" w14:textId="7291FC46" w:rsidR="00E64EA1" w:rsidRPr="006B3897" w:rsidRDefault="00E64EA1" w:rsidP="00E64EA1">
      <w:pPr>
        <w:pStyle w:val="H1G"/>
      </w:pPr>
      <w:r w:rsidRPr="006B3897">
        <w:tab/>
      </w:r>
      <w:r w:rsidRPr="006B3897">
        <w:tab/>
        <w:t xml:space="preserve">Представлено Международной ассоциацией </w:t>
      </w:r>
      <w:r w:rsidR="000D47D7">
        <w:t xml:space="preserve">изготовителей </w:t>
      </w:r>
      <w:r w:rsidRPr="006B3897">
        <w:t>автомобильных кузовов и прицепов</w:t>
      </w:r>
      <w:r w:rsidRPr="00E64EA1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102483B9" w14:textId="663D2828" w:rsidR="00E64EA1" w:rsidRDefault="00E64EA1" w:rsidP="00E64EA1">
      <w:pPr>
        <w:pStyle w:val="SingleTxtG"/>
      </w:pPr>
      <w:r w:rsidRPr="006B3897">
        <w:tab/>
        <w:t>Воспроизведенный ниже текст был подготовлен экспертом от Международной ассоциации изготовителей автомобильных кузовов и прицепов (МАИАКП) с целью внести поправки в Правила №</w:t>
      </w:r>
      <w:r w:rsidR="00E60106">
        <w:t> </w:t>
      </w:r>
      <w:r w:rsidRPr="006B3897">
        <w:t>48 ООН для увеличения количества огней маневрирования на прицепах в зависимости от длины прицепа. Изменения к существующему тексту выделены жирным шрифтом в случае новых элементов или зачеркиванием в случае исключенных элементов.</w:t>
      </w:r>
    </w:p>
    <w:p w14:paraId="533A804A" w14:textId="77777777" w:rsidR="000D47D7" w:rsidRDefault="000D47D7" w:rsidP="00E64EA1">
      <w:pPr>
        <w:pStyle w:val="SingleTxtG"/>
      </w:pPr>
    </w:p>
    <w:p w14:paraId="6B0847E6" w14:textId="77777777" w:rsidR="00E64EA1" w:rsidRDefault="00E64EA1" w:rsidP="00E64EA1">
      <w:pPr>
        <w:suppressAutoHyphens w:val="0"/>
        <w:spacing w:line="240" w:lineRule="auto"/>
      </w:pPr>
      <w:r>
        <w:br w:type="page"/>
      </w:r>
    </w:p>
    <w:p w14:paraId="37BB3366" w14:textId="77777777" w:rsidR="00E64EA1" w:rsidRPr="006B3897" w:rsidRDefault="00E64EA1" w:rsidP="00E64EA1">
      <w:pPr>
        <w:pStyle w:val="HChG"/>
      </w:pPr>
      <w:r>
        <w:lastRenderedPageBreak/>
        <w:tab/>
      </w:r>
      <w:r w:rsidRPr="006B3897">
        <w:t>I.</w:t>
      </w:r>
      <w:r w:rsidRPr="006B3897">
        <w:tab/>
        <w:t xml:space="preserve">Предложение </w:t>
      </w:r>
    </w:p>
    <w:p w14:paraId="23AF98D0" w14:textId="61F0749B" w:rsidR="00E64EA1" w:rsidRPr="006B3897" w:rsidRDefault="00E64EA1" w:rsidP="00E64EA1">
      <w:pPr>
        <w:spacing w:after="120"/>
        <w:ind w:left="2268" w:right="1134" w:hanging="1134"/>
        <w:rPr>
          <w:bCs/>
        </w:rPr>
      </w:pPr>
      <w:r w:rsidRPr="006B3897">
        <w:t>6.26.1</w:t>
      </w:r>
      <w:r w:rsidRPr="006B3897">
        <w:tab/>
        <w:t>Установка</w:t>
      </w:r>
    </w:p>
    <w:p w14:paraId="2286255A" w14:textId="77777777" w:rsidR="00E64EA1" w:rsidRPr="006B3897" w:rsidRDefault="00E64EA1" w:rsidP="00E64EA1">
      <w:pPr>
        <w:tabs>
          <w:tab w:val="left" w:pos="1134"/>
        </w:tabs>
        <w:spacing w:after="120"/>
        <w:ind w:left="2268" w:right="1134" w:hanging="1134"/>
        <w:rPr>
          <w:b/>
          <w:bCs/>
        </w:rPr>
      </w:pPr>
      <w:r w:rsidRPr="006B3897">
        <w:tab/>
        <w:t>Факультативна для автомобилей и прицепов.</w:t>
      </w:r>
    </w:p>
    <w:p w14:paraId="0F53B39B" w14:textId="77777777" w:rsidR="00E64EA1" w:rsidRPr="006B3897" w:rsidRDefault="00E64EA1" w:rsidP="00E64EA1">
      <w:pPr>
        <w:spacing w:after="120"/>
        <w:ind w:left="567" w:right="27" w:firstLine="567"/>
        <w:jc w:val="both"/>
      </w:pPr>
      <w:r w:rsidRPr="006B3897">
        <w:rPr>
          <w:i/>
          <w:iCs/>
        </w:rPr>
        <w:t>Пункт 6.26.2</w:t>
      </w:r>
      <w:r w:rsidRPr="006B3897">
        <w:t xml:space="preserve"> изменить следующим образом:</w:t>
      </w:r>
    </w:p>
    <w:p w14:paraId="191E06D8" w14:textId="7F1586A4" w:rsidR="00E64EA1" w:rsidRPr="006B3897" w:rsidRDefault="00E64EA1" w:rsidP="00E64EA1">
      <w:pPr>
        <w:spacing w:after="120"/>
        <w:ind w:left="2268" w:right="1134" w:hanging="1134"/>
        <w:jc w:val="both"/>
        <w:rPr>
          <w:bCs/>
        </w:rPr>
      </w:pPr>
      <w:r>
        <w:t>«</w:t>
      </w:r>
      <w:r w:rsidRPr="006B3897">
        <w:t>6.26.2</w:t>
      </w:r>
      <w:r w:rsidRPr="006B3897">
        <w:tab/>
        <w:t>Число</w:t>
      </w:r>
    </w:p>
    <w:p w14:paraId="2FF95586" w14:textId="332973F3" w:rsidR="00E64EA1" w:rsidRPr="006B3897" w:rsidRDefault="00E64EA1" w:rsidP="00E64EA1">
      <w:pPr>
        <w:spacing w:after="120"/>
        <w:ind w:left="2267" w:right="1134"/>
        <w:jc w:val="both"/>
        <w:rPr>
          <w:b/>
          <w:bCs/>
        </w:rPr>
      </w:pPr>
      <w:r w:rsidRPr="006B3897">
        <w:rPr>
          <w:b/>
          <w:bCs/>
        </w:rPr>
        <w:t>M</w:t>
      </w:r>
      <w:r w:rsidRPr="00E60106">
        <w:rPr>
          <w:b/>
          <w:bCs/>
          <w:vertAlign w:val="subscript"/>
        </w:rPr>
        <w:t>1</w:t>
      </w:r>
      <w:r w:rsidRPr="006B3897">
        <w:rPr>
          <w:b/>
          <w:bCs/>
        </w:rPr>
        <w:t>, N</w:t>
      </w:r>
      <w:r w:rsidRPr="00E60106">
        <w:rPr>
          <w:b/>
          <w:bCs/>
          <w:vertAlign w:val="subscript"/>
        </w:rPr>
        <w:t>1</w:t>
      </w:r>
      <w:r w:rsidRPr="00E60106">
        <w:t xml:space="preserve"> </w:t>
      </w:r>
      <w:r>
        <w:rPr>
          <w:b/>
          <w:bCs/>
        </w:rPr>
        <w:t>—</w:t>
      </w:r>
      <w:r w:rsidRPr="006B3897">
        <w:t xml:space="preserve"> один или два (один с каждой стороны автомобиля)</w:t>
      </w:r>
      <w:r w:rsidRPr="00E60106">
        <w:t>.</w:t>
      </w:r>
    </w:p>
    <w:p w14:paraId="0B52D358" w14:textId="77777777" w:rsidR="00E64EA1" w:rsidRPr="00E60106" w:rsidRDefault="00E64EA1" w:rsidP="00E60106">
      <w:pPr>
        <w:pStyle w:val="SingleTxtG"/>
        <w:ind w:left="2267"/>
        <w:rPr>
          <w:b/>
          <w:bCs/>
        </w:rPr>
      </w:pPr>
      <w:r w:rsidRPr="00E60106">
        <w:rPr>
          <w:b/>
          <w:bCs/>
        </w:rPr>
        <w:t>Все остальные категории транспортных средств:</w:t>
      </w:r>
    </w:p>
    <w:p w14:paraId="03828C66" w14:textId="77777777" w:rsidR="00E64EA1" w:rsidRPr="00E60106" w:rsidRDefault="00E64EA1" w:rsidP="00E60106">
      <w:pPr>
        <w:pStyle w:val="SingleTxtG"/>
        <w:ind w:left="2267"/>
        <w:rPr>
          <w:b/>
          <w:bCs/>
        </w:rPr>
      </w:pPr>
      <w:r w:rsidRPr="00E60106">
        <w:rPr>
          <w:b/>
          <w:bCs/>
        </w:rPr>
        <w:t>Максимум два (один с каждой стороны автомобиля) на автомобилях длиной не более 6 м.</w:t>
      </w:r>
    </w:p>
    <w:p w14:paraId="4250C5B9" w14:textId="77777777" w:rsidR="00E64EA1" w:rsidRPr="00E60106" w:rsidRDefault="00E64EA1" w:rsidP="00E60106">
      <w:pPr>
        <w:pStyle w:val="SingleTxtG"/>
        <w:ind w:left="2267"/>
        <w:rPr>
          <w:b/>
          <w:bCs/>
        </w:rPr>
      </w:pPr>
      <w:r w:rsidRPr="00E60106">
        <w:rPr>
          <w:b/>
          <w:bCs/>
        </w:rPr>
        <w:t>Максимум четыре (не более двух с каждой стороны автомобиля) на автомобилях длиной от 6 до 9 м.</w:t>
      </w:r>
    </w:p>
    <w:p w14:paraId="2FBE2B8A" w14:textId="1A7630FA" w:rsidR="00E64EA1" w:rsidRPr="006B3897" w:rsidRDefault="00E64EA1" w:rsidP="00E60106">
      <w:pPr>
        <w:pStyle w:val="SingleTxtG"/>
        <w:ind w:left="2267"/>
      </w:pPr>
      <w:r w:rsidRPr="00E60106">
        <w:rPr>
          <w:b/>
          <w:bCs/>
        </w:rPr>
        <w:t>Максимум шесть (не более трех с каждой стороны автомобиля) на автомобилях длиной более 9 м»</w:t>
      </w:r>
      <w:r w:rsidRPr="00E64EA1">
        <w:t>.</w:t>
      </w:r>
    </w:p>
    <w:p w14:paraId="2D99251A" w14:textId="77777777" w:rsidR="00E64EA1" w:rsidRPr="006B3897" w:rsidRDefault="00E64EA1" w:rsidP="00E64EA1">
      <w:pPr>
        <w:spacing w:after="120"/>
        <w:ind w:left="2268" w:right="1134" w:hanging="1134"/>
        <w:jc w:val="both"/>
        <w:rPr>
          <w:i/>
          <w:iCs/>
        </w:rPr>
      </w:pPr>
      <w:r w:rsidRPr="006B3897">
        <w:rPr>
          <w:i/>
          <w:iCs/>
        </w:rPr>
        <w:t xml:space="preserve">Пункт 6.26.4 </w:t>
      </w:r>
      <w:r w:rsidRPr="00C62B2E">
        <w:t>изменить следующим образом</w:t>
      </w:r>
      <w:r w:rsidRPr="006B3897">
        <w:rPr>
          <w:i/>
          <w:iCs/>
        </w:rPr>
        <w:t>:</w:t>
      </w:r>
    </w:p>
    <w:p w14:paraId="6731135C" w14:textId="6A615FB9" w:rsidR="00E64EA1" w:rsidRPr="006B3897" w:rsidRDefault="00E64EA1" w:rsidP="00E64EA1">
      <w:pPr>
        <w:spacing w:after="120"/>
        <w:ind w:left="2268" w:right="1134" w:hanging="1134"/>
        <w:jc w:val="both"/>
      </w:pPr>
      <w:r>
        <w:t>«</w:t>
      </w:r>
      <w:r w:rsidRPr="006B3897">
        <w:t>6.26.4</w:t>
      </w:r>
      <w:r w:rsidRPr="006B3897">
        <w:tab/>
        <w:t>Размещение</w:t>
      </w:r>
      <w:bookmarkStart w:id="0" w:name="_Hlk39134712"/>
    </w:p>
    <w:p w14:paraId="60C0A41C" w14:textId="77777777" w:rsidR="00E64EA1" w:rsidRPr="006B3897" w:rsidRDefault="00E64EA1" w:rsidP="00E64EA1">
      <w:pPr>
        <w:spacing w:after="120"/>
        <w:ind w:left="2268" w:right="1134"/>
        <w:jc w:val="both"/>
        <w:rPr>
          <w:b/>
          <w:bCs/>
          <w:strike/>
        </w:rPr>
      </w:pPr>
      <w:r w:rsidRPr="006B3897">
        <w:rPr>
          <w:strike/>
        </w:rPr>
        <w:t>Специальные требования отсутствуют.</w:t>
      </w:r>
    </w:p>
    <w:bookmarkEnd w:id="0"/>
    <w:p w14:paraId="5964B165" w14:textId="77777777" w:rsidR="00E64EA1" w:rsidRPr="006B3897" w:rsidRDefault="00E64EA1" w:rsidP="00E64EA1">
      <w:pPr>
        <w:pStyle w:val="H23G"/>
      </w:pPr>
      <w:r>
        <w:rPr>
          <w:bCs/>
        </w:rPr>
        <w:tab/>
      </w:r>
      <w:r>
        <w:rPr>
          <w:bCs/>
        </w:rPr>
        <w:tab/>
      </w:r>
      <w:r w:rsidRPr="006B3897">
        <w:rPr>
          <w:bCs/>
        </w:rPr>
        <w:t>6.26.4.1</w:t>
      </w:r>
      <w:r w:rsidRPr="006B3897">
        <w:tab/>
      </w:r>
      <w:r w:rsidRPr="006B3897">
        <w:rPr>
          <w:bCs/>
        </w:rPr>
        <w:t>По ширине: специальные требования отсутствуют.</w:t>
      </w:r>
    </w:p>
    <w:p w14:paraId="06F646C3" w14:textId="2A56130B" w:rsidR="00E64EA1" w:rsidRPr="006B3897" w:rsidRDefault="00E64EA1" w:rsidP="00E64EA1">
      <w:pPr>
        <w:pStyle w:val="H23G"/>
      </w:pPr>
      <w:r>
        <w:rPr>
          <w:bCs/>
        </w:rPr>
        <w:tab/>
      </w:r>
      <w:r>
        <w:rPr>
          <w:bCs/>
        </w:rPr>
        <w:tab/>
      </w:r>
      <w:r w:rsidRPr="006B3897">
        <w:rPr>
          <w:bCs/>
        </w:rPr>
        <w:t>6.26.4.2</w:t>
      </w:r>
      <w:r w:rsidRPr="006B3897">
        <w:tab/>
      </w:r>
      <w:r w:rsidRPr="006B3897">
        <w:rPr>
          <w:bCs/>
        </w:rPr>
        <w:t>По высоте: над поверхностью грунта, не выше 1500 мм.</w:t>
      </w:r>
    </w:p>
    <w:p w14:paraId="31055CDD" w14:textId="77777777" w:rsidR="00E64EA1" w:rsidRPr="006B3897" w:rsidRDefault="00E64EA1" w:rsidP="00E64EA1">
      <w:pPr>
        <w:spacing w:before="240" w:after="120"/>
        <w:ind w:left="2268" w:right="1134" w:hanging="1134"/>
        <w:jc w:val="both"/>
        <w:rPr>
          <w:b/>
          <w:bCs/>
        </w:rPr>
      </w:pPr>
      <w:r w:rsidRPr="006B3897">
        <w:rPr>
          <w:b/>
          <w:bCs/>
        </w:rPr>
        <w:t>6.</w:t>
      </w:r>
      <w:r w:rsidRPr="006B3897">
        <w:t>26</w:t>
      </w:r>
      <w:r w:rsidRPr="00DF7982">
        <w:t>.</w:t>
      </w:r>
      <w:r w:rsidRPr="006B3897">
        <w:rPr>
          <w:b/>
          <w:bCs/>
        </w:rPr>
        <w:t>4.3</w:t>
      </w:r>
      <w:r w:rsidRPr="006B3897">
        <w:tab/>
      </w:r>
      <w:r w:rsidRPr="006B3897">
        <w:rPr>
          <w:b/>
          <w:bCs/>
        </w:rPr>
        <w:t>По длине: огни маневрирования должны быть установлены симметрично на каждой стороне прицепа.</w:t>
      </w:r>
      <w:r w:rsidRPr="006B3897">
        <w:t xml:space="preserve"> </w:t>
      </w:r>
      <w:r w:rsidRPr="006B3897">
        <w:rPr>
          <w:b/>
          <w:bCs/>
        </w:rPr>
        <w:t>Если конструкция или форма не позволяют соблюсти такое требование, огни устанавливают настолько симметрично, насколько это практически возможно</w:t>
      </w:r>
      <w:r w:rsidRPr="00E64EA1">
        <w:t>».</w:t>
      </w:r>
    </w:p>
    <w:p w14:paraId="35C862B4" w14:textId="4AF507DB" w:rsidR="00E64EA1" w:rsidRPr="006B3897" w:rsidRDefault="00E64EA1" w:rsidP="00E64EA1">
      <w:pPr>
        <w:spacing w:after="120"/>
        <w:ind w:left="2268" w:right="1134" w:hanging="1134"/>
        <w:jc w:val="both"/>
        <w:rPr>
          <w:bCs/>
        </w:rPr>
      </w:pPr>
      <w:r w:rsidRPr="006B3897">
        <w:t xml:space="preserve">6.26.7 </w:t>
      </w:r>
      <w:r w:rsidRPr="006B3897">
        <w:tab/>
        <w:t>Функциональная электрическая схема</w:t>
      </w:r>
    </w:p>
    <w:p w14:paraId="637F53C1" w14:textId="77777777" w:rsidR="00E64EA1" w:rsidRPr="006B3897" w:rsidRDefault="00E64EA1" w:rsidP="00E64EA1">
      <w:pPr>
        <w:spacing w:after="120"/>
        <w:ind w:left="2268" w:right="1134" w:hanging="1134"/>
        <w:jc w:val="both"/>
        <w:rPr>
          <w:bCs/>
          <w:color w:val="000000"/>
        </w:rPr>
      </w:pPr>
      <w:r w:rsidRPr="006B3897">
        <w:tab/>
        <w:t>Автомобили: Огни маневрирования должны быть подключены таким образом, чтобы их нельзя было включить при выключенных головных фарах дальнего света или головных фарах ближнего света автомобиля.</w:t>
      </w:r>
    </w:p>
    <w:p w14:paraId="26BCEE14" w14:textId="77777777" w:rsidR="00E64EA1" w:rsidRPr="006B3897" w:rsidRDefault="00E64EA1" w:rsidP="00E64EA1">
      <w:pPr>
        <w:spacing w:after="120"/>
        <w:ind w:left="2268" w:right="1134" w:hanging="1134"/>
        <w:jc w:val="both"/>
        <w:rPr>
          <w:bCs/>
        </w:rPr>
      </w:pPr>
      <w:r w:rsidRPr="006B3897">
        <w:tab/>
      </w:r>
      <w:r w:rsidRPr="006B3897">
        <w:tab/>
        <w:t>Огонь (огни) маневрирования включается(</w:t>
      </w:r>
      <w:proofErr w:type="spellStart"/>
      <w:r w:rsidRPr="006B3897">
        <w:t>ются</w:t>
      </w:r>
      <w:proofErr w:type="spellEnd"/>
      <w:r w:rsidRPr="006B3897">
        <w:t>) автоматически при маневрировании на низких скоростях до 15 км/ч при соблюдении одного из следующих условий:</w:t>
      </w:r>
    </w:p>
    <w:p w14:paraId="39063C60" w14:textId="77777777" w:rsidR="00E64EA1" w:rsidRPr="006B3897" w:rsidRDefault="00E64EA1" w:rsidP="00E64EA1">
      <w:pPr>
        <w:spacing w:after="120"/>
        <w:ind w:left="2835" w:right="1134" w:hanging="567"/>
        <w:jc w:val="both"/>
        <w:rPr>
          <w:bCs/>
        </w:rPr>
      </w:pPr>
      <w:r w:rsidRPr="006B3897">
        <w:t>a)</w:t>
      </w:r>
      <w:r w:rsidRPr="006B3897">
        <w:tab/>
        <w:t>до начала движения транспортного средства после каждой активации силовой установки вручную; или</w:t>
      </w:r>
    </w:p>
    <w:p w14:paraId="3F46F0D0" w14:textId="77777777" w:rsidR="00E64EA1" w:rsidRPr="00E64EA1" w:rsidRDefault="00E64EA1" w:rsidP="00E64EA1">
      <w:pPr>
        <w:spacing w:after="120"/>
        <w:ind w:left="2835" w:right="1134" w:hanging="567"/>
        <w:jc w:val="both"/>
      </w:pPr>
      <w:r w:rsidRPr="006B3897">
        <w:t>b)</w:t>
      </w:r>
      <w:r w:rsidRPr="006B3897">
        <w:tab/>
        <w:t>при включении задней передачи; или</w:t>
      </w:r>
    </w:p>
    <w:p w14:paraId="1F912F69" w14:textId="77777777" w:rsidR="00E64EA1" w:rsidRPr="00E64EA1" w:rsidRDefault="00E64EA1" w:rsidP="00E64EA1">
      <w:pPr>
        <w:spacing w:after="120"/>
        <w:ind w:left="2835" w:right="1134" w:hanging="567"/>
        <w:jc w:val="both"/>
      </w:pPr>
      <w:r w:rsidRPr="006B3897">
        <w:t>c)</w:t>
      </w:r>
      <w:r w:rsidRPr="006B3897">
        <w:tab/>
        <w:t xml:space="preserve">при функционировании системы видеокамеры для оказания помощи при маневрировании на стоянке. </w:t>
      </w:r>
    </w:p>
    <w:p w14:paraId="1FD48C70" w14:textId="3A942CE8" w:rsidR="00E64EA1" w:rsidRPr="006B3897" w:rsidRDefault="00E64EA1" w:rsidP="00E64EA1">
      <w:pPr>
        <w:spacing w:after="120"/>
        <w:ind w:left="2268" w:right="1134" w:hanging="1134"/>
        <w:jc w:val="both"/>
        <w:rPr>
          <w:bCs/>
        </w:rPr>
      </w:pPr>
      <w:r w:rsidRPr="006B3897">
        <w:tab/>
        <w:t>Огни маневрирования должны выключаться автоматически, если скорость транспортного средства в направлении вперед превышает 15 км/ч, и</w:t>
      </w:r>
      <w:r w:rsidR="00E60106">
        <w:t xml:space="preserve"> </w:t>
      </w:r>
      <w:r w:rsidRPr="006B3897">
        <w:t>оставаться в выключенном состоянии до тех пор, пока не будут вновь соблюдены условия их включения.</w:t>
      </w:r>
    </w:p>
    <w:p w14:paraId="381C6E7E" w14:textId="77777777" w:rsidR="00E64EA1" w:rsidRPr="006B3897" w:rsidRDefault="00E64EA1" w:rsidP="00E64EA1">
      <w:pPr>
        <w:spacing w:after="120"/>
        <w:ind w:left="2268" w:right="1134"/>
        <w:jc w:val="both"/>
        <w:rPr>
          <w:bCs/>
        </w:rPr>
      </w:pPr>
      <w:r w:rsidRPr="006B3897">
        <w:t xml:space="preserve">Прицепы: Огни маневрирования должны быть подключены таким образом, чтобы их нельзя было включить при выключенных габаритных огнях прицепа; входные данные о скорости должны поступать непосредственно от прицепа. </w:t>
      </w:r>
    </w:p>
    <w:p w14:paraId="35C7AE64" w14:textId="77777777" w:rsidR="00E64EA1" w:rsidRPr="006B3897" w:rsidRDefault="00E64EA1" w:rsidP="00E64EA1">
      <w:pPr>
        <w:spacing w:after="120"/>
        <w:ind w:left="2268" w:right="1134"/>
        <w:jc w:val="both"/>
        <w:rPr>
          <w:bCs/>
        </w:rPr>
      </w:pPr>
      <w:r w:rsidRPr="006B3897">
        <w:lastRenderedPageBreak/>
        <w:t>Огонь (огни) маневрирования включается(</w:t>
      </w:r>
      <w:proofErr w:type="spellStart"/>
      <w:r w:rsidRPr="006B3897">
        <w:t>ются</w:t>
      </w:r>
      <w:proofErr w:type="spellEnd"/>
      <w:r w:rsidRPr="006B3897">
        <w:t>) автоматически при маневрировании на низких скоростях до 15 км/ч при соблюдении одного из следующих условий:</w:t>
      </w:r>
    </w:p>
    <w:p w14:paraId="487A0B45" w14:textId="77777777" w:rsidR="00E64EA1" w:rsidRPr="006B3897" w:rsidRDefault="00E64EA1" w:rsidP="00E64EA1">
      <w:pPr>
        <w:spacing w:after="120"/>
        <w:ind w:left="2835" w:right="1134" w:hanging="567"/>
        <w:jc w:val="both"/>
        <w:rPr>
          <w:bCs/>
        </w:rPr>
      </w:pPr>
      <w:r w:rsidRPr="006B3897">
        <w:t>a)</w:t>
      </w:r>
      <w:r w:rsidRPr="006B3897">
        <w:tab/>
        <w:t>до начала движения прицепа после каждой активации силовой установки транспортного средства вручную; или</w:t>
      </w:r>
    </w:p>
    <w:p w14:paraId="0D0F20D9" w14:textId="77777777" w:rsidR="00E64EA1" w:rsidRPr="006B3897" w:rsidRDefault="00E64EA1" w:rsidP="00E64EA1">
      <w:pPr>
        <w:spacing w:after="120"/>
        <w:ind w:left="2835" w:right="1134" w:hanging="567"/>
        <w:jc w:val="both"/>
        <w:rPr>
          <w:bCs/>
        </w:rPr>
      </w:pPr>
      <w:r w:rsidRPr="006B3897">
        <w:t>b)</w:t>
      </w:r>
      <w:r w:rsidRPr="006B3897">
        <w:tab/>
        <w:t>при включении огня заднего хода; или</w:t>
      </w:r>
    </w:p>
    <w:p w14:paraId="186BE2F3" w14:textId="77777777" w:rsidR="00E64EA1" w:rsidRPr="006B3897" w:rsidRDefault="00E64EA1" w:rsidP="00E64EA1">
      <w:pPr>
        <w:spacing w:after="120"/>
        <w:ind w:left="2835" w:right="1134" w:hanging="567"/>
        <w:jc w:val="both"/>
        <w:rPr>
          <w:bCs/>
        </w:rPr>
      </w:pPr>
      <w:r w:rsidRPr="006B3897">
        <w:t>c)</w:t>
      </w:r>
      <w:r w:rsidRPr="006B3897">
        <w:tab/>
        <w:t xml:space="preserve">при функционировании системы видеокамеры для оказания помощи при маневрировании на стоянке. </w:t>
      </w:r>
    </w:p>
    <w:p w14:paraId="7DEE4E01" w14:textId="77777777" w:rsidR="00E64EA1" w:rsidRPr="006B3897" w:rsidRDefault="00E64EA1" w:rsidP="00E64EA1">
      <w:pPr>
        <w:spacing w:after="120"/>
        <w:ind w:left="2268" w:right="1134" w:hanging="1134"/>
        <w:jc w:val="both"/>
        <w:rPr>
          <w:b/>
          <w:bCs/>
        </w:rPr>
      </w:pPr>
      <w:r w:rsidRPr="006B3897">
        <w:tab/>
        <w:t>Огни маневрирования должны выключаться автоматически, если скорость прицепа в направлении вперед превышает 15 км/ч, и оставаться в выключенном состоянии до тех пор, пока не будут вновь соблюдены условия их включения.</w:t>
      </w:r>
    </w:p>
    <w:p w14:paraId="3A337260" w14:textId="618B9C97" w:rsidR="00E64EA1" w:rsidRPr="006B3897" w:rsidRDefault="00E64EA1" w:rsidP="00E64EA1">
      <w:pPr>
        <w:pStyle w:val="HChG"/>
      </w:pPr>
      <w:r>
        <w:tab/>
      </w:r>
      <w:r w:rsidRPr="006B3897">
        <w:t>II.</w:t>
      </w:r>
      <w:r w:rsidRPr="006B3897">
        <w:tab/>
        <w:t>Обоснование</w:t>
      </w:r>
    </w:p>
    <w:p w14:paraId="62B7AA02" w14:textId="77777777" w:rsidR="00E64EA1" w:rsidRPr="00E64EA1" w:rsidRDefault="00E64EA1" w:rsidP="00E64EA1">
      <w:pPr>
        <w:pStyle w:val="SingleTxtG"/>
      </w:pPr>
      <w:r w:rsidRPr="006B3897">
        <w:t>1.</w:t>
      </w:r>
      <w:r w:rsidRPr="006B3897">
        <w:tab/>
        <w:t>На</w:t>
      </w:r>
      <w:r w:rsidRPr="00E64EA1">
        <w:t>стоящее предложение по поправкам новой серии к Правилам № 48 ООН (установка устройств освещения и световой сигнализации), представленное экспертом МАИАКП, направлено на улучшение круговой обзорности и заметности прицепов и составов транспортных средств путем увеличения количества устанавливаемых огней маневрирования с учетом длины транспортного средства. Это поможет снизить риск аварий при маневрировании на низкой скорости в условиях недостаточной освещенности.</w:t>
      </w:r>
    </w:p>
    <w:p w14:paraId="3B020676" w14:textId="77777777" w:rsidR="00E64EA1" w:rsidRPr="00E64EA1" w:rsidRDefault="00E64EA1" w:rsidP="00E64EA1">
      <w:pPr>
        <w:pStyle w:val="SingleTxtG"/>
      </w:pPr>
      <w:r w:rsidRPr="00E64EA1">
        <w:t>2.</w:t>
      </w:r>
      <w:r w:rsidRPr="00E64EA1">
        <w:tab/>
        <w:t>Как указано в пункте 6.26.7 неофициального документа GRE-</w:t>
      </w:r>
      <w:proofErr w:type="gramStart"/>
      <w:r w:rsidRPr="00E64EA1">
        <w:t>86-05</w:t>
      </w:r>
      <w:proofErr w:type="gramEnd"/>
      <w:r w:rsidRPr="00E64EA1">
        <w:t>-Rev.2, огни маневрирования на прицепах выключаются автоматически, если скорость прицепа в направлении вперед превышает 15 км/ч, и остаются в выключенном состоянии до тех пор, пока не будут вновь соблюдены условия их включения. Для обеспечения совместимости составов транспортных средств входные данные о скорости для целей работы данных огней должны поступать непосредственно от прицепа (а не от буксирующего транспортного средства).</w:t>
      </w:r>
    </w:p>
    <w:p w14:paraId="57BEC0BF" w14:textId="0AA17941" w:rsidR="00E64EA1" w:rsidRPr="00E64EA1" w:rsidRDefault="00E64EA1" w:rsidP="00E64EA1">
      <w:pPr>
        <w:pStyle w:val="SingleTxtG"/>
      </w:pPr>
      <w:r w:rsidRPr="00E64EA1">
        <w:t>3.</w:t>
      </w:r>
      <w:r w:rsidRPr="00E64EA1">
        <w:tab/>
        <w:t>После получения отзывов от договаривающихся сторон в ходе восемьдесят шестой сессии Рабочей группы по вопросам освещения и световой сигнализации (GRE-86) было предложено ограничить количество огней маневрирования в зависимости от длины транспортного средства. Это предложение согласовано с общими значениями длины, уже предписанными для указателей поворота. Ссылки на длину в 6 м также можно найти в требованиях к боковым маркировочным знак</w:t>
      </w:r>
      <w:r w:rsidR="00B2046B">
        <w:t>а</w:t>
      </w:r>
      <w:r w:rsidRPr="00E64EA1">
        <w:t>м и боковым светоотражателям.</w:t>
      </w:r>
    </w:p>
    <w:p w14:paraId="4BF53E18" w14:textId="77777777" w:rsidR="00E64EA1" w:rsidRPr="006B3897" w:rsidRDefault="00E64EA1" w:rsidP="00E64EA1">
      <w:pPr>
        <w:spacing w:after="120"/>
        <w:ind w:left="1134" w:right="1134"/>
        <w:jc w:val="both"/>
      </w:pPr>
      <w:r w:rsidRPr="006B3897">
        <w:t>4.</w:t>
      </w:r>
      <w:r w:rsidRPr="006B3897">
        <w:tab/>
        <w:t>Справочная информация</w:t>
      </w:r>
    </w:p>
    <w:p w14:paraId="1A5C0F57" w14:textId="44A94CEE" w:rsidR="00E64EA1" w:rsidRPr="006B3897" w:rsidRDefault="00E64EA1" w:rsidP="00E64EA1">
      <w:pPr>
        <w:spacing w:after="120"/>
        <w:ind w:left="1701" w:right="1134" w:hanging="567"/>
        <w:jc w:val="both"/>
      </w:pPr>
      <w:r w:rsidRPr="006B3897">
        <w:t>4.1</w:t>
      </w:r>
      <w:r w:rsidRPr="006B3897">
        <w:tab/>
      </w:r>
      <w:r w:rsidRPr="006B3897">
        <w:rPr>
          <w:i/>
          <w:iCs/>
        </w:rPr>
        <w:t xml:space="preserve">«Транспортная безопасность на рабочем месте: краткое руководство» (Health &amp; Safety Executive (HSE), </w:t>
      </w:r>
      <w:proofErr w:type="spellStart"/>
      <w:r w:rsidRPr="006B3897">
        <w:rPr>
          <w:i/>
          <w:iCs/>
        </w:rPr>
        <w:t>series</w:t>
      </w:r>
      <w:proofErr w:type="spellEnd"/>
      <w:r w:rsidRPr="006B3897">
        <w:rPr>
          <w:i/>
          <w:iCs/>
        </w:rPr>
        <w:t xml:space="preserve"> </w:t>
      </w:r>
      <w:proofErr w:type="spellStart"/>
      <w:r w:rsidRPr="006B3897">
        <w:rPr>
          <w:i/>
          <w:iCs/>
        </w:rPr>
        <w:t>code</w:t>
      </w:r>
      <w:proofErr w:type="spellEnd"/>
      <w:r w:rsidRPr="006B3897">
        <w:rPr>
          <w:i/>
          <w:iCs/>
        </w:rPr>
        <w:t xml:space="preserve"> INDG199(rev2), Соединенное Королевство Великобритании и Северной Ирландии)</w:t>
      </w:r>
      <w:r w:rsidRPr="00B2046B">
        <w:rPr>
          <w:rStyle w:val="aa"/>
        </w:rPr>
        <w:footnoteReference w:id="2"/>
      </w:r>
      <w:r w:rsidRPr="006B3897">
        <w:rPr>
          <w:i/>
          <w:iCs/>
        </w:rPr>
        <w:t xml:space="preserve"> (выдержки):</w:t>
      </w:r>
      <w:r w:rsidRPr="006B3897">
        <w:t xml:space="preserve">  </w:t>
      </w:r>
    </w:p>
    <w:p w14:paraId="58C5304E" w14:textId="01006251" w:rsidR="00E64EA1" w:rsidRPr="006B3897" w:rsidRDefault="00E64EA1" w:rsidP="00E64EA1">
      <w:pPr>
        <w:spacing w:after="120"/>
        <w:ind w:left="1701" w:right="1134" w:hanging="567"/>
        <w:jc w:val="both"/>
      </w:pPr>
      <w:r w:rsidRPr="006B3897">
        <w:t>a)</w:t>
      </w:r>
      <w:r w:rsidRPr="006B3897">
        <w:tab/>
        <w:t>Ежегодно происходит более 5000 несчастных случаев, связанных с использованием транспорта на рабочем месте. Примерно 50 случаев из них сопровождаются гибелью людей (</w:t>
      </w:r>
      <w:hyperlink r:id="rId8" w:history="1">
        <w:r w:rsidR="00B2046B" w:rsidRPr="00080EFF">
          <w:rPr>
            <w:rStyle w:val="af1"/>
          </w:rPr>
          <w:t>www.hse.gov.uk/statistics</w:t>
        </w:r>
      </w:hyperlink>
      <w:r w:rsidRPr="006B3897">
        <w:t>). В основном к травмам приводят случаи, когда люди падают с транспортных средств либо когда транспортные средства задевают или сбивают людей.</w:t>
      </w:r>
    </w:p>
    <w:p w14:paraId="1FDB06EA" w14:textId="77777777" w:rsidR="00E64EA1" w:rsidRPr="006B3897" w:rsidRDefault="00E64EA1" w:rsidP="00E64EA1">
      <w:pPr>
        <w:spacing w:after="120"/>
        <w:ind w:left="1134" w:right="1134"/>
        <w:jc w:val="both"/>
      </w:pPr>
      <w:r w:rsidRPr="006B3897">
        <w:t>b)</w:t>
      </w:r>
      <w:r w:rsidRPr="006B3897">
        <w:tab/>
        <w:t>Освещение</w:t>
      </w:r>
    </w:p>
    <w:p w14:paraId="30A50C09" w14:textId="77777777" w:rsidR="00E64EA1" w:rsidRPr="006B3897" w:rsidRDefault="00E64EA1" w:rsidP="00E64EA1">
      <w:pPr>
        <w:spacing w:after="120"/>
        <w:ind w:left="1701" w:right="1134"/>
        <w:jc w:val="both"/>
      </w:pPr>
      <w:r w:rsidRPr="006B3897">
        <w:t>На каждом рабочем месте должно быть подходящее и достаточное освещение, особенно в тех местах, где:</w:t>
      </w:r>
    </w:p>
    <w:p w14:paraId="46CB849E" w14:textId="401A966C" w:rsidR="00E64EA1" w:rsidRPr="006B3897" w:rsidRDefault="00E64EA1" w:rsidP="00E64EA1">
      <w:pPr>
        <w:pStyle w:val="Bullet1G"/>
      </w:pPr>
      <w:r w:rsidRPr="006B3897">
        <w:lastRenderedPageBreak/>
        <w:tab/>
        <w:t xml:space="preserve">маневрируют транспортные средства или где происходит движение и пересечение пешеходов и транспортных средств; </w:t>
      </w:r>
    </w:p>
    <w:p w14:paraId="08AB88F4" w14:textId="128D7670" w:rsidR="00E64EA1" w:rsidRPr="006B3897" w:rsidRDefault="00E64EA1" w:rsidP="00E64EA1">
      <w:pPr>
        <w:pStyle w:val="Bullet1G"/>
      </w:pPr>
      <w:r w:rsidRPr="006B3897">
        <w:tab/>
        <w:t>осуществляются операции по погрузке и разгрузке.</w:t>
      </w:r>
    </w:p>
    <w:p w14:paraId="37B1AD2B" w14:textId="06C874A7" w:rsidR="00E64EA1" w:rsidRPr="006B3897" w:rsidRDefault="00E64EA1" w:rsidP="00C62B2E">
      <w:pPr>
        <w:spacing w:after="120"/>
        <w:ind w:left="1701" w:right="1134" w:hanging="567"/>
        <w:jc w:val="both"/>
      </w:pPr>
      <w:r w:rsidRPr="006B3897">
        <w:t>c)</w:t>
      </w:r>
      <w:r w:rsidRPr="006B3897">
        <w:tab/>
        <w:t>Организация безопасности рабочего места (деятельности): движение задним ходом</w:t>
      </w:r>
      <w:r w:rsidR="00B2046B">
        <w:t>.</w:t>
      </w:r>
    </w:p>
    <w:p w14:paraId="364D0AC3" w14:textId="77777777" w:rsidR="00E64EA1" w:rsidRPr="006B3897" w:rsidRDefault="00E64EA1" w:rsidP="00E64EA1">
      <w:pPr>
        <w:pStyle w:val="SingleTxtG"/>
        <w:ind w:left="1701"/>
      </w:pPr>
      <w:r w:rsidRPr="006B3897">
        <w:t>Около четверти всех смертельных случаев, связанных с использованием транспортных средств на рабочем месте, происходит в результате движения транспортных средств задним ходом. В результате также наносится серьезный ущерб транспортным средствам, оборудованию и прочему имуществу.</w:t>
      </w:r>
    </w:p>
    <w:p w14:paraId="44A2A0E6" w14:textId="77777777" w:rsidR="00E64EA1" w:rsidRPr="006B3897" w:rsidRDefault="00E64EA1" w:rsidP="00E64EA1">
      <w:pPr>
        <w:spacing w:after="120"/>
        <w:ind w:left="1701" w:right="1134"/>
        <w:jc w:val="both"/>
      </w:pPr>
      <w:r w:rsidRPr="006B3897">
        <w:t xml:space="preserve">Наиболее эффективным способом снижения количества аварий, связанных с движением задним ходом, является устранение необходимости двигаться задним ходом, например путем организации систем с односторонним движением. Там же, где это невозможно, работа должна быть организована таким образом, чтобы движение задним ходом было сведено к минимуму. </w:t>
      </w:r>
    </w:p>
    <w:p w14:paraId="2E036B07" w14:textId="77777777" w:rsidR="00E64EA1" w:rsidRPr="006B3897" w:rsidRDefault="00E64EA1" w:rsidP="00E64EA1">
      <w:pPr>
        <w:spacing w:after="120"/>
        <w:ind w:left="1701" w:right="1134"/>
        <w:jc w:val="both"/>
      </w:pPr>
      <w:r w:rsidRPr="006B3897">
        <w:t>При необходимости движения задним ходом учитывать следующее:</w:t>
      </w:r>
    </w:p>
    <w:p w14:paraId="542DAC5B" w14:textId="2E98E987" w:rsidR="00E64EA1" w:rsidRPr="006B3897" w:rsidRDefault="00E64EA1" w:rsidP="00E64EA1">
      <w:pPr>
        <w:pStyle w:val="Bullet1G"/>
      </w:pPr>
      <w:r w:rsidRPr="006B3897">
        <w:t>установить барьеры для предотвращения заезда транспортных средств на пешеходные зоны;</w:t>
      </w:r>
    </w:p>
    <w:p w14:paraId="7739FD77" w14:textId="44957B0E" w:rsidR="00E64EA1" w:rsidRPr="006B3897" w:rsidRDefault="00E64EA1" w:rsidP="00E64EA1">
      <w:pPr>
        <w:pStyle w:val="Bullet1G"/>
      </w:pPr>
      <w:r w:rsidRPr="006B3897">
        <w:t>отвести отдельные, четко обозначенные зоны для движения задним ходом;</w:t>
      </w:r>
    </w:p>
    <w:p w14:paraId="06BDB957" w14:textId="38C13495" w:rsidR="00E64EA1" w:rsidRPr="006B3897" w:rsidRDefault="00E64EA1" w:rsidP="00E64EA1">
      <w:pPr>
        <w:pStyle w:val="Bullet1G"/>
      </w:pPr>
      <w:r w:rsidRPr="006B3897">
        <w:t>не допускать присутствия людей в зонах, отведенных для движения задним ходом, и во время таких операций;</w:t>
      </w:r>
    </w:p>
    <w:p w14:paraId="377C02DE" w14:textId="0C325DAD" w:rsidR="00E64EA1" w:rsidRPr="006B3897" w:rsidRDefault="00E64EA1" w:rsidP="00E64EA1">
      <w:pPr>
        <w:pStyle w:val="Bullet1G"/>
      </w:pPr>
      <w:r w:rsidRPr="006B3897">
        <w:t>использовать портативные радиостанции или аналогичные системы связи;</w:t>
      </w:r>
    </w:p>
    <w:p w14:paraId="2B86C455" w14:textId="4C577A64" w:rsidR="00E64EA1" w:rsidRPr="006B3897" w:rsidRDefault="00E64EA1" w:rsidP="00E64EA1">
      <w:pPr>
        <w:pStyle w:val="Bullet1G"/>
      </w:pPr>
      <w:r w:rsidRPr="006B3897">
        <w:t>повысить заметность пешеходов для водителей;</w:t>
      </w:r>
    </w:p>
    <w:p w14:paraId="6C26C7DE" w14:textId="15981E03" w:rsidR="00E64EA1" w:rsidRPr="006B3897" w:rsidRDefault="00E64EA1" w:rsidP="00E64EA1">
      <w:pPr>
        <w:pStyle w:val="Bullet1G"/>
      </w:pPr>
      <w:r w:rsidRPr="006B3897">
        <w:t>установить на транспортные средства соответствующее оборудование в помощь водителю.</w:t>
      </w:r>
    </w:p>
    <w:p w14:paraId="26CE8B6F" w14:textId="77777777" w:rsidR="00E64EA1" w:rsidRPr="006B3897" w:rsidRDefault="00E64EA1" w:rsidP="00E64EA1">
      <w:pPr>
        <w:spacing w:after="120"/>
        <w:ind w:left="1701" w:right="1134" w:hanging="567"/>
        <w:jc w:val="both"/>
      </w:pPr>
      <w:r w:rsidRPr="006B3897">
        <w:t>4.2</w:t>
      </w:r>
      <w:r w:rsidRPr="006B3897">
        <w:tab/>
      </w:r>
      <w:r w:rsidRPr="006B3897">
        <w:rPr>
          <w:i/>
          <w:iCs/>
        </w:rPr>
        <w:t xml:space="preserve">«Руководство по транспортной безопасности на рабочем месте» (Health &amp; Safety Executive (HSE), </w:t>
      </w:r>
      <w:proofErr w:type="spellStart"/>
      <w:r w:rsidRPr="006B3897">
        <w:rPr>
          <w:i/>
          <w:iCs/>
        </w:rPr>
        <w:t>series</w:t>
      </w:r>
      <w:proofErr w:type="spellEnd"/>
      <w:r w:rsidRPr="006B3897">
        <w:rPr>
          <w:i/>
          <w:iCs/>
        </w:rPr>
        <w:t xml:space="preserve"> </w:t>
      </w:r>
      <w:proofErr w:type="spellStart"/>
      <w:r w:rsidRPr="006B3897">
        <w:rPr>
          <w:i/>
          <w:iCs/>
        </w:rPr>
        <w:t>code</w:t>
      </w:r>
      <w:proofErr w:type="spellEnd"/>
      <w:r w:rsidRPr="006B3897">
        <w:rPr>
          <w:i/>
          <w:iCs/>
        </w:rPr>
        <w:t xml:space="preserve"> HSG136 (3rd Edition), Соединенное Королевство Великобритании и Северной Ирландии)</w:t>
      </w:r>
      <w:r w:rsidRPr="00B2046B">
        <w:rPr>
          <w:sz w:val="18"/>
          <w:szCs w:val="20"/>
          <w:vertAlign w:val="superscript"/>
        </w:rPr>
        <w:t>1</w:t>
      </w:r>
      <w:r w:rsidRPr="006B3897">
        <w:rPr>
          <w:i/>
          <w:iCs/>
        </w:rPr>
        <w:t xml:space="preserve"> (выдержки):</w:t>
      </w:r>
      <w:r w:rsidRPr="006B3897">
        <w:t xml:space="preserve"> </w:t>
      </w:r>
    </w:p>
    <w:p w14:paraId="5CC7D77F" w14:textId="77777777" w:rsidR="00E64EA1" w:rsidRPr="006B3897" w:rsidRDefault="00E64EA1" w:rsidP="00E64EA1">
      <w:pPr>
        <w:spacing w:after="120"/>
        <w:ind w:left="1701" w:right="1134"/>
        <w:jc w:val="both"/>
      </w:pPr>
      <w:r w:rsidRPr="006B3897">
        <w:t>Обзорность и заметность транспортного средства и вспомогательные приспособления при движении задним ходом</w:t>
      </w:r>
    </w:p>
    <w:p w14:paraId="79A3097C" w14:textId="713844F5" w:rsidR="00E64EA1" w:rsidRPr="006B3897" w:rsidRDefault="00E64EA1" w:rsidP="00E64EA1">
      <w:pPr>
        <w:pStyle w:val="Bullet1G"/>
      </w:pPr>
      <w:r w:rsidRPr="006B3897">
        <w:tab/>
        <w:t xml:space="preserve">Важно, чтобы водители имели хорошую обзорность вокруг транспортного средства, так чтобы они могли заметить опасность и избежать ее. </w:t>
      </w:r>
    </w:p>
    <w:p w14:paraId="7EAFDEE4" w14:textId="68029EFA" w:rsidR="00E64EA1" w:rsidRPr="006B3897" w:rsidRDefault="00E64EA1" w:rsidP="00E64EA1">
      <w:pPr>
        <w:pStyle w:val="Bullet1G"/>
      </w:pPr>
      <w:r w:rsidRPr="006B3897">
        <w:t>Транспортные средства должны быть также хорошо заметны для пешеходов и водителей других транспортных средств, осуществляющих операции на рабочем месте, поэтому следует по возможности установить, например дополнительные огни, отражатели и проблесковые (или вращающиеся) маячки (кроме того, водители должны иметь возможность подавать звуковые сигналы, чтобы предупредить других о своем приближении).</w:t>
      </w:r>
    </w:p>
    <w:p w14:paraId="594B9682" w14:textId="06C2E005" w:rsidR="00E12C5F" w:rsidRDefault="00E64EA1" w:rsidP="00E64EA1">
      <w:pPr>
        <w:pStyle w:val="SingleTxtG"/>
      </w:pPr>
      <w:r w:rsidRPr="006B3897">
        <w:t>5.</w:t>
      </w:r>
      <w:r w:rsidRPr="006B3897">
        <w:tab/>
        <w:t xml:space="preserve">Все большее число компаний и грузовых операторов по всему ЕС устанавливают огни маневрирования на прицепы и составы транспортных средств уже после регистрации, с тем чтобы обеспечить лучшую круговую обзорность для водителя (и заметность для других работников) в случаях, когда люди находятся в непосредственной близости от маневрирующих на низкой скорости транспортных средств. Особую актуальность это приобретает в случае движения задним ходом с длинным прицепом. Это предложение позволит устанавливать дополнительные огни маневрирования в зависимости от длины транспортного средства </w:t>
      </w:r>
      <w:r>
        <w:t>в</w:t>
      </w:r>
      <w:r w:rsidRPr="006B3897">
        <w:t xml:space="preserve"> момент официального утверждения типа.</w:t>
      </w:r>
    </w:p>
    <w:p w14:paraId="7D18DCE1" w14:textId="3DDEA55D" w:rsidR="00E64EA1" w:rsidRPr="00E64EA1" w:rsidRDefault="00E64EA1" w:rsidP="00E64EA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64EA1" w:rsidRPr="00E64EA1" w:rsidSect="00E64EA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4B1A0" w14:textId="77777777" w:rsidR="008A445D" w:rsidRPr="00A312BC" w:rsidRDefault="008A445D" w:rsidP="00A312BC"/>
  </w:endnote>
  <w:endnote w:type="continuationSeparator" w:id="0">
    <w:p w14:paraId="04E832F8" w14:textId="77777777" w:rsidR="008A445D" w:rsidRPr="00A312BC" w:rsidRDefault="008A445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C6DB" w14:textId="0EB431DA" w:rsidR="00E64EA1" w:rsidRPr="00E64EA1" w:rsidRDefault="00E64EA1">
    <w:pPr>
      <w:pStyle w:val="a8"/>
    </w:pPr>
    <w:r w:rsidRPr="00E64EA1">
      <w:rPr>
        <w:b/>
        <w:sz w:val="18"/>
      </w:rPr>
      <w:fldChar w:fldCharType="begin"/>
    </w:r>
    <w:r w:rsidRPr="00E64EA1">
      <w:rPr>
        <w:b/>
        <w:sz w:val="18"/>
      </w:rPr>
      <w:instrText xml:space="preserve"> PAGE  \* MERGEFORMAT </w:instrText>
    </w:r>
    <w:r w:rsidRPr="00E64EA1">
      <w:rPr>
        <w:b/>
        <w:sz w:val="18"/>
      </w:rPr>
      <w:fldChar w:fldCharType="separate"/>
    </w:r>
    <w:r w:rsidRPr="00E64EA1">
      <w:rPr>
        <w:b/>
        <w:noProof/>
        <w:sz w:val="18"/>
      </w:rPr>
      <w:t>2</w:t>
    </w:r>
    <w:r w:rsidRPr="00E64EA1">
      <w:rPr>
        <w:b/>
        <w:sz w:val="18"/>
      </w:rPr>
      <w:fldChar w:fldCharType="end"/>
    </w:r>
    <w:r>
      <w:rPr>
        <w:b/>
        <w:sz w:val="18"/>
      </w:rPr>
      <w:tab/>
    </w:r>
    <w:r>
      <w:t>GE.22-11854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6DD6" w14:textId="71465234" w:rsidR="00E64EA1" w:rsidRPr="00E64EA1" w:rsidRDefault="00E64EA1" w:rsidP="00E64EA1">
    <w:pPr>
      <w:pStyle w:val="a8"/>
      <w:tabs>
        <w:tab w:val="clear" w:pos="9639"/>
        <w:tab w:val="right" w:pos="9638"/>
      </w:tabs>
      <w:rPr>
        <w:b/>
        <w:sz w:val="18"/>
      </w:rPr>
    </w:pPr>
    <w:r>
      <w:t>GE.22-11854</w:t>
    </w:r>
    <w:r>
      <w:tab/>
    </w:r>
    <w:r w:rsidRPr="00E64EA1">
      <w:rPr>
        <w:b/>
        <w:sz w:val="18"/>
      </w:rPr>
      <w:fldChar w:fldCharType="begin"/>
    </w:r>
    <w:r w:rsidRPr="00E64EA1">
      <w:rPr>
        <w:b/>
        <w:sz w:val="18"/>
      </w:rPr>
      <w:instrText xml:space="preserve"> PAGE  \* MERGEFORMAT </w:instrText>
    </w:r>
    <w:r w:rsidRPr="00E64EA1">
      <w:rPr>
        <w:b/>
        <w:sz w:val="18"/>
      </w:rPr>
      <w:fldChar w:fldCharType="separate"/>
    </w:r>
    <w:r w:rsidRPr="00E64EA1">
      <w:rPr>
        <w:b/>
        <w:noProof/>
        <w:sz w:val="18"/>
      </w:rPr>
      <w:t>3</w:t>
    </w:r>
    <w:r w:rsidRPr="00E64EA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D438" w14:textId="37A2B766" w:rsidR="00042B72" w:rsidRPr="00E64EA1" w:rsidRDefault="00E64EA1" w:rsidP="00E64EA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43D7F51" wp14:editId="7A3BD61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11854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EDB13BE" wp14:editId="752CBFA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180822  130922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E4EE" w14:textId="77777777" w:rsidR="008A445D" w:rsidRPr="001075E9" w:rsidRDefault="008A445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4DFD7E" w14:textId="77777777" w:rsidR="008A445D" w:rsidRDefault="008A445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7EA9792" w14:textId="433C43F3" w:rsidR="00E64EA1" w:rsidRPr="00C62B2E" w:rsidRDefault="00E64EA1">
      <w:pPr>
        <w:pStyle w:val="ad"/>
        <w:rPr>
          <w:sz w:val="20"/>
        </w:rPr>
      </w:pPr>
      <w:r>
        <w:tab/>
      </w:r>
      <w:r w:rsidRPr="00E64EA1">
        <w:rPr>
          <w:rStyle w:val="aa"/>
          <w:sz w:val="20"/>
          <w:vertAlign w:val="baseline"/>
        </w:rPr>
        <w:t>*</w:t>
      </w:r>
      <w:r w:rsidRPr="00E64EA1">
        <w:rPr>
          <w:rStyle w:val="aa"/>
          <w:vertAlign w:val="baseline"/>
        </w:rPr>
        <w:tab/>
      </w:r>
      <w:r w:rsidRPr="006B3897"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4FA3352F" w14:textId="67D73523" w:rsidR="00E64EA1" w:rsidRPr="00E64EA1" w:rsidRDefault="00E64EA1" w:rsidP="00E64EA1">
      <w:pPr>
        <w:pStyle w:val="ad"/>
        <w:rPr>
          <w:szCs w:val="18"/>
        </w:rPr>
      </w:pPr>
      <w:r>
        <w:rPr>
          <w:szCs w:val="18"/>
        </w:rPr>
        <w:tab/>
      </w:r>
      <w:r w:rsidRPr="00583F9D">
        <w:rPr>
          <w:rStyle w:val="aa"/>
          <w:szCs w:val="18"/>
        </w:rPr>
        <w:footnoteRef/>
      </w:r>
      <w:r>
        <w:tab/>
        <w:t xml:space="preserve">Содержит информацию государственного сектора, опубликованную Управлением по охране здоровья и безопасности и лицензированную в соответствии с лицензией </w:t>
      </w:r>
      <w:r w:rsidRPr="0023518D">
        <w:rPr>
          <w:u w:val="single"/>
        </w:rPr>
        <w:t xml:space="preserve">Open Government </w:t>
      </w:r>
      <w:proofErr w:type="spellStart"/>
      <w:r w:rsidRPr="0023518D">
        <w:rPr>
          <w:u w:val="single"/>
        </w:rPr>
        <w:t>License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19C4" w14:textId="4CBA1919" w:rsidR="00E64EA1" w:rsidRPr="00E64EA1" w:rsidRDefault="00D2345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ECE/TRANS/WP.29/GRE/2022/25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06FA" w14:textId="3211D49F" w:rsidR="00E64EA1" w:rsidRPr="00E64EA1" w:rsidRDefault="00D23453" w:rsidP="00E64EA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ECE/TRANS/WP.29/GRE/2022/25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5D"/>
    <w:rsid w:val="00033EE1"/>
    <w:rsid w:val="00042B72"/>
    <w:rsid w:val="00053B62"/>
    <w:rsid w:val="000558BD"/>
    <w:rsid w:val="000B57E7"/>
    <w:rsid w:val="000B6373"/>
    <w:rsid w:val="000D47D7"/>
    <w:rsid w:val="000D6833"/>
    <w:rsid w:val="000E1A5D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241F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A445D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41EB"/>
    <w:rsid w:val="00A14DA8"/>
    <w:rsid w:val="00A312BC"/>
    <w:rsid w:val="00A84021"/>
    <w:rsid w:val="00A84D35"/>
    <w:rsid w:val="00A917B3"/>
    <w:rsid w:val="00AB4B51"/>
    <w:rsid w:val="00B10CC7"/>
    <w:rsid w:val="00B2046B"/>
    <w:rsid w:val="00B36DF7"/>
    <w:rsid w:val="00B539E7"/>
    <w:rsid w:val="00B62458"/>
    <w:rsid w:val="00BC18B2"/>
    <w:rsid w:val="00BD3048"/>
    <w:rsid w:val="00BD33EE"/>
    <w:rsid w:val="00BE1CC7"/>
    <w:rsid w:val="00BF5D31"/>
    <w:rsid w:val="00C106D6"/>
    <w:rsid w:val="00C119AE"/>
    <w:rsid w:val="00C60F0C"/>
    <w:rsid w:val="00C62B2E"/>
    <w:rsid w:val="00C71E84"/>
    <w:rsid w:val="00C805C9"/>
    <w:rsid w:val="00C92939"/>
    <w:rsid w:val="00CA1679"/>
    <w:rsid w:val="00CB151C"/>
    <w:rsid w:val="00CE5A1A"/>
    <w:rsid w:val="00CF55F6"/>
    <w:rsid w:val="00D23453"/>
    <w:rsid w:val="00D33D63"/>
    <w:rsid w:val="00D5253A"/>
    <w:rsid w:val="00D873A8"/>
    <w:rsid w:val="00D90028"/>
    <w:rsid w:val="00D90138"/>
    <w:rsid w:val="00D9145B"/>
    <w:rsid w:val="00DD78D1"/>
    <w:rsid w:val="00DE079C"/>
    <w:rsid w:val="00DE32CD"/>
    <w:rsid w:val="00DF5767"/>
    <w:rsid w:val="00DF71B9"/>
    <w:rsid w:val="00DF7982"/>
    <w:rsid w:val="00E12C5F"/>
    <w:rsid w:val="00E60106"/>
    <w:rsid w:val="00E64EA1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3B2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28EC7F"/>
  <w15:docId w15:val="{7B1C4A45-4849-457C-A01F-21E3ABBB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E64EA1"/>
    <w:rPr>
      <w:lang w:val="ru-RU" w:eastAsia="en-US"/>
    </w:rPr>
  </w:style>
  <w:style w:type="character" w:customStyle="1" w:styleId="HChGChar">
    <w:name w:val="_ H _Ch_G Char"/>
    <w:link w:val="HChG"/>
    <w:rsid w:val="00E64EA1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E64EA1"/>
    <w:rPr>
      <w:b/>
      <w:sz w:val="24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B2046B"/>
    <w:rPr>
      <w:color w:val="605E5C"/>
      <w:shd w:val="clear" w:color="auto" w:fill="E1DFDD"/>
    </w:rPr>
  </w:style>
  <w:style w:type="character" w:customStyle="1" w:styleId="acronym">
    <w:name w:val="acronym"/>
    <w:basedOn w:val="a0"/>
    <w:rsid w:val="000D47D7"/>
  </w:style>
  <w:style w:type="character" w:customStyle="1" w:styleId="preferred">
    <w:name w:val="preferred"/>
    <w:basedOn w:val="a0"/>
    <w:rsid w:val="000D4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statistics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1119</Words>
  <Characters>7710</Characters>
  <Application>Microsoft Office Word</Application>
  <DocSecurity>0</DocSecurity>
  <Lines>64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ECE/TRANS/WP.29/GRE/2022/25</vt:lpstr>
      <vt:lpstr>A/</vt:lpstr>
      <vt:lpstr>A/</vt:lpstr>
    </vt:vector>
  </TitlesOfParts>
  <Company>DCM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ECE/TRANS/WP.29/GRE/2022/25</dc:title>
  <dc:subject/>
  <dc:creator>Elena IZOTOVA</dc:creator>
  <cp:keywords/>
  <cp:lastModifiedBy>Elena Izotova</cp:lastModifiedBy>
  <cp:revision>3</cp:revision>
  <cp:lastPrinted>2022-09-13T08:25:00Z</cp:lastPrinted>
  <dcterms:created xsi:type="dcterms:W3CDTF">2022-09-13T08:25:00Z</dcterms:created>
  <dcterms:modified xsi:type="dcterms:W3CDTF">2022-09-13T08:25:00Z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