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BF98A26" w14:textId="77777777" w:rsidTr="00295CCA">
        <w:trPr>
          <w:trHeight w:hRule="exact" w:val="851"/>
        </w:trPr>
        <w:tc>
          <w:tcPr>
            <w:tcW w:w="1276" w:type="dxa"/>
            <w:tcBorders>
              <w:bottom w:val="single" w:sz="4" w:space="0" w:color="auto"/>
            </w:tcBorders>
          </w:tcPr>
          <w:p w14:paraId="1973A0B9" w14:textId="77777777" w:rsidR="001433FD" w:rsidRPr="00DB58B5" w:rsidRDefault="001433FD" w:rsidP="00673CAB"/>
        </w:tc>
        <w:tc>
          <w:tcPr>
            <w:tcW w:w="2268" w:type="dxa"/>
            <w:tcBorders>
              <w:bottom w:val="single" w:sz="4" w:space="0" w:color="auto"/>
            </w:tcBorders>
            <w:vAlign w:val="bottom"/>
          </w:tcPr>
          <w:p w14:paraId="03E9A364"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2DE010" w14:textId="7B86F7DE" w:rsidR="001433FD" w:rsidRPr="00DB58B5" w:rsidRDefault="00673CAB" w:rsidP="00673CAB">
            <w:pPr>
              <w:jc w:val="right"/>
            </w:pPr>
            <w:r w:rsidRPr="00673CAB">
              <w:rPr>
                <w:sz w:val="40"/>
              </w:rPr>
              <w:t>ECE</w:t>
            </w:r>
            <w:r>
              <w:t>/TRANS/WP.29/GRE/2022/25</w:t>
            </w:r>
          </w:p>
        </w:tc>
      </w:tr>
      <w:tr w:rsidR="001433FD" w:rsidRPr="00DB58B5" w14:paraId="087023F5" w14:textId="77777777" w:rsidTr="00295CCA">
        <w:trPr>
          <w:trHeight w:hRule="exact" w:val="2835"/>
        </w:trPr>
        <w:tc>
          <w:tcPr>
            <w:tcW w:w="1276" w:type="dxa"/>
            <w:tcBorders>
              <w:top w:val="single" w:sz="4" w:space="0" w:color="auto"/>
              <w:bottom w:val="single" w:sz="12" w:space="0" w:color="auto"/>
            </w:tcBorders>
          </w:tcPr>
          <w:p w14:paraId="6F35A074" w14:textId="77777777" w:rsidR="001433FD" w:rsidRPr="00DB58B5" w:rsidRDefault="001433FD" w:rsidP="00295CCA">
            <w:pPr>
              <w:spacing w:before="120"/>
              <w:jc w:val="center"/>
            </w:pPr>
            <w:r>
              <w:rPr>
                <w:noProof/>
                <w:lang w:eastAsia="fr-CH"/>
              </w:rPr>
              <w:drawing>
                <wp:inline distT="0" distB="0" distL="0" distR="0" wp14:anchorId="4A29F11D" wp14:editId="4613D1A8">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597B5F"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E71D7BE" w14:textId="77777777" w:rsidR="001433FD" w:rsidRDefault="00673CAB" w:rsidP="00295CCA">
            <w:pPr>
              <w:spacing w:before="240"/>
            </w:pPr>
            <w:r>
              <w:t>Distr. générale</w:t>
            </w:r>
          </w:p>
          <w:p w14:paraId="0D01B16A" w14:textId="77777777" w:rsidR="00673CAB" w:rsidRDefault="00673CAB" w:rsidP="00673CAB">
            <w:pPr>
              <w:spacing w:line="240" w:lineRule="exact"/>
            </w:pPr>
            <w:r>
              <w:t>28 juillet 2022</w:t>
            </w:r>
          </w:p>
          <w:p w14:paraId="211450C3" w14:textId="77777777" w:rsidR="00673CAB" w:rsidRDefault="00673CAB" w:rsidP="00673CAB">
            <w:pPr>
              <w:spacing w:line="240" w:lineRule="exact"/>
            </w:pPr>
            <w:r>
              <w:t>Français</w:t>
            </w:r>
          </w:p>
          <w:p w14:paraId="3EDEE7D1" w14:textId="5DF377D7" w:rsidR="00673CAB" w:rsidRPr="00DB58B5" w:rsidRDefault="00673CAB" w:rsidP="00673CAB">
            <w:pPr>
              <w:spacing w:line="240" w:lineRule="exact"/>
            </w:pPr>
            <w:r>
              <w:t>Original : anglais</w:t>
            </w:r>
          </w:p>
        </w:tc>
      </w:tr>
    </w:tbl>
    <w:p w14:paraId="5120181D" w14:textId="77777777" w:rsidR="005316B0" w:rsidRPr="000312C0" w:rsidRDefault="005316B0" w:rsidP="005316B0">
      <w:pPr>
        <w:spacing w:before="120"/>
        <w:rPr>
          <w:b/>
          <w:sz w:val="28"/>
          <w:szCs w:val="28"/>
        </w:rPr>
      </w:pPr>
      <w:r w:rsidRPr="000312C0">
        <w:rPr>
          <w:b/>
          <w:sz w:val="28"/>
          <w:szCs w:val="28"/>
        </w:rPr>
        <w:t>Commission économique pour l’Europe</w:t>
      </w:r>
    </w:p>
    <w:p w14:paraId="73820DC6" w14:textId="77777777" w:rsidR="00673CAB" w:rsidRPr="00673CAB" w:rsidRDefault="00673CAB" w:rsidP="00673CAB">
      <w:pPr>
        <w:spacing w:before="120"/>
        <w:rPr>
          <w:sz w:val="40"/>
          <w:szCs w:val="40"/>
          <w:lang w:val="fr-FR"/>
        </w:rPr>
      </w:pPr>
      <w:r w:rsidRPr="00673CAB">
        <w:rPr>
          <w:sz w:val="28"/>
          <w:szCs w:val="28"/>
          <w:lang w:val="fr-FR"/>
        </w:rPr>
        <w:t>Comité des transports intérieurs</w:t>
      </w:r>
    </w:p>
    <w:p w14:paraId="5F5750D3" w14:textId="4E78EC16" w:rsidR="00673CAB" w:rsidRPr="00673CAB" w:rsidRDefault="00673CAB" w:rsidP="00673CAB">
      <w:pPr>
        <w:spacing w:before="120"/>
        <w:rPr>
          <w:b/>
          <w:sz w:val="32"/>
          <w:szCs w:val="32"/>
          <w:lang w:val="fr-FR"/>
        </w:rPr>
      </w:pPr>
      <w:r w:rsidRPr="00673CAB">
        <w:rPr>
          <w:b/>
          <w:bCs/>
          <w:sz w:val="24"/>
          <w:szCs w:val="24"/>
          <w:lang w:val="fr-FR"/>
        </w:rPr>
        <w:t xml:space="preserve">Forum mondial de l’harmonisation des Règlements </w:t>
      </w:r>
      <w:r>
        <w:rPr>
          <w:b/>
          <w:bCs/>
          <w:sz w:val="24"/>
          <w:szCs w:val="24"/>
          <w:lang w:val="fr-FR"/>
        </w:rPr>
        <w:br/>
      </w:r>
      <w:r w:rsidRPr="00673CAB">
        <w:rPr>
          <w:b/>
          <w:bCs/>
          <w:sz w:val="24"/>
          <w:szCs w:val="24"/>
          <w:lang w:val="fr-FR"/>
        </w:rPr>
        <w:t>concernant les véhicules</w:t>
      </w:r>
    </w:p>
    <w:p w14:paraId="33C49E12" w14:textId="77777777" w:rsidR="00673CAB" w:rsidRPr="004F66A7" w:rsidRDefault="00673CAB" w:rsidP="00673CAB">
      <w:pPr>
        <w:spacing w:before="120"/>
        <w:rPr>
          <w:b/>
          <w:bCs/>
          <w:lang w:val="fr-FR"/>
        </w:rPr>
      </w:pPr>
      <w:r w:rsidRPr="004F66A7">
        <w:rPr>
          <w:b/>
          <w:bCs/>
          <w:lang w:val="fr-FR"/>
        </w:rPr>
        <w:t>Groupe de travail de l</w:t>
      </w:r>
      <w:r>
        <w:rPr>
          <w:b/>
          <w:bCs/>
          <w:lang w:val="fr-FR"/>
        </w:rPr>
        <w:t>’</w:t>
      </w:r>
      <w:r w:rsidRPr="004F66A7">
        <w:rPr>
          <w:b/>
          <w:bCs/>
          <w:lang w:val="fr-FR"/>
        </w:rPr>
        <w:t>éclairage et de la signalisation lumineuse</w:t>
      </w:r>
    </w:p>
    <w:p w14:paraId="18F0F634" w14:textId="77777777" w:rsidR="00673CAB" w:rsidRPr="004F66A7" w:rsidRDefault="00673CAB" w:rsidP="00673CAB">
      <w:pPr>
        <w:spacing w:before="120"/>
        <w:rPr>
          <w:b/>
          <w:lang w:val="fr-FR"/>
        </w:rPr>
      </w:pPr>
      <w:r w:rsidRPr="004F66A7">
        <w:rPr>
          <w:b/>
          <w:bCs/>
          <w:lang w:val="fr-FR"/>
        </w:rPr>
        <w:t>Quatre-vingt-septième session</w:t>
      </w:r>
    </w:p>
    <w:p w14:paraId="6F21DE50" w14:textId="77777777" w:rsidR="00673CAB" w:rsidRPr="004F66A7" w:rsidRDefault="00673CAB" w:rsidP="00673CAB">
      <w:pPr>
        <w:rPr>
          <w:lang w:val="fr-FR"/>
        </w:rPr>
      </w:pPr>
      <w:r w:rsidRPr="004F66A7">
        <w:rPr>
          <w:lang w:val="fr-FR"/>
        </w:rPr>
        <w:t>Genève, 25-28 octobre 2022</w:t>
      </w:r>
    </w:p>
    <w:p w14:paraId="015A9076" w14:textId="77777777" w:rsidR="00673CAB" w:rsidRPr="004F66A7" w:rsidRDefault="00673CAB" w:rsidP="00673CAB">
      <w:pPr>
        <w:rPr>
          <w:bCs/>
          <w:lang w:val="fr-FR"/>
        </w:rPr>
      </w:pPr>
      <w:r w:rsidRPr="004F66A7">
        <w:rPr>
          <w:lang w:val="fr-FR"/>
        </w:rPr>
        <w:t>Point 6 a) de l</w:t>
      </w:r>
      <w:r>
        <w:rPr>
          <w:lang w:val="fr-FR"/>
        </w:rPr>
        <w:t>’</w:t>
      </w:r>
      <w:r w:rsidRPr="004F66A7">
        <w:rPr>
          <w:lang w:val="fr-FR"/>
        </w:rPr>
        <w:t>ordre du jour provisoire</w:t>
      </w:r>
    </w:p>
    <w:p w14:paraId="0A64B9D7" w14:textId="4B624950" w:rsidR="00673CAB" w:rsidRPr="004F66A7" w:rsidRDefault="00673CAB" w:rsidP="00673CAB">
      <w:pPr>
        <w:rPr>
          <w:b/>
          <w:bCs/>
          <w:lang w:val="fr-FR"/>
        </w:rPr>
      </w:pPr>
      <w:r w:rsidRPr="004F66A7">
        <w:rPr>
          <w:b/>
          <w:bCs/>
          <w:lang w:val="fr-FR"/>
        </w:rPr>
        <w:t>Règlements ONU concernant l</w:t>
      </w:r>
      <w:r>
        <w:rPr>
          <w:b/>
          <w:bCs/>
          <w:lang w:val="fr-FR"/>
        </w:rPr>
        <w:t>’</w:t>
      </w:r>
      <w:r w:rsidRPr="004F66A7">
        <w:rPr>
          <w:b/>
          <w:bCs/>
          <w:lang w:val="fr-FR"/>
        </w:rPr>
        <w:t>installation</w:t>
      </w:r>
      <w:r>
        <w:rPr>
          <w:b/>
          <w:bCs/>
          <w:lang w:val="fr-FR"/>
        </w:rPr>
        <w:t> </w:t>
      </w:r>
      <w:r w:rsidRPr="004F66A7">
        <w:rPr>
          <w:b/>
          <w:bCs/>
          <w:lang w:val="fr-FR"/>
        </w:rPr>
        <w:t>:</w:t>
      </w:r>
      <w:r w:rsidRPr="004F66A7">
        <w:rPr>
          <w:lang w:val="fr-FR"/>
        </w:rPr>
        <w:t xml:space="preserve"> </w:t>
      </w:r>
    </w:p>
    <w:p w14:paraId="553A1EB5" w14:textId="14A34F04" w:rsidR="00673CAB" w:rsidRPr="004F66A7" w:rsidRDefault="00673CAB" w:rsidP="00673CAB">
      <w:pPr>
        <w:rPr>
          <w:b/>
          <w:bCs/>
          <w:lang w:val="fr-FR"/>
        </w:rPr>
      </w:pPr>
      <w:r w:rsidRPr="004F66A7">
        <w:rPr>
          <w:b/>
          <w:bCs/>
          <w:lang w:val="fr-FR"/>
        </w:rPr>
        <w:t>Règlement ONU n</w:t>
      </w:r>
      <w:r w:rsidRPr="004F66A7">
        <w:rPr>
          <w:b/>
          <w:bCs/>
          <w:vertAlign w:val="superscript"/>
          <w:lang w:val="fr-FR"/>
        </w:rPr>
        <w:t>o</w:t>
      </w:r>
      <w:r w:rsidRPr="004F66A7">
        <w:rPr>
          <w:b/>
          <w:bCs/>
          <w:lang w:val="fr-FR"/>
        </w:rPr>
        <w:t xml:space="preserve"> 48 (Installation des dispositifs d</w:t>
      </w:r>
      <w:r>
        <w:rPr>
          <w:b/>
          <w:bCs/>
          <w:lang w:val="fr-FR"/>
        </w:rPr>
        <w:t>’</w:t>
      </w:r>
      <w:r w:rsidRPr="004F66A7">
        <w:rPr>
          <w:b/>
          <w:bCs/>
          <w:lang w:val="fr-FR"/>
        </w:rPr>
        <w:t xml:space="preserve">éclairage </w:t>
      </w:r>
      <w:r>
        <w:rPr>
          <w:b/>
          <w:bCs/>
          <w:lang w:val="fr-FR"/>
        </w:rPr>
        <w:br/>
      </w:r>
      <w:r w:rsidRPr="004F66A7">
        <w:rPr>
          <w:b/>
          <w:bCs/>
          <w:lang w:val="fr-FR"/>
        </w:rPr>
        <w:t>et de signalisation lumineuse)</w:t>
      </w:r>
    </w:p>
    <w:p w14:paraId="31B8F489" w14:textId="35D1F828" w:rsidR="00673CAB" w:rsidRPr="004F66A7" w:rsidRDefault="00673CAB" w:rsidP="00673CAB">
      <w:pPr>
        <w:pStyle w:val="HChG"/>
        <w:rPr>
          <w:szCs w:val="28"/>
          <w:lang w:val="fr-FR"/>
        </w:rPr>
      </w:pPr>
      <w:r w:rsidRPr="004F66A7">
        <w:rPr>
          <w:lang w:val="fr-FR"/>
        </w:rPr>
        <w:tab/>
      </w:r>
      <w:r>
        <w:rPr>
          <w:lang w:val="fr-FR"/>
        </w:rPr>
        <w:tab/>
      </w:r>
      <w:r w:rsidRPr="004F66A7">
        <w:rPr>
          <w:lang w:val="fr-FR"/>
        </w:rPr>
        <w:t>Propositions de nouvelle série d</w:t>
      </w:r>
      <w:r>
        <w:rPr>
          <w:lang w:val="fr-FR"/>
        </w:rPr>
        <w:t>’</w:t>
      </w:r>
      <w:r w:rsidRPr="004F66A7">
        <w:rPr>
          <w:lang w:val="fr-FR"/>
        </w:rPr>
        <w:t xml:space="preserve">amendements </w:t>
      </w:r>
      <w:r>
        <w:rPr>
          <w:lang w:val="fr-FR"/>
        </w:rPr>
        <w:br/>
      </w:r>
      <w:r w:rsidRPr="004F66A7">
        <w:rPr>
          <w:lang w:val="fr-FR"/>
        </w:rPr>
        <w:t>au Règlement ONU n</w:t>
      </w:r>
      <w:r w:rsidRPr="004F66A7">
        <w:rPr>
          <w:vertAlign w:val="superscript"/>
          <w:lang w:val="fr-FR"/>
        </w:rPr>
        <w:t>o</w:t>
      </w:r>
      <w:r>
        <w:rPr>
          <w:lang w:val="fr-FR"/>
        </w:rPr>
        <w:t> </w:t>
      </w:r>
      <w:r w:rsidRPr="004F66A7">
        <w:rPr>
          <w:lang w:val="fr-FR"/>
        </w:rPr>
        <w:t xml:space="preserve">48 </w:t>
      </w:r>
    </w:p>
    <w:p w14:paraId="1F8A07C9" w14:textId="340F231F" w:rsidR="00673CAB" w:rsidRPr="004F66A7" w:rsidRDefault="00673CAB" w:rsidP="00673CAB">
      <w:pPr>
        <w:pStyle w:val="H1G"/>
        <w:rPr>
          <w:lang w:val="fr-FR"/>
        </w:rPr>
      </w:pPr>
      <w:r w:rsidRPr="004F66A7">
        <w:rPr>
          <w:lang w:val="fr-FR"/>
        </w:rPr>
        <w:tab/>
      </w:r>
      <w:r w:rsidRPr="004F66A7">
        <w:rPr>
          <w:lang w:val="fr-FR"/>
        </w:rPr>
        <w:tab/>
        <w:t>Communication de l</w:t>
      </w:r>
      <w:r>
        <w:rPr>
          <w:lang w:val="fr-FR"/>
        </w:rPr>
        <w:t>’</w:t>
      </w:r>
      <w:r w:rsidRPr="004F66A7">
        <w:rPr>
          <w:lang w:val="fr-FR"/>
        </w:rPr>
        <w:t xml:space="preserve">Association internationale de la construction </w:t>
      </w:r>
      <w:r>
        <w:rPr>
          <w:lang w:val="fr-FR"/>
        </w:rPr>
        <w:br/>
      </w:r>
      <w:r w:rsidRPr="004F66A7">
        <w:rPr>
          <w:lang w:val="fr-FR"/>
        </w:rPr>
        <w:t>de carrosseries et de remorques</w:t>
      </w:r>
      <w:r w:rsidRPr="00673CAB">
        <w:rPr>
          <w:b w:val="0"/>
          <w:bCs/>
          <w:sz w:val="20"/>
          <w:szCs w:val="16"/>
          <w:lang w:val="fr-FR"/>
        </w:rPr>
        <w:footnoteReference w:customMarkFollows="1" w:id="2"/>
        <w:t>*</w:t>
      </w:r>
    </w:p>
    <w:p w14:paraId="0D595F99" w14:textId="50CE0CC0" w:rsidR="00673CAB" w:rsidRDefault="00673CAB" w:rsidP="00673CAB">
      <w:pPr>
        <w:pStyle w:val="SingleTxtG"/>
        <w:ind w:firstLine="567"/>
        <w:rPr>
          <w:lang w:val="fr-FR"/>
        </w:rPr>
      </w:pPr>
      <w:r w:rsidRPr="004F66A7">
        <w:rPr>
          <w:lang w:val="fr-FR"/>
        </w:rPr>
        <w:t>Le texte ci-après, établi par l</w:t>
      </w:r>
      <w:r>
        <w:rPr>
          <w:lang w:val="fr-FR"/>
        </w:rPr>
        <w:t>’</w:t>
      </w:r>
      <w:r w:rsidRPr="004F66A7">
        <w:rPr>
          <w:lang w:val="fr-FR"/>
        </w:rPr>
        <w:t>expert de l</w:t>
      </w:r>
      <w:r>
        <w:rPr>
          <w:lang w:val="fr-FR"/>
        </w:rPr>
        <w:t>’</w:t>
      </w:r>
      <w:r w:rsidRPr="004F66A7">
        <w:rPr>
          <w:lang w:val="fr-FR"/>
        </w:rPr>
        <w:t>Association internationale de la construction de carrosseries et de remorques (CLCCR), vise à modifier le Règlement ONU n</w:t>
      </w:r>
      <w:r w:rsidRPr="004F66A7">
        <w:rPr>
          <w:vertAlign w:val="superscript"/>
          <w:lang w:val="fr-FR"/>
        </w:rPr>
        <w:t>o</w:t>
      </w:r>
      <w:r>
        <w:rPr>
          <w:lang w:val="fr-FR"/>
        </w:rPr>
        <w:t> </w:t>
      </w:r>
      <w:r w:rsidRPr="004F66A7">
        <w:rPr>
          <w:lang w:val="fr-FR"/>
        </w:rPr>
        <w:t>48 de manière à augmenter le nombre de feux de manœuvre pouvant être montés sur les remorques en fonction de la longueur de celles-ci. Les modifications qu</w:t>
      </w:r>
      <w:r>
        <w:rPr>
          <w:lang w:val="fr-FR"/>
        </w:rPr>
        <w:t>’</w:t>
      </w:r>
      <w:r w:rsidRPr="004F66A7">
        <w:rPr>
          <w:lang w:val="fr-FR"/>
        </w:rPr>
        <w:t>il est proposé d</w:t>
      </w:r>
      <w:r>
        <w:rPr>
          <w:lang w:val="fr-FR"/>
        </w:rPr>
        <w:t>’</w:t>
      </w:r>
      <w:r w:rsidRPr="004F66A7">
        <w:rPr>
          <w:lang w:val="fr-FR"/>
        </w:rPr>
        <w:t>apporter au texte figurent en caractères gras pour les ajouts et biffés pour les suppressions.</w:t>
      </w:r>
    </w:p>
    <w:p w14:paraId="0BCC05DC" w14:textId="77777777" w:rsidR="00673CAB" w:rsidRDefault="00673CAB">
      <w:pPr>
        <w:suppressAutoHyphens w:val="0"/>
        <w:kinsoku/>
        <w:overflowPunct/>
        <w:autoSpaceDE/>
        <w:autoSpaceDN/>
        <w:adjustRightInd/>
        <w:snapToGrid/>
        <w:spacing w:after="200" w:line="276" w:lineRule="auto"/>
        <w:rPr>
          <w:lang w:val="fr-FR"/>
        </w:rPr>
      </w:pPr>
      <w:r>
        <w:rPr>
          <w:lang w:val="fr-FR"/>
        </w:rPr>
        <w:br w:type="page"/>
      </w:r>
    </w:p>
    <w:p w14:paraId="38B51F30" w14:textId="77777777" w:rsidR="00673CAB" w:rsidRPr="004F66A7" w:rsidRDefault="00673CAB" w:rsidP="00673CAB">
      <w:pPr>
        <w:pStyle w:val="HChG"/>
        <w:rPr>
          <w:lang w:val="fr-FR"/>
        </w:rPr>
      </w:pPr>
      <w:r>
        <w:rPr>
          <w:lang w:val="fr-FR"/>
        </w:rPr>
        <w:lastRenderedPageBreak/>
        <w:tab/>
      </w:r>
      <w:r w:rsidRPr="004F66A7">
        <w:rPr>
          <w:lang w:val="fr-FR"/>
        </w:rPr>
        <w:t>I.</w:t>
      </w:r>
      <w:r w:rsidRPr="004F66A7">
        <w:rPr>
          <w:lang w:val="fr-FR"/>
        </w:rPr>
        <w:tab/>
        <w:t xml:space="preserve">Proposition </w:t>
      </w:r>
    </w:p>
    <w:p w14:paraId="177A4D88" w14:textId="4D966EE7" w:rsidR="00673CAB" w:rsidRPr="004F66A7" w:rsidRDefault="00673CAB" w:rsidP="00673CAB">
      <w:pPr>
        <w:pStyle w:val="SingleTxtG"/>
        <w:tabs>
          <w:tab w:val="clear" w:pos="1701"/>
        </w:tabs>
        <w:rPr>
          <w:bCs/>
          <w:lang w:val="fr-FR"/>
        </w:rPr>
      </w:pPr>
      <w:r w:rsidRPr="004F66A7">
        <w:rPr>
          <w:lang w:val="fr-FR"/>
        </w:rPr>
        <w:t>6.26.1</w:t>
      </w:r>
      <w:r>
        <w:rPr>
          <w:lang w:val="fr-FR"/>
        </w:rPr>
        <w:tab/>
      </w:r>
      <w:r w:rsidRPr="004F66A7">
        <w:rPr>
          <w:lang w:val="fr-FR"/>
        </w:rPr>
        <w:t>Présence</w:t>
      </w:r>
    </w:p>
    <w:p w14:paraId="49FD0CC2" w14:textId="659CB4A4" w:rsidR="00673CAB" w:rsidRPr="004F66A7" w:rsidRDefault="00673CAB" w:rsidP="00673CAB">
      <w:pPr>
        <w:pStyle w:val="SingleTxtG"/>
        <w:ind w:left="2268"/>
        <w:rPr>
          <w:b/>
          <w:bCs/>
          <w:lang w:val="fr-FR"/>
        </w:rPr>
      </w:pPr>
      <w:r w:rsidRPr="004F66A7">
        <w:rPr>
          <w:lang w:val="fr-FR"/>
        </w:rPr>
        <w:t>Facultative sur les véhicules à moteur et les remorques.</w:t>
      </w:r>
    </w:p>
    <w:p w14:paraId="0BDF4AB8" w14:textId="3A10CE99" w:rsidR="00673CAB" w:rsidRPr="004F66A7" w:rsidRDefault="00673CAB" w:rsidP="00673CAB">
      <w:pPr>
        <w:kinsoku/>
        <w:overflowPunct/>
        <w:autoSpaceDE/>
        <w:autoSpaceDN/>
        <w:adjustRightInd/>
        <w:snapToGrid/>
        <w:spacing w:after="120"/>
        <w:ind w:left="2268" w:right="1134" w:hanging="1134"/>
        <w:rPr>
          <w:lang w:val="fr-FR"/>
        </w:rPr>
      </w:pPr>
      <w:r w:rsidRPr="004F66A7">
        <w:rPr>
          <w:i/>
          <w:iCs/>
          <w:lang w:val="fr-FR"/>
        </w:rPr>
        <w:t>Paragraphe 6.26.2</w:t>
      </w:r>
      <w:r w:rsidRPr="004F66A7">
        <w:rPr>
          <w:lang w:val="fr-FR"/>
        </w:rPr>
        <w:t>, lire</w:t>
      </w:r>
      <w:r>
        <w:rPr>
          <w:lang w:val="fr-FR"/>
        </w:rPr>
        <w:t> </w:t>
      </w:r>
      <w:r w:rsidRPr="004F66A7">
        <w:rPr>
          <w:lang w:val="fr-FR"/>
        </w:rPr>
        <w:t>:</w:t>
      </w:r>
    </w:p>
    <w:p w14:paraId="104218F6" w14:textId="77777777" w:rsidR="00673CAB" w:rsidRPr="004F66A7" w:rsidRDefault="00673CAB" w:rsidP="00673CAB">
      <w:pPr>
        <w:pStyle w:val="SingleTxtG"/>
        <w:tabs>
          <w:tab w:val="clear" w:pos="1701"/>
        </w:tabs>
        <w:rPr>
          <w:bCs/>
          <w:lang w:val="fr-FR"/>
        </w:rPr>
      </w:pPr>
      <w:r w:rsidRPr="004F66A7">
        <w:rPr>
          <w:lang w:val="fr-FR"/>
        </w:rPr>
        <w:t>« 6.26.2</w:t>
      </w:r>
      <w:r w:rsidRPr="004F66A7">
        <w:rPr>
          <w:lang w:val="fr-FR"/>
        </w:rPr>
        <w:tab/>
        <w:t>Nombre</w:t>
      </w:r>
    </w:p>
    <w:p w14:paraId="52C45DF9" w14:textId="77777777" w:rsidR="00673CAB" w:rsidRPr="004F66A7" w:rsidRDefault="00673CAB" w:rsidP="00673CAB">
      <w:pPr>
        <w:pStyle w:val="SingleTxtG"/>
        <w:ind w:left="2268"/>
        <w:rPr>
          <w:b/>
          <w:bCs/>
          <w:lang w:val="fr-FR"/>
        </w:rPr>
      </w:pPr>
      <w:r w:rsidRPr="004F66A7">
        <w:rPr>
          <w:b/>
          <w:bCs/>
          <w:lang w:val="fr-FR"/>
        </w:rPr>
        <w:t>M</w:t>
      </w:r>
      <w:r w:rsidRPr="004F66A7">
        <w:rPr>
          <w:vertAlign w:val="subscript"/>
          <w:lang w:val="fr-FR"/>
        </w:rPr>
        <w:t>1</w:t>
      </w:r>
      <w:r w:rsidRPr="004F66A7">
        <w:rPr>
          <w:b/>
          <w:bCs/>
          <w:lang w:val="fr-FR"/>
        </w:rPr>
        <w:t>, N</w:t>
      </w:r>
      <w:r w:rsidRPr="004F66A7">
        <w:rPr>
          <w:b/>
          <w:bCs/>
          <w:vertAlign w:val="subscript"/>
          <w:lang w:val="fr-FR"/>
        </w:rPr>
        <w:t>1</w:t>
      </w:r>
      <w:r w:rsidRPr="004F66A7">
        <w:rPr>
          <w:b/>
          <w:bCs/>
          <w:lang w:val="fr-FR"/>
        </w:rPr>
        <w:t xml:space="preserve"> :</w:t>
      </w:r>
      <w:r w:rsidRPr="004F66A7">
        <w:rPr>
          <w:lang w:val="fr-FR"/>
        </w:rPr>
        <w:t xml:space="preserve"> Un ou deux (un par côté)</w:t>
      </w:r>
      <w:r w:rsidRPr="004F66A7">
        <w:rPr>
          <w:b/>
          <w:bCs/>
          <w:lang w:val="fr-FR"/>
        </w:rPr>
        <w:t>.</w:t>
      </w:r>
    </w:p>
    <w:p w14:paraId="5255F3AB" w14:textId="77777777" w:rsidR="00673CAB" w:rsidRPr="004F66A7" w:rsidRDefault="00673CAB" w:rsidP="00673CAB">
      <w:pPr>
        <w:pStyle w:val="SingleTxtG"/>
        <w:ind w:left="2268"/>
        <w:rPr>
          <w:b/>
          <w:bCs/>
          <w:lang w:val="fr-FR"/>
        </w:rPr>
      </w:pPr>
      <w:r w:rsidRPr="004F66A7">
        <w:rPr>
          <w:b/>
          <w:bCs/>
          <w:lang w:val="fr-FR"/>
        </w:rPr>
        <w:t>Autres catégories de véhicules :</w:t>
      </w:r>
    </w:p>
    <w:p w14:paraId="4671DBA2" w14:textId="77777777" w:rsidR="00673CAB" w:rsidRPr="004F66A7" w:rsidRDefault="00673CAB" w:rsidP="00673CAB">
      <w:pPr>
        <w:pStyle w:val="SingleTxtG"/>
        <w:ind w:left="2268"/>
        <w:rPr>
          <w:b/>
          <w:bCs/>
          <w:lang w:val="fr-FR"/>
        </w:rPr>
      </w:pPr>
      <w:r w:rsidRPr="004F66A7">
        <w:rPr>
          <w:b/>
          <w:bCs/>
          <w:lang w:val="fr-FR"/>
        </w:rPr>
        <w:t>Au maximum deux (un par côté) pour les véhicules dont la longueur ne dépasse pas 6 m ;</w:t>
      </w:r>
    </w:p>
    <w:p w14:paraId="1903C100" w14:textId="77777777" w:rsidR="00673CAB" w:rsidRPr="004F66A7" w:rsidRDefault="00673CAB" w:rsidP="00673CAB">
      <w:pPr>
        <w:pStyle w:val="SingleTxtG"/>
        <w:ind w:left="2268"/>
        <w:rPr>
          <w:b/>
          <w:bCs/>
          <w:lang w:val="fr-FR"/>
        </w:rPr>
      </w:pPr>
      <w:r w:rsidRPr="004F66A7">
        <w:rPr>
          <w:b/>
          <w:bCs/>
          <w:lang w:val="fr-FR"/>
        </w:rPr>
        <w:t>Au maximum quatre (deux par côté) pour les véhicules dont la longueur est comprise entre 6 m et 9 m ;</w:t>
      </w:r>
    </w:p>
    <w:p w14:paraId="400FED19" w14:textId="77777777" w:rsidR="00673CAB" w:rsidRPr="004F66A7" w:rsidRDefault="00673CAB" w:rsidP="00673CAB">
      <w:pPr>
        <w:pStyle w:val="SingleTxtG"/>
        <w:ind w:left="2268"/>
        <w:rPr>
          <w:b/>
          <w:bCs/>
          <w:lang w:val="fr-FR"/>
        </w:rPr>
      </w:pPr>
      <w:r w:rsidRPr="004F66A7">
        <w:rPr>
          <w:b/>
          <w:bCs/>
          <w:lang w:val="fr-FR"/>
        </w:rPr>
        <w:t>Au maximum six (trois par côté) pour les véhicules dont la longueur dépasse 9 m. ».</w:t>
      </w:r>
    </w:p>
    <w:p w14:paraId="3E07B897" w14:textId="06E6E142" w:rsidR="00673CAB" w:rsidRPr="004F66A7" w:rsidRDefault="00673CAB" w:rsidP="00673CAB">
      <w:pPr>
        <w:kinsoku/>
        <w:overflowPunct/>
        <w:autoSpaceDE/>
        <w:autoSpaceDN/>
        <w:adjustRightInd/>
        <w:snapToGrid/>
        <w:spacing w:after="120"/>
        <w:ind w:left="2268" w:right="1134" w:hanging="1134"/>
        <w:rPr>
          <w:i/>
          <w:iCs/>
          <w:lang w:val="fr-FR"/>
        </w:rPr>
      </w:pPr>
      <w:r w:rsidRPr="004F66A7">
        <w:rPr>
          <w:i/>
          <w:iCs/>
          <w:lang w:val="fr-FR"/>
        </w:rPr>
        <w:t>Paragraphe 6.26.4</w:t>
      </w:r>
      <w:r w:rsidRPr="00673CAB">
        <w:rPr>
          <w:lang w:val="fr-FR"/>
        </w:rPr>
        <w:t>,</w:t>
      </w:r>
      <w:r w:rsidRPr="004F66A7">
        <w:rPr>
          <w:i/>
          <w:iCs/>
          <w:lang w:val="fr-FR"/>
        </w:rPr>
        <w:t xml:space="preserve"> </w:t>
      </w:r>
      <w:r w:rsidRPr="004F66A7">
        <w:rPr>
          <w:lang w:val="fr-FR"/>
        </w:rPr>
        <w:t>lire</w:t>
      </w:r>
      <w:r>
        <w:rPr>
          <w:lang w:val="fr-FR"/>
        </w:rPr>
        <w:t> </w:t>
      </w:r>
      <w:r w:rsidRPr="004F66A7">
        <w:rPr>
          <w:lang w:val="fr-FR"/>
        </w:rPr>
        <w:t>:</w:t>
      </w:r>
    </w:p>
    <w:p w14:paraId="494150E5" w14:textId="77777777" w:rsidR="00673CAB" w:rsidRPr="004F66A7" w:rsidRDefault="00673CAB" w:rsidP="00673CAB">
      <w:pPr>
        <w:pStyle w:val="SingleTxtG"/>
        <w:tabs>
          <w:tab w:val="clear" w:pos="1701"/>
        </w:tabs>
        <w:rPr>
          <w:lang w:val="fr-FR"/>
        </w:rPr>
      </w:pPr>
      <w:r w:rsidRPr="004F66A7">
        <w:rPr>
          <w:lang w:val="fr-FR"/>
        </w:rPr>
        <w:t>« 6.26.4</w:t>
      </w:r>
      <w:r w:rsidRPr="004F66A7">
        <w:rPr>
          <w:lang w:val="fr-FR"/>
        </w:rPr>
        <w:tab/>
        <w:t>Emplacement</w:t>
      </w:r>
      <w:bookmarkStart w:id="0" w:name="_Hlk39134712"/>
    </w:p>
    <w:p w14:paraId="69C94B70" w14:textId="77777777" w:rsidR="00673CAB" w:rsidRPr="004F66A7" w:rsidRDefault="00673CAB" w:rsidP="00673CAB">
      <w:pPr>
        <w:pStyle w:val="SingleTxtG"/>
        <w:ind w:left="2268"/>
        <w:rPr>
          <w:b/>
          <w:bCs/>
          <w:strike/>
          <w:lang w:val="fr-FR"/>
        </w:rPr>
      </w:pPr>
      <w:r w:rsidRPr="004F66A7">
        <w:rPr>
          <w:strike/>
          <w:lang w:val="fr-FR"/>
        </w:rPr>
        <w:t>Pas de prescription particulière.</w:t>
      </w:r>
    </w:p>
    <w:bookmarkEnd w:id="0"/>
    <w:p w14:paraId="6A5FF741" w14:textId="358ECF50" w:rsidR="00673CAB" w:rsidRPr="00673CAB" w:rsidRDefault="00673CAB" w:rsidP="00673CAB">
      <w:pPr>
        <w:pStyle w:val="SingleTxtG"/>
        <w:tabs>
          <w:tab w:val="clear" w:pos="1701"/>
        </w:tabs>
        <w:rPr>
          <w:b/>
          <w:lang w:val="fr-FR"/>
        </w:rPr>
      </w:pPr>
      <w:r w:rsidRPr="00673CAB">
        <w:rPr>
          <w:b/>
          <w:lang w:val="fr-FR"/>
        </w:rPr>
        <w:t>6.26.4.1</w:t>
      </w:r>
      <w:r w:rsidRPr="00673CAB">
        <w:rPr>
          <w:b/>
          <w:lang w:val="fr-FR"/>
        </w:rPr>
        <w:tab/>
        <w:t>En largeur : Pas de prescription particulière.</w:t>
      </w:r>
    </w:p>
    <w:p w14:paraId="7E9D6435" w14:textId="3D2EF27E" w:rsidR="00673CAB" w:rsidRPr="00673CAB" w:rsidRDefault="00673CAB" w:rsidP="00673CAB">
      <w:pPr>
        <w:pStyle w:val="SingleTxtG"/>
        <w:tabs>
          <w:tab w:val="clear" w:pos="1701"/>
        </w:tabs>
        <w:rPr>
          <w:b/>
          <w:lang w:val="fr-FR"/>
        </w:rPr>
      </w:pPr>
      <w:r w:rsidRPr="00673CAB">
        <w:rPr>
          <w:b/>
          <w:lang w:val="fr-FR"/>
        </w:rPr>
        <w:t>6.26.4.2</w:t>
      </w:r>
      <w:r w:rsidRPr="00673CAB">
        <w:rPr>
          <w:b/>
          <w:lang w:val="fr-FR"/>
        </w:rPr>
        <w:tab/>
        <w:t>En hauteur : au-dessus du sol, maximum 1</w:t>
      </w:r>
      <w:r>
        <w:rPr>
          <w:b/>
          <w:lang w:val="fr-FR"/>
        </w:rPr>
        <w:t> </w:t>
      </w:r>
      <w:r w:rsidRPr="00673CAB">
        <w:rPr>
          <w:b/>
          <w:lang w:val="fr-FR"/>
        </w:rPr>
        <w:t>500</w:t>
      </w:r>
      <w:r>
        <w:rPr>
          <w:b/>
          <w:lang w:val="fr-FR"/>
        </w:rPr>
        <w:t> </w:t>
      </w:r>
      <w:r w:rsidRPr="00673CAB">
        <w:rPr>
          <w:b/>
          <w:lang w:val="fr-FR"/>
        </w:rPr>
        <w:t>mm.</w:t>
      </w:r>
    </w:p>
    <w:p w14:paraId="771A3F29" w14:textId="77777777" w:rsidR="00673CAB" w:rsidRPr="004F66A7" w:rsidRDefault="00673CAB" w:rsidP="00673CAB">
      <w:pPr>
        <w:pStyle w:val="SingleTxtG"/>
        <w:tabs>
          <w:tab w:val="clear" w:pos="1701"/>
        </w:tabs>
        <w:ind w:left="2268" w:hanging="1134"/>
        <w:rPr>
          <w:b/>
          <w:bCs/>
          <w:lang w:val="fr-FR"/>
        </w:rPr>
      </w:pPr>
      <w:r w:rsidRPr="004F66A7">
        <w:rPr>
          <w:b/>
          <w:bCs/>
          <w:lang w:val="fr-FR"/>
        </w:rPr>
        <w:t>6.</w:t>
      </w:r>
      <w:r w:rsidRPr="003E51AF">
        <w:rPr>
          <w:b/>
          <w:bCs/>
          <w:lang w:val="fr-FR"/>
        </w:rPr>
        <w:t>26.</w:t>
      </w:r>
      <w:r w:rsidRPr="004F66A7">
        <w:rPr>
          <w:b/>
          <w:bCs/>
          <w:lang w:val="fr-FR"/>
        </w:rPr>
        <w:t>4.3</w:t>
      </w:r>
      <w:r w:rsidRPr="004F66A7">
        <w:rPr>
          <w:lang w:val="fr-FR"/>
        </w:rPr>
        <w:tab/>
      </w:r>
      <w:r w:rsidRPr="004F66A7">
        <w:rPr>
          <w:b/>
          <w:bCs/>
          <w:lang w:val="fr-FR"/>
        </w:rPr>
        <w:t>En longueur : Les feux de manœuvre doivent être montés symétriquement de chaque côté.</w:t>
      </w:r>
      <w:r w:rsidRPr="004F66A7">
        <w:rPr>
          <w:lang w:val="fr-FR"/>
        </w:rPr>
        <w:t xml:space="preserve"> </w:t>
      </w:r>
      <w:r w:rsidRPr="004F66A7">
        <w:rPr>
          <w:b/>
          <w:bCs/>
          <w:lang w:val="fr-FR"/>
        </w:rPr>
        <w:t>S</w:t>
      </w:r>
      <w:r>
        <w:rPr>
          <w:b/>
          <w:bCs/>
          <w:lang w:val="fr-FR"/>
        </w:rPr>
        <w:t>’</w:t>
      </w:r>
      <w:r w:rsidRPr="004F66A7">
        <w:rPr>
          <w:b/>
          <w:bCs/>
          <w:lang w:val="fr-FR"/>
        </w:rPr>
        <w:t>il est impossible de satisfaire à cette prescription en raison de la structure ou de la conception de la remorque, les feux doivent être montés aussi symétriquement que possible. ».</w:t>
      </w:r>
    </w:p>
    <w:p w14:paraId="44F5F61D" w14:textId="3601A93D" w:rsidR="00673CAB" w:rsidRPr="004F66A7" w:rsidRDefault="00673CAB" w:rsidP="00673CAB">
      <w:pPr>
        <w:pStyle w:val="SingleTxtG"/>
        <w:tabs>
          <w:tab w:val="clear" w:pos="1701"/>
        </w:tabs>
        <w:rPr>
          <w:bCs/>
          <w:lang w:val="fr-FR"/>
        </w:rPr>
      </w:pPr>
      <w:r w:rsidRPr="004F66A7">
        <w:rPr>
          <w:lang w:val="fr-FR"/>
        </w:rPr>
        <w:t>6.26.7</w:t>
      </w:r>
      <w:r w:rsidRPr="004F66A7">
        <w:rPr>
          <w:lang w:val="fr-FR"/>
        </w:rPr>
        <w:tab/>
        <w:t>Branchements électriques</w:t>
      </w:r>
    </w:p>
    <w:p w14:paraId="2AEF97DE" w14:textId="50C8A858" w:rsidR="00673CAB" w:rsidRPr="004F66A7" w:rsidRDefault="00673CAB" w:rsidP="00673CAB">
      <w:pPr>
        <w:pStyle w:val="SingleTxtG"/>
        <w:ind w:left="2268"/>
        <w:rPr>
          <w:bCs/>
          <w:color w:val="000000"/>
          <w:lang w:val="fr-FR"/>
        </w:rPr>
      </w:pPr>
      <w:r w:rsidRPr="004F66A7">
        <w:rPr>
          <w:lang w:val="fr-FR"/>
        </w:rPr>
        <w:t>Véhicules à moteur</w:t>
      </w:r>
      <w:r>
        <w:rPr>
          <w:lang w:val="fr-FR"/>
        </w:rPr>
        <w:t> </w:t>
      </w:r>
      <w:r w:rsidRPr="004F66A7">
        <w:rPr>
          <w:lang w:val="fr-FR"/>
        </w:rPr>
        <w:t>: Les feux de manœuvre ne doivent pouvoir être allumés qu</w:t>
      </w:r>
      <w:r>
        <w:rPr>
          <w:lang w:val="fr-FR"/>
        </w:rPr>
        <w:t>’</w:t>
      </w:r>
      <w:r w:rsidRPr="004F66A7">
        <w:rPr>
          <w:lang w:val="fr-FR"/>
        </w:rPr>
        <w:t>avec les feux de route ou les feux de croisement.</w:t>
      </w:r>
    </w:p>
    <w:p w14:paraId="44A1F79D" w14:textId="398E0684" w:rsidR="00673CAB" w:rsidRPr="004F66A7" w:rsidRDefault="00673CAB" w:rsidP="00673CAB">
      <w:pPr>
        <w:pStyle w:val="SingleTxtG"/>
        <w:keepNext/>
        <w:ind w:left="2268"/>
        <w:rPr>
          <w:bCs/>
          <w:lang w:val="fr-FR"/>
        </w:rPr>
      </w:pPr>
      <w:r w:rsidRPr="004F66A7">
        <w:rPr>
          <w:lang w:val="fr-FR"/>
        </w:rPr>
        <w:t>Les feux de manœuvre ne doivent pouvoir s</w:t>
      </w:r>
      <w:r>
        <w:rPr>
          <w:lang w:val="fr-FR"/>
        </w:rPr>
        <w:t>’</w:t>
      </w:r>
      <w:r w:rsidRPr="004F66A7">
        <w:rPr>
          <w:lang w:val="fr-FR"/>
        </w:rPr>
        <w:t>allumer automatiquement que pour des manœuvres lentes jusqu</w:t>
      </w:r>
      <w:r>
        <w:rPr>
          <w:lang w:val="fr-FR"/>
        </w:rPr>
        <w:t>’</w:t>
      </w:r>
      <w:r w:rsidRPr="004F66A7">
        <w:rPr>
          <w:lang w:val="fr-FR"/>
        </w:rPr>
        <w:t>à une vitesse de 15</w:t>
      </w:r>
      <w:r>
        <w:rPr>
          <w:lang w:val="fr-FR"/>
        </w:rPr>
        <w:t> </w:t>
      </w:r>
      <w:r w:rsidRPr="004F66A7">
        <w:rPr>
          <w:lang w:val="fr-FR"/>
        </w:rPr>
        <w:t>km/h si l</w:t>
      </w:r>
      <w:r>
        <w:rPr>
          <w:lang w:val="fr-FR"/>
        </w:rPr>
        <w:t>’</w:t>
      </w:r>
      <w:r w:rsidRPr="004F66A7">
        <w:rPr>
          <w:lang w:val="fr-FR"/>
        </w:rPr>
        <w:t>une des conditions suivantes est remplie</w:t>
      </w:r>
      <w:r>
        <w:rPr>
          <w:lang w:val="fr-FR"/>
        </w:rPr>
        <w:t> </w:t>
      </w:r>
      <w:r w:rsidRPr="004F66A7">
        <w:rPr>
          <w:lang w:val="fr-FR"/>
        </w:rPr>
        <w:t>:</w:t>
      </w:r>
    </w:p>
    <w:p w14:paraId="14A52551" w14:textId="4F81125E" w:rsidR="00673CAB" w:rsidRPr="004F66A7" w:rsidRDefault="00673CAB" w:rsidP="00673CAB">
      <w:pPr>
        <w:pStyle w:val="SingleTxtG"/>
        <w:ind w:left="2835" w:hanging="567"/>
        <w:rPr>
          <w:bCs/>
          <w:lang w:val="fr-FR"/>
        </w:rPr>
      </w:pPr>
      <w:r w:rsidRPr="004F66A7">
        <w:rPr>
          <w:lang w:val="fr-FR"/>
        </w:rPr>
        <w:t>a)</w:t>
      </w:r>
      <w:r w:rsidRPr="004F66A7">
        <w:rPr>
          <w:lang w:val="fr-FR"/>
        </w:rPr>
        <w:tab/>
        <w:t>Avant que le véhicule soit mis en mouvement pour la première fois après chaque activation manuelle du système de propulsion</w:t>
      </w:r>
      <w:r w:rsidR="005C4182">
        <w:rPr>
          <w:lang w:val="fr-FR"/>
        </w:rPr>
        <w:t> </w:t>
      </w:r>
      <w:r w:rsidRPr="004F66A7">
        <w:rPr>
          <w:lang w:val="fr-FR"/>
        </w:rPr>
        <w:t>; ou</w:t>
      </w:r>
    </w:p>
    <w:p w14:paraId="1E9561C1" w14:textId="16531A3E" w:rsidR="00673CAB" w:rsidRPr="004F66A7" w:rsidRDefault="00673CAB" w:rsidP="005C4182">
      <w:pPr>
        <w:pStyle w:val="SingleTxtG"/>
        <w:ind w:left="2835" w:hanging="567"/>
        <w:rPr>
          <w:bCs/>
          <w:lang w:val="fr-FR"/>
        </w:rPr>
      </w:pPr>
      <w:r w:rsidRPr="004F66A7">
        <w:rPr>
          <w:lang w:val="fr-FR"/>
        </w:rPr>
        <w:t>b)</w:t>
      </w:r>
      <w:r w:rsidRPr="004F66A7">
        <w:rPr>
          <w:lang w:val="fr-FR"/>
        </w:rPr>
        <w:tab/>
        <w:t>Si la marche arrière est engagée</w:t>
      </w:r>
      <w:r w:rsidR="005C4182">
        <w:rPr>
          <w:lang w:val="fr-FR"/>
        </w:rPr>
        <w:t> </w:t>
      </w:r>
      <w:r w:rsidRPr="004F66A7">
        <w:rPr>
          <w:lang w:val="fr-FR"/>
        </w:rPr>
        <w:t>; ou</w:t>
      </w:r>
    </w:p>
    <w:p w14:paraId="63D3EDF8" w14:textId="77777777" w:rsidR="00673CAB" w:rsidRPr="004F66A7" w:rsidRDefault="00673CAB" w:rsidP="005C4182">
      <w:pPr>
        <w:pStyle w:val="SingleTxtG"/>
        <w:ind w:left="2835" w:hanging="567"/>
        <w:rPr>
          <w:bCs/>
          <w:lang w:val="fr-FR"/>
        </w:rPr>
      </w:pPr>
      <w:r w:rsidRPr="004F66A7">
        <w:rPr>
          <w:lang w:val="fr-FR"/>
        </w:rPr>
        <w:t>c)</w:t>
      </w:r>
      <w:r w:rsidRPr="004F66A7">
        <w:rPr>
          <w:lang w:val="fr-FR"/>
        </w:rPr>
        <w:tab/>
        <w:t>Si un système vidéo d</w:t>
      </w:r>
      <w:r>
        <w:rPr>
          <w:lang w:val="fr-FR"/>
        </w:rPr>
        <w:t>’</w:t>
      </w:r>
      <w:r w:rsidRPr="004F66A7">
        <w:rPr>
          <w:lang w:val="fr-FR"/>
        </w:rPr>
        <w:t xml:space="preserve">aide aux manœuvres de stationnement est en fonctionnement. </w:t>
      </w:r>
    </w:p>
    <w:p w14:paraId="545D4086" w14:textId="305540C9" w:rsidR="00673CAB" w:rsidRPr="004F66A7" w:rsidRDefault="00673CAB" w:rsidP="005C4182">
      <w:pPr>
        <w:pStyle w:val="SingleTxtG"/>
        <w:ind w:left="2268"/>
        <w:rPr>
          <w:bCs/>
          <w:lang w:val="fr-FR"/>
        </w:rPr>
      </w:pPr>
      <w:r w:rsidRPr="004F66A7">
        <w:rPr>
          <w:lang w:val="fr-FR"/>
        </w:rPr>
        <w:t>Les feux de manœuvre doivent s</w:t>
      </w:r>
      <w:r>
        <w:rPr>
          <w:lang w:val="fr-FR"/>
        </w:rPr>
        <w:t>’</w:t>
      </w:r>
      <w:r w:rsidRPr="004F66A7">
        <w:rPr>
          <w:lang w:val="fr-FR"/>
        </w:rPr>
        <w:t>éteindre automatiquement lorsque la vitesse du véhicule en marche avant dépasse 15</w:t>
      </w:r>
      <w:r w:rsidR="005C4182">
        <w:rPr>
          <w:lang w:val="fr-FR"/>
        </w:rPr>
        <w:t> </w:t>
      </w:r>
      <w:r w:rsidRPr="004F66A7">
        <w:rPr>
          <w:lang w:val="fr-FR"/>
        </w:rPr>
        <w:t>km/h et doivent alors rester éteints jusqu</w:t>
      </w:r>
      <w:r>
        <w:rPr>
          <w:lang w:val="fr-FR"/>
        </w:rPr>
        <w:t>’</w:t>
      </w:r>
      <w:r w:rsidRPr="004F66A7">
        <w:rPr>
          <w:lang w:val="fr-FR"/>
        </w:rPr>
        <w:t>à ce que les conditions d</w:t>
      </w:r>
      <w:r>
        <w:rPr>
          <w:lang w:val="fr-FR"/>
        </w:rPr>
        <w:t>’</w:t>
      </w:r>
      <w:r w:rsidRPr="004F66A7">
        <w:rPr>
          <w:lang w:val="fr-FR"/>
        </w:rPr>
        <w:t>allumage soient remplies à nouveau.</w:t>
      </w:r>
    </w:p>
    <w:p w14:paraId="18813112" w14:textId="3DAA0423" w:rsidR="00673CAB" w:rsidRPr="004F66A7" w:rsidRDefault="00673CAB" w:rsidP="005C4182">
      <w:pPr>
        <w:pStyle w:val="SingleTxtG"/>
        <w:ind w:left="2268"/>
        <w:rPr>
          <w:bCs/>
          <w:lang w:val="fr-FR"/>
        </w:rPr>
      </w:pPr>
      <w:r w:rsidRPr="004F66A7">
        <w:rPr>
          <w:lang w:val="fr-FR"/>
        </w:rPr>
        <w:t>Remorques</w:t>
      </w:r>
      <w:r w:rsidR="005C4182">
        <w:rPr>
          <w:lang w:val="fr-FR"/>
        </w:rPr>
        <w:t> </w:t>
      </w:r>
      <w:r w:rsidRPr="004F66A7">
        <w:rPr>
          <w:lang w:val="fr-FR"/>
        </w:rPr>
        <w:t>: Les feux de manœuvre ne doivent pouvoir être allumés qu</w:t>
      </w:r>
      <w:r>
        <w:rPr>
          <w:lang w:val="fr-FR"/>
        </w:rPr>
        <w:t>’</w:t>
      </w:r>
      <w:r w:rsidRPr="004F66A7">
        <w:rPr>
          <w:lang w:val="fr-FR"/>
        </w:rPr>
        <w:t xml:space="preserve">avec les feux de position de la remorque et leur allumage doit être directement fonction de la vitesse de la remorque. </w:t>
      </w:r>
    </w:p>
    <w:p w14:paraId="2F443198" w14:textId="1CF886BA" w:rsidR="00673CAB" w:rsidRPr="004F66A7" w:rsidRDefault="00673CAB" w:rsidP="005C4182">
      <w:pPr>
        <w:pStyle w:val="SingleTxtG"/>
        <w:keepNext/>
        <w:ind w:left="2268"/>
        <w:rPr>
          <w:bCs/>
          <w:lang w:val="fr-FR"/>
        </w:rPr>
      </w:pPr>
      <w:r w:rsidRPr="004F66A7">
        <w:rPr>
          <w:lang w:val="fr-FR"/>
        </w:rPr>
        <w:t>Les feux de manœuvre ne doivent pouvoir s</w:t>
      </w:r>
      <w:r>
        <w:rPr>
          <w:lang w:val="fr-FR"/>
        </w:rPr>
        <w:t>’</w:t>
      </w:r>
      <w:r w:rsidRPr="004F66A7">
        <w:rPr>
          <w:lang w:val="fr-FR"/>
        </w:rPr>
        <w:t>allumer automatiquement que pour des manœuvres lentes jusqu</w:t>
      </w:r>
      <w:r>
        <w:rPr>
          <w:lang w:val="fr-FR"/>
        </w:rPr>
        <w:t>’</w:t>
      </w:r>
      <w:r w:rsidRPr="004F66A7">
        <w:rPr>
          <w:lang w:val="fr-FR"/>
        </w:rPr>
        <w:t>à une vitesse de 15</w:t>
      </w:r>
      <w:r w:rsidR="005C4182">
        <w:rPr>
          <w:lang w:val="fr-FR"/>
        </w:rPr>
        <w:t> </w:t>
      </w:r>
      <w:r w:rsidRPr="004F66A7">
        <w:rPr>
          <w:lang w:val="fr-FR"/>
        </w:rPr>
        <w:t>km/h si l</w:t>
      </w:r>
      <w:r>
        <w:rPr>
          <w:lang w:val="fr-FR"/>
        </w:rPr>
        <w:t>’</w:t>
      </w:r>
      <w:r w:rsidRPr="004F66A7">
        <w:rPr>
          <w:lang w:val="fr-FR"/>
        </w:rPr>
        <w:t>une des conditions suivantes est remplie</w:t>
      </w:r>
      <w:r w:rsidR="005C4182">
        <w:rPr>
          <w:lang w:val="fr-FR"/>
        </w:rPr>
        <w:t> </w:t>
      </w:r>
      <w:r w:rsidRPr="004F66A7">
        <w:rPr>
          <w:lang w:val="fr-FR"/>
        </w:rPr>
        <w:t>:</w:t>
      </w:r>
    </w:p>
    <w:p w14:paraId="662F5495" w14:textId="77777777" w:rsidR="00673CAB" w:rsidRPr="004F66A7" w:rsidRDefault="00673CAB" w:rsidP="005C4182">
      <w:pPr>
        <w:pStyle w:val="SingleTxtG"/>
        <w:ind w:left="2835" w:hanging="567"/>
        <w:rPr>
          <w:bCs/>
          <w:lang w:val="fr-FR"/>
        </w:rPr>
      </w:pPr>
      <w:r w:rsidRPr="004F66A7">
        <w:rPr>
          <w:lang w:val="fr-FR"/>
        </w:rPr>
        <w:t>a)</w:t>
      </w:r>
      <w:r w:rsidRPr="004F66A7">
        <w:rPr>
          <w:lang w:val="fr-FR"/>
        </w:rPr>
        <w:tab/>
        <w:t>Avant que la remorque soit mise en mouvement pour la première fois après chaque activation manuelle du système de propulsion du véhicule</w:t>
      </w:r>
      <w:r>
        <w:rPr>
          <w:lang w:val="fr-FR"/>
        </w:rPr>
        <w:t> </w:t>
      </w:r>
      <w:r w:rsidRPr="004F66A7">
        <w:rPr>
          <w:lang w:val="fr-FR"/>
        </w:rPr>
        <w:t>; ou</w:t>
      </w:r>
    </w:p>
    <w:p w14:paraId="40CCB318" w14:textId="4D1D0DA6" w:rsidR="00673CAB" w:rsidRPr="004F66A7" w:rsidRDefault="00673CAB" w:rsidP="005C4182">
      <w:pPr>
        <w:pStyle w:val="SingleTxtG"/>
        <w:ind w:left="2835" w:hanging="567"/>
        <w:rPr>
          <w:bCs/>
          <w:lang w:val="fr-FR"/>
        </w:rPr>
      </w:pPr>
      <w:r w:rsidRPr="004F66A7">
        <w:rPr>
          <w:lang w:val="fr-FR"/>
        </w:rPr>
        <w:lastRenderedPageBreak/>
        <w:t>b)</w:t>
      </w:r>
      <w:r w:rsidRPr="004F66A7">
        <w:rPr>
          <w:lang w:val="fr-FR"/>
        </w:rPr>
        <w:tab/>
        <w:t>Si le feu de marche arrière est allumé</w:t>
      </w:r>
      <w:r w:rsidR="005C4182">
        <w:rPr>
          <w:lang w:val="fr-FR"/>
        </w:rPr>
        <w:t> </w:t>
      </w:r>
      <w:r w:rsidRPr="004F66A7">
        <w:rPr>
          <w:lang w:val="fr-FR"/>
        </w:rPr>
        <w:t>; ou</w:t>
      </w:r>
    </w:p>
    <w:p w14:paraId="07FF66D4" w14:textId="77777777" w:rsidR="00673CAB" w:rsidRPr="004F66A7" w:rsidRDefault="00673CAB" w:rsidP="005C4182">
      <w:pPr>
        <w:pStyle w:val="SingleTxtG"/>
        <w:ind w:left="2835" w:hanging="567"/>
        <w:rPr>
          <w:bCs/>
          <w:lang w:val="fr-FR"/>
        </w:rPr>
      </w:pPr>
      <w:r w:rsidRPr="004F66A7">
        <w:rPr>
          <w:lang w:val="fr-FR"/>
        </w:rPr>
        <w:t>c)</w:t>
      </w:r>
      <w:r w:rsidRPr="004F66A7">
        <w:rPr>
          <w:lang w:val="fr-FR"/>
        </w:rPr>
        <w:tab/>
        <w:t>Si un système vidéo d</w:t>
      </w:r>
      <w:r>
        <w:rPr>
          <w:lang w:val="fr-FR"/>
        </w:rPr>
        <w:t>’</w:t>
      </w:r>
      <w:r w:rsidRPr="004F66A7">
        <w:rPr>
          <w:lang w:val="fr-FR"/>
        </w:rPr>
        <w:t xml:space="preserve">aide aux manœuvres de stationnement est en fonctionnement. </w:t>
      </w:r>
    </w:p>
    <w:p w14:paraId="6C1894F3" w14:textId="06FADCDB" w:rsidR="00673CAB" w:rsidRPr="004F66A7" w:rsidRDefault="00673CAB" w:rsidP="005C4182">
      <w:pPr>
        <w:pStyle w:val="SingleTxtG"/>
        <w:ind w:left="2268"/>
        <w:rPr>
          <w:b/>
          <w:bCs/>
          <w:lang w:val="fr-FR"/>
        </w:rPr>
      </w:pPr>
      <w:r w:rsidRPr="004F66A7">
        <w:rPr>
          <w:lang w:val="fr-FR"/>
        </w:rPr>
        <w:t>Les feux de manœuvre doivent s</w:t>
      </w:r>
      <w:r>
        <w:rPr>
          <w:lang w:val="fr-FR"/>
        </w:rPr>
        <w:t>’</w:t>
      </w:r>
      <w:r w:rsidRPr="004F66A7">
        <w:rPr>
          <w:lang w:val="fr-FR"/>
        </w:rPr>
        <w:t>éteindre automatiquement lorsque la vitesse de la remorque en marche avant dépasse 15 km/h et doivent alors rester éteints jusqu</w:t>
      </w:r>
      <w:r>
        <w:rPr>
          <w:lang w:val="fr-FR"/>
        </w:rPr>
        <w:t>’</w:t>
      </w:r>
      <w:r w:rsidRPr="004F66A7">
        <w:rPr>
          <w:lang w:val="fr-FR"/>
        </w:rPr>
        <w:t>à ce que les conditions d</w:t>
      </w:r>
      <w:r>
        <w:rPr>
          <w:lang w:val="fr-FR"/>
        </w:rPr>
        <w:t>’</w:t>
      </w:r>
      <w:r w:rsidRPr="004F66A7">
        <w:rPr>
          <w:lang w:val="fr-FR"/>
        </w:rPr>
        <w:t>allumage soient remplies à nouveau. ».</w:t>
      </w:r>
    </w:p>
    <w:p w14:paraId="0617287D" w14:textId="2D91A15D" w:rsidR="00673CAB" w:rsidRPr="004F66A7" w:rsidRDefault="005C4182" w:rsidP="005C4182">
      <w:pPr>
        <w:pStyle w:val="HChG"/>
        <w:rPr>
          <w:lang w:val="fr-FR"/>
        </w:rPr>
      </w:pPr>
      <w:r>
        <w:rPr>
          <w:lang w:val="fr-FR"/>
        </w:rPr>
        <w:tab/>
      </w:r>
      <w:r w:rsidR="00673CAB" w:rsidRPr="004F66A7">
        <w:rPr>
          <w:lang w:val="fr-FR"/>
        </w:rPr>
        <w:t>II.</w:t>
      </w:r>
      <w:r w:rsidR="00673CAB" w:rsidRPr="004F66A7">
        <w:rPr>
          <w:lang w:val="fr-FR"/>
        </w:rPr>
        <w:tab/>
        <w:t>Justification</w:t>
      </w:r>
    </w:p>
    <w:p w14:paraId="417900C7" w14:textId="76A2F69F" w:rsidR="00673CAB" w:rsidRPr="004F66A7" w:rsidRDefault="00673CAB" w:rsidP="005C4182">
      <w:pPr>
        <w:pStyle w:val="SingleTxtG"/>
        <w:rPr>
          <w:lang w:val="fr-FR"/>
        </w:rPr>
      </w:pPr>
      <w:r w:rsidRPr="004F66A7">
        <w:rPr>
          <w:lang w:val="fr-FR"/>
        </w:rPr>
        <w:t>1.</w:t>
      </w:r>
      <w:r w:rsidRPr="004F66A7">
        <w:rPr>
          <w:lang w:val="fr-FR"/>
        </w:rPr>
        <w:tab/>
        <w:t>La présente proposition de nouvelle série d</w:t>
      </w:r>
      <w:r>
        <w:rPr>
          <w:lang w:val="fr-FR"/>
        </w:rPr>
        <w:t>’</w:t>
      </w:r>
      <w:r w:rsidRPr="004F66A7">
        <w:rPr>
          <w:lang w:val="fr-FR"/>
        </w:rPr>
        <w:t>amendements au Règlement ONU n</w:t>
      </w:r>
      <w:r w:rsidRPr="004F66A7">
        <w:rPr>
          <w:vertAlign w:val="superscript"/>
          <w:lang w:val="fr-FR"/>
        </w:rPr>
        <w:t>o</w:t>
      </w:r>
      <w:r w:rsidR="005C4182">
        <w:rPr>
          <w:lang w:val="fr-FR"/>
        </w:rPr>
        <w:t> </w:t>
      </w:r>
      <w:r w:rsidRPr="004F66A7">
        <w:rPr>
          <w:lang w:val="fr-FR"/>
        </w:rPr>
        <w:t>48 (Installation des dispositifs d</w:t>
      </w:r>
      <w:r>
        <w:rPr>
          <w:lang w:val="fr-FR"/>
        </w:rPr>
        <w:t>’</w:t>
      </w:r>
      <w:r w:rsidRPr="004F66A7">
        <w:rPr>
          <w:lang w:val="fr-FR"/>
        </w:rPr>
        <w:t>éclairage et de signalisation lumineuse), soumise par l</w:t>
      </w:r>
      <w:r>
        <w:rPr>
          <w:lang w:val="fr-FR"/>
        </w:rPr>
        <w:t>’</w:t>
      </w:r>
      <w:r w:rsidRPr="004F66A7">
        <w:rPr>
          <w:lang w:val="fr-FR"/>
        </w:rPr>
        <w:t>expert de la CLCCR, vise à améliorer la visibilité globale des remorques et des ensembles de véhicules en augmentant le nombre de feux de manœuvre pouvant être installés en fonction de la longueur du véhicule. Une telle augmentation contribuera à réduire les risques d</w:t>
      </w:r>
      <w:r>
        <w:rPr>
          <w:lang w:val="fr-FR"/>
        </w:rPr>
        <w:t>’</w:t>
      </w:r>
      <w:r w:rsidRPr="004F66A7">
        <w:rPr>
          <w:lang w:val="fr-FR"/>
        </w:rPr>
        <w:t>accident en cas de manœuvre à petite vitesse dans des conditions de faible luminosité.</w:t>
      </w:r>
    </w:p>
    <w:p w14:paraId="5A1FA310" w14:textId="6C423BD3" w:rsidR="00673CAB" w:rsidRPr="004F66A7" w:rsidRDefault="00673CAB" w:rsidP="005C4182">
      <w:pPr>
        <w:pStyle w:val="SingleTxtG"/>
        <w:rPr>
          <w:lang w:val="fr-FR"/>
        </w:rPr>
      </w:pPr>
      <w:r w:rsidRPr="004F66A7">
        <w:rPr>
          <w:lang w:val="fr-FR"/>
        </w:rPr>
        <w:t>2.</w:t>
      </w:r>
      <w:r w:rsidRPr="004F66A7">
        <w:rPr>
          <w:lang w:val="fr-FR"/>
        </w:rPr>
        <w:tab/>
        <w:t>Comme indiqué au paragraphe 6.26.7 du document informel GRE-86-05-Rev.2, les feux de manœuvre des remorques doivent s</w:t>
      </w:r>
      <w:r>
        <w:rPr>
          <w:lang w:val="fr-FR"/>
        </w:rPr>
        <w:t>’</w:t>
      </w:r>
      <w:r w:rsidRPr="004F66A7">
        <w:rPr>
          <w:lang w:val="fr-FR"/>
        </w:rPr>
        <w:t>éteindre automatiquement lorsque la vitesse en marche avant est supérieure à 15</w:t>
      </w:r>
      <w:r w:rsidR="005C4182">
        <w:rPr>
          <w:lang w:val="fr-FR"/>
        </w:rPr>
        <w:t> </w:t>
      </w:r>
      <w:r w:rsidRPr="004F66A7">
        <w:rPr>
          <w:lang w:val="fr-FR"/>
        </w:rPr>
        <w:t>km/h et rester éteints jusqu</w:t>
      </w:r>
      <w:r>
        <w:rPr>
          <w:lang w:val="fr-FR"/>
        </w:rPr>
        <w:t>’</w:t>
      </w:r>
      <w:r w:rsidRPr="004F66A7">
        <w:rPr>
          <w:lang w:val="fr-FR"/>
        </w:rPr>
        <w:t>à ce que les conditions d</w:t>
      </w:r>
      <w:r>
        <w:rPr>
          <w:lang w:val="fr-FR"/>
        </w:rPr>
        <w:t>’</w:t>
      </w:r>
      <w:r w:rsidRPr="004F66A7">
        <w:rPr>
          <w:lang w:val="fr-FR"/>
        </w:rPr>
        <w:t>allumage soient de nouveau réunies. Aux fins de la compatibilité entre les véhicules composant un ensemble de véhicules, l</w:t>
      </w:r>
      <w:r>
        <w:rPr>
          <w:lang w:val="fr-FR"/>
        </w:rPr>
        <w:t>’</w:t>
      </w:r>
      <w:r w:rsidRPr="004F66A7">
        <w:rPr>
          <w:lang w:val="fr-FR"/>
        </w:rPr>
        <w:t>allumage des feux doit être directement fonction de la vitesse de la remorque (et non du véhicule tracteur).</w:t>
      </w:r>
    </w:p>
    <w:p w14:paraId="0ABF95AD" w14:textId="0ACE5D6B" w:rsidR="00673CAB" w:rsidRPr="004F66A7" w:rsidRDefault="00673CAB" w:rsidP="005C4182">
      <w:pPr>
        <w:pStyle w:val="SingleTxtG"/>
        <w:rPr>
          <w:lang w:val="fr-FR"/>
        </w:rPr>
      </w:pPr>
      <w:r w:rsidRPr="004F66A7">
        <w:rPr>
          <w:lang w:val="fr-FR"/>
        </w:rPr>
        <w:t>3.</w:t>
      </w:r>
      <w:r w:rsidRPr="004F66A7">
        <w:rPr>
          <w:lang w:val="fr-FR"/>
        </w:rPr>
        <w:tab/>
        <w:t>En réponse aux observations formulées par certaines Parties contractantes à la quatre</w:t>
      </w:r>
      <w:r w:rsidR="005C4182">
        <w:rPr>
          <w:lang w:val="fr-FR"/>
        </w:rPr>
        <w:noBreakHyphen/>
      </w:r>
      <w:r w:rsidRPr="004F66A7">
        <w:rPr>
          <w:lang w:val="fr-FR"/>
        </w:rPr>
        <w:t>vingt</w:t>
      </w:r>
      <w:r w:rsidR="005C4182">
        <w:rPr>
          <w:lang w:val="fr-FR"/>
        </w:rPr>
        <w:noBreakHyphen/>
      </w:r>
      <w:r w:rsidRPr="004F66A7">
        <w:rPr>
          <w:lang w:val="fr-FR"/>
        </w:rPr>
        <w:t>sixième session du Groupe de travail de l</w:t>
      </w:r>
      <w:r>
        <w:rPr>
          <w:lang w:val="fr-FR"/>
        </w:rPr>
        <w:t>’</w:t>
      </w:r>
      <w:r w:rsidRPr="004F66A7">
        <w:rPr>
          <w:lang w:val="fr-FR"/>
        </w:rPr>
        <w:t>éclairage et de la signalisation lumineuse, il a été suggéré de limiter le nombre de feux de manœuvre pouvant être installés en fonction de la longueur du véhicule. La présente proposition reprend les longueurs communes déjà prescrites pour les feux indicateurs de direction. On trouve également la limite de 6</w:t>
      </w:r>
      <w:r w:rsidR="005C4182">
        <w:rPr>
          <w:lang w:val="fr-FR"/>
        </w:rPr>
        <w:t> </w:t>
      </w:r>
      <w:r w:rsidRPr="004F66A7">
        <w:rPr>
          <w:lang w:val="fr-FR"/>
        </w:rPr>
        <w:t>m dans les prescriptions relatives aux feux de position latéraux et aux catadioptres latéraux.</w:t>
      </w:r>
    </w:p>
    <w:p w14:paraId="72DDC0CC" w14:textId="77777777" w:rsidR="00673CAB" w:rsidRPr="004F66A7" w:rsidRDefault="00673CAB" w:rsidP="005C4182">
      <w:pPr>
        <w:pStyle w:val="SingleTxtG"/>
        <w:rPr>
          <w:lang w:val="fr-FR"/>
        </w:rPr>
      </w:pPr>
      <w:r w:rsidRPr="004F66A7">
        <w:rPr>
          <w:lang w:val="fr-FR"/>
        </w:rPr>
        <w:t>4.</w:t>
      </w:r>
      <w:r w:rsidRPr="004F66A7">
        <w:rPr>
          <w:lang w:val="fr-FR"/>
        </w:rPr>
        <w:tab/>
        <w:t>Informations générales de référence</w:t>
      </w:r>
    </w:p>
    <w:p w14:paraId="403A3FBB" w14:textId="24A67BFF" w:rsidR="00673CAB" w:rsidRPr="004F66A7" w:rsidRDefault="00673CAB" w:rsidP="005C4182">
      <w:pPr>
        <w:pStyle w:val="SingleTxtG"/>
        <w:ind w:left="1701" w:hanging="567"/>
        <w:rPr>
          <w:lang w:val="fr-FR"/>
        </w:rPr>
      </w:pPr>
      <w:r w:rsidRPr="004F66A7">
        <w:rPr>
          <w:lang w:val="fr-FR"/>
        </w:rPr>
        <w:t>4.1</w:t>
      </w:r>
      <w:r w:rsidRPr="004F66A7">
        <w:rPr>
          <w:lang w:val="fr-FR"/>
        </w:rPr>
        <w:tab/>
      </w:r>
      <w:r w:rsidRPr="004F66A7">
        <w:rPr>
          <w:i/>
          <w:iCs/>
          <w:lang w:val="fr-FR"/>
        </w:rPr>
        <w:t>Workplace transport safety: a brief guide (Health &amp; Safety Executive (HSE), series code INDG199(rev2), Royaume-Uni de Grande-Bretagne et d</w:t>
      </w:r>
      <w:r>
        <w:rPr>
          <w:i/>
          <w:iCs/>
          <w:lang w:val="fr-FR"/>
        </w:rPr>
        <w:t>’</w:t>
      </w:r>
      <w:r w:rsidRPr="004F66A7">
        <w:rPr>
          <w:i/>
          <w:iCs/>
          <w:lang w:val="fr-FR"/>
        </w:rPr>
        <w:t>Irlande du Nord)</w:t>
      </w:r>
      <w:r w:rsidRPr="006C680F">
        <w:rPr>
          <w:rStyle w:val="Appelnotedebasdep"/>
        </w:rPr>
        <w:footnoteReference w:id="3"/>
      </w:r>
      <w:r w:rsidRPr="004F66A7">
        <w:rPr>
          <w:i/>
          <w:iCs/>
          <w:lang w:val="fr-FR"/>
        </w:rPr>
        <w:t xml:space="preserve"> (extraits)</w:t>
      </w:r>
      <w:r w:rsidR="005C4182">
        <w:rPr>
          <w:i/>
          <w:iCs/>
          <w:lang w:val="fr-FR"/>
        </w:rPr>
        <w:t> </w:t>
      </w:r>
      <w:r w:rsidRPr="005C4182">
        <w:rPr>
          <w:lang w:val="fr-FR"/>
        </w:rPr>
        <w:t>:</w:t>
      </w:r>
    </w:p>
    <w:p w14:paraId="15ABB8E3" w14:textId="77777777" w:rsidR="00673CAB" w:rsidRPr="004F66A7" w:rsidRDefault="00673CAB" w:rsidP="005C4182">
      <w:pPr>
        <w:pStyle w:val="SingleTxtG"/>
        <w:ind w:left="1701" w:hanging="567"/>
        <w:rPr>
          <w:lang w:val="fr-FR"/>
        </w:rPr>
      </w:pPr>
      <w:r w:rsidRPr="004F66A7">
        <w:rPr>
          <w:lang w:val="fr-FR"/>
        </w:rPr>
        <w:t>a)</w:t>
      </w:r>
      <w:r w:rsidRPr="004F66A7">
        <w:rPr>
          <w:lang w:val="fr-FR"/>
        </w:rPr>
        <w:tab/>
        <w:t>Chaque année, au Royaume-Uni, on dénombre plus de 5 000 accidents professionnels liés aux transports. Une cinquantaine de ces accidents sont mortels (www.hse.gov.uk/statistics). La plupart des blessures surviennent lorsque les victimes chutent d</w:t>
      </w:r>
      <w:r>
        <w:rPr>
          <w:lang w:val="fr-FR"/>
        </w:rPr>
        <w:t>’</w:t>
      </w:r>
      <w:r w:rsidRPr="004F66A7">
        <w:rPr>
          <w:lang w:val="fr-FR"/>
        </w:rPr>
        <w:t>un véhicule ou sont heurtées ou écrasées par un véhicule.</w:t>
      </w:r>
    </w:p>
    <w:p w14:paraId="77E088AB" w14:textId="77777777" w:rsidR="00673CAB" w:rsidRPr="004F66A7" w:rsidRDefault="00673CAB" w:rsidP="005C4182">
      <w:pPr>
        <w:pStyle w:val="SingleTxtG"/>
        <w:ind w:left="1701" w:hanging="567"/>
        <w:rPr>
          <w:lang w:val="fr-FR"/>
        </w:rPr>
      </w:pPr>
      <w:r w:rsidRPr="004F66A7">
        <w:rPr>
          <w:lang w:val="fr-FR"/>
        </w:rPr>
        <w:t>b)</w:t>
      </w:r>
      <w:r w:rsidRPr="004F66A7">
        <w:rPr>
          <w:lang w:val="fr-FR"/>
        </w:rPr>
        <w:tab/>
        <w:t>Éclairage</w:t>
      </w:r>
    </w:p>
    <w:p w14:paraId="7BE80EC4" w14:textId="77777777" w:rsidR="00673CAB" w:rsidRPr="004F66A7" w:rsidRDefault="00673CAB" w:rsidP="005C4182">
      <w:pPr>
        <w:pStyle w:val="SingleTxtG"/>
        <w:ind w:left="1701"/>
        <w:rPr>
          <w:lang w:val="fr-FR"/>
        </w:rPr>
      </w:pPr>
      <w:r w:rsidRPr="004F66A7">
        <w:rPr>
          <w:lang w:val="fr-FR"/>
        </w:rPr>
        <w:t>Tout lieu de travail devrait disposer d</w:t>
      </w:r>
      <w:r>
        <w:rPr>
          <w:lang w:val="fr-FR"/>
        </w:rPr>
        <w:t>’</w:t>
      </w:r>
      <w:r w:rsidRPr="004F66A7">
        <w:rPr>
          <w:lang w:val="fr-FR"/>
        </w:rPr>
        <w:t>un éclairage approprié et suffisant, en particulier</w:t>
      </w:r>
      <w:r>
        <w:rPr>
          <w:lang w:val="fr-FR"/>
        </w:rPr>
        <w:t> </w:t>
      </w:r>
      <w:r w:rsidRPr="004F66A7">
        <w:rPr>
          <w:lang w:val="fr-FR"/>
        </w:rPr>
        <w:t>:</w:t>
      </w:r>
    </w:p>
    <w:p w14:paraId="108B5EC8" w14:textId="0196F92D" w:rsidR="00673CAB" w:rsidRPr="004F66A7" w:rsidRDefault="00673CAB" w:rsidP="005C4182">
      <w:pPr>
        <w:pStyle w:val="Bullet1G"/>
        <w:rPr>
          <w:lang w:val="fr-FR"/>
        </w:rPr>
      </w:pPr>
      <w:r w:rsidRPr="004F66A7">
        <w:rPr>
          <w:lang w:val="fr-FR"/>
        </w:rPr>
        <w:t>Dans les zones de manœuvre ou les zones de circulation et de croisement des véhicules et des piétons</w:t>
      </w:r>
      <w:r w:rsidR="005C4182">
        <w:rPr>
          <w:lang w:val="fr-FR"/>
        </w:rPr>
        <w:t> </w:t>
      </w:r>
      <w:r w:rsidRPr="004F66A7">
        <w:rPr>
          <w:lang w:val="fr-FR"/>
        </w:rPr>
        <w:t xml:space="preserve">; </w:t>
      </w:r>
    </w:p>
    <w:p w14:paraId="4DBFCF95" w14:textId="29A41259" w:rsidR="00673CAB" w:rsidRPr="004F66A7" w:rsidRDefault="00673CAB" w:rsidP="005C4182">
      <w:pPr>
        <w:pStyle w:val="Bullet1G"/>
        <w:rPr>
          <w:lang w:val="fr-FR"/>
        </w:rPr>
      </w:pPr>
      <w:r w:rsidRPr="004F66A7">
        <w:rPr>
          <w:lang w:val="fr-FR"/>
        </w:rPr>
        <w:t>Dans les lieux de chargement et de déchargement.</w:t>
      </w:r>
    </w:p>
    <w:p w14:paraId="528B786B" w14:textId="77777777" w:rsidR="00673CAB" w:rsidRPr="004F66A7" w:rsidRDefault="00673CAB" w:rsidP="005C4182">
      <w:pPr>
        <w:pStyle w:val="SingleTxtG"/>
        <w:ind w:left="1701" w:hanging="567"/>
        <w:rPr>
          <w:lang w:val="fr-FR"/>
        </w:rPr>
      </w:pPr>
      <w:r w:rsidRPr="004F66A7">
        <w:rPr>
          <w:lang w:val="fr-FR"/>
        </w:rPr>
        <w:t>c)</w:t>
      </w:r>
      <w:r w:rsidRPr="004F66A7">
        <w:rPr>
          <w:lang w:val="fr-FR"/>
        </w:rPr>
        <w:tab/>
        <w:t>Sécurité des sites (activité) − Marche arrière</w:t>
      </w:r>
    </w:p>
    <w:p w14:paraId="4B979349" w14:textId="77777777" w:rsidR="00673CAB" w:rsidRPr="004F66A7" w:rsidRDefault="00673CAB" w:rsidP="005C4182">
      <w:pPr>
        <w:pStyle w:val="SingleTxtG"/>
        <w:ind w:left="1701"/>
        <w:rPr>
          <w:lang w:val="fr-FR"/>
        </w:rPr>
      </w:pPr>
      <w:r w:rsidRPr="004F66A7">
        <w:rPr>
          <w:lang w:val="fr-FR"/>
        </w:rPr>
        <w:t>Environ un quart des décès liés à des véhicules sur le lieu de travail se produisent lorsque le véhicule circule en marche arrière. Ces manœuvres peuvent également entraîner des dégâts considérables sur les véhicules, le matériel et les biens immobiliers.</w:t>
      </w:r>
    </w:p>
    <w:p w14:paraId="10FA3F60" w14:textId="77777777" w:rsidR="00673CAB" w:rsidRPr="004F66A7" w:rsidRDefault="00673CAB" w:rsidP="005C4182">
      <w:pPr>
        <w:pStyle w:val="SingleTxtG"/>
        <w:ind w:left="1701"/>
        <w:rPr>
          <w:lang w:val="fr-FR"/>
        </w:rPr>
      </w:pPr>
      <w:r w:rsidRPr="004F66A7">
        <w:rPr>
          <w:lang w:val="fr-FR"/>
        </w:rPr>
        <w:lastRenderedPageBreak/>
        <w:t xml:space="preserve">Le moyen le plus efficace de réduire les accidents liés à la circulation en marche arrière est de faire en sorte que cette manœuvre ne soit plus nécessaire, par exemple au moyen de plans de circulation à sens unique. À défaut, les sites doivent être organisés de manière à réduire au minimum le recours à la marche arrière. </w:t>
      </w:r>
    </w:p>
    <w:p w14:paraId="6B5DEFE8" w14:textId="07987688" w:rsidR="00673CAB" w:rsidRPr="004F66A7" w:rsidRDefault="00673CAB" w:rsidP="005C4182">
      <w:pPr>
        <w:pStyle w:val="SingleTxtG"/>
        <w:keepNext/>
        <w:ind w:left="1701"/>
        <w:rPr>
          <w:lang w:val="fr-FR"/>
        </w:rPr>
      </w:pPr>
      <w:r w:rsidRPr="004F66A7">
        <w:rPr>
          <w:lang w:val="fr-FR"/>
        </w:rPr>
        <w:t>Si cette manœuvre est nécessaire, les mesures suivantes peuvent être prises</w:t>
      </w:r>
      <w:r w:rsidR="005C4182">
        <w:rPr>
          <w:lang w:val="fr-FR"/>
        </w:rPr>
        <w:t> </w:t>
      </w:r>
      <w:r w:rsidRPr="004F66A7">
        <w:rPr>
          <w:lang w:val="fr-FR"/>
        </w:rPr>
        <w:t>:</w:t>
      </w:r>
    </w:p>
    <w:p w14:paraId="0DC993AA" w14:textId="41B90A73" w:rsidR="00673CAB" w:rsidRPr="004F66A7" w:rsidRDefault="00673CAB" w:rsidP="005C4182">
      <w:pPr>
        <w:pStyle w:val="Bullet1G"/>
        <w:rPr>
          <w:lang w:val="fr-FR"/>
        </w:rPr>
      </w:pPr>
      <w:r w:rsidRPr="004F66A7">
        <w:rPr>
          <w:lang w:val="fr-FR"/>
        </w:rPr>
        <w:t>Installer des barrières pour empêcher les véhicules de pénétrer dans les zones piétonnes</w:t>
      </w:r>
      <w:r w:rsidR="005C4182">
        <w:rPr>
          <w:lang w:val="fr-FR"/>
        </w:rPr>
        <w:t> </w:t>
      </w:r>
      <w:r w:rsidRPr="004F66A7">
        <w:rPr>
          <w:lang w:val="fr-FR"/>
        </w:rPr>
        <w:t>;</w:t>
      </w:r>
    </w:p>
    <w:p w14:paraId="0932A851" w14:textId="19313631" w:rsidR="00673CAB" w:rsidRPr="004F66A7" w:rsidRDefault="00673CAB" w:rsidP="005C4182">
      <w:pPr>
        <w:pStyle w:val="Bullet1G"/>
        <w:rPr>
          <w:lang w:val="fr-FR"/>
        </w:rPr>
      </w:pPr>
      <w:r w:rsidRPr="004F66A7">
        <w:rPr>
          <w:lang w:val="fr-FR"/>
        </w:rPr>
        <w:t>Prévoir des zones réservées aux manœuvres de marche arrière et les marquer clairement</w:t>
      </w:r>
      <w:r w:rsidR="005C4182">
        <w:rPr>
          <w:lang w:val="fr-FR"/>
        </w:rPr>
        <w:t> </w:t>
      </w:r>
      <w:r w:rsidRPr="004F66A7">
        <w:rPr>
          <w:lang w:val="fr-FR"/>
        </w:rPr>
        <w:t>;</w:t>
      </w:r>
    </w:p>
    <w:p w14:paraId="776FF0CE" w14:textId="55E9A7C5" w:rsidR="00673CAB" w:rsidRPr="004F66A7" w:rsidRDefault="00673CAB" w:rsidP="005C4182">
      <w:pPr>
        <w:pStyle w:val="Bullet1G"/>
        <w:rPr>
          <w:lang w:val="fr-FR"/>
        </w:rPr>
      </w:pPr>
      <w:r w:rsidRPr="004F66A7">
        <w:rPr>
          <w:lang w:val="fr-FR"/>
        </w:rPr>
        <w:t>Tenir les personnes éloignées de ces zones et des manœuvres de marche arrière</w:t>
      </w:r>
      <w:r w:rsidR="005C4182">
        <w:rPr>
          <w:lang w:val="fr-FR"/>
        </w:rPr>
        <w:t> </w:t>
      </w:r>
      <w:r w:rsidRPr="004F66A7">
        <w:rPr>
          <w:lang w:val="fr-FR"/>
        </w:rPr>
        <w:t>;</w:t>
      </w:r>
    </w:p>
    <w:p w14:paraId="1C7616AF" w14:textId="50A7D178" w:rsidR="00673CAB" w:rsidRPr="004F66A7" w:rsidRDefault="00673CAB" w:rsidP="005C4182">
      <w:pPr>
        <w:pStyle w:val="Bullet1G"/>
        <w:rPr>
          <w:lang w:val="fr-FR"/>
        </w:rPr>
      </w:pPr>
      <w:r w:rsidRPr="004F66A7">
        <w:rPr>
          <w:lang w:val="fr-FR"/>
        </w:rPr>
        <w:t>Utiliser des radios portatives ou des systèmes de communication analogues</w:t>
      </w:r>
      <w:r w:rsidR="005C4182">
        <w:rPr>
          <w:lang w:val="fr-FR"/>
        </w:rPr>
        <w:t> </w:t>
      </w:r>
      <w:r w:rsidRPr="004F66A7">
        <w:rPr>
          <w:lang w:val="fr-FR"/>
        </w:rPr>
        <w:t>;</w:t>
      </w:r>
    </w:p>
    <w:p w14:paraId="7950F72F" w14:textId="34B94310" w:rsidR="00673CAB" w:rsidRPr="004F66A7" w:rsidRDefault="00673CAB" w:rsidP="005C4182">
      <w:pPr>
        <w:pStyle w:val="Bullet1G"/>
        <w:rPr>
          <w:lang w:val="fr-FR"/>
        </w:rPr>
      </w:pPr>
      <w:r w:rsidRPr="004F66A7">
        <w:rPr>
          <w:lang w:val="fr-FR"/>
        </w:rPr>
        <w:t>Améliorer la visibilité des piétons pour les conducteurs</w:t>
      </w:r>
      <w:r w:rsidR="005C4182">
        <w:rPr>
          <w:lang w:val="fr-FR"/>
        </w:rPr>
        <w:t> </w:t>
      </w:r>
      <w:r w:rsidRPr="004F66A7">
        <w:rPr>
          <w:lang w:val="fr-FR"/>
        </w:rPr>
        <w:t>;</w:t>
      </w:r>
    </w:p>
    <w:p w14:paraId="3227CE72" w14:textId="3CB4FD0B" w:rsidR="00673CAB" w:rsidRPr="004F66A7" w:rsidRDefault="00673CAB" w:rsidP="005C4182">
      <w:pPr>
        <w:pStyle w:val="Bullet1G"/>
        <w:rPr>
          <w:lang w:val="fr-FR"/>
        </w:rPr>
      </w:pPr>
      <w:r w:rsidRPr="004F66A7">
        <w:rPr>
          <w:lang w:val="fr-FR"/>
        </w:rPr>
        <w:t>Installer sur les véhicules des dispositifs d</w:t>
      </w:r>
      <w:r>
        <w:rPr>
          <w:lang w:val="fr-FR"/>
        </w:rPr>
        <w:t>’</w:t>
      </w:r>
      <w:r w:rsidRPr="004F66A7">
        <w:rPr>
          <w:lang w:val="fr-FR"/>
        </w:rPr>
        <w:t>aide à la conduite.</w:t>
      </w:r>
    </w:p>
    <w:p w14:paraId="3C27B55E" w14:textId="4C909241" w:rsidR="00673CAB" w:rsidRPr="004F66A7" w:rsidRDefault="00673CAB" w:rsidP="005C4182">
      <w:pPr>
        <w:pStyle w:val="SingleTxtG"/>
        <w:keepNext/>
        <w:ind w:left="1701" w:hanging="567"/>
        <w:rPr>
          <w:lang w:val="fr-FR"/>
        </w:rPr>
      </w:pPr>
      <w:r w:rsidRPr="004F66A7">
        <w:rPr>
          <w:lang w:val="fr-FR"/>
        </w:rPr>
        <w:t>4.2</w:t>
      </w:r>
      <w:r w:rsidRPr="004F66A7">
        <w:rPr>
          <w:lang w:val="fr-FR"/>
        </w:rPr>
        <w:tab/>
      </w:r>
      <w:r w:rsidRPr="004F66A7">
        <w:rPr>
          <w:i/>
          <w:iCs/>
          <w:lang w:val="fr-FR"/>
        </w:rPr>
        <w:t>A guide to workplace transport safety (Health &amp; Safety Executive (HSE), series code HSG136 (3e édition), Royaume-Uni de Grande-Bretagne et d</w:t>
      </w:r>
      <w:r>
        <w:rPr>
          <w:i/>
          <w:iCs/>
          <w:lang w:val="fr-FR"/>
        </w:rPr>
        <w:t>’</w:t>
      </w:r>
      <w:r w:rsidRPr="004F66A7">
        <w:rPr>
          <w:i/>
          <w:iCs/>
          <w:lang w:val="fr-FR"/>
        </w:rPr>
        <w:t>Irlande du Nord)</w:t>
      </w:r>
      <w:r w:rsidRPr="00F37A68">
        <w:rPr>
          <w:vertAlign w:val="superscript"/>
          <w:lang w:val="fr-FR"/>
        </w:rPr>
        <w:t>1</w:t>
      </w:r>
      <w:r w:rsidRPr="004F66A7">
        <w:rPr>
          <w:i/>
          <w:iCs/>
          <w:lang w:val="fr-FR"/>
        </w:rPr>
        <w:t xml:space="preserve"> (extraits)</w:t>
      </w:r>
      <w:r w:rsidR="005C4182">
        <w:rPr>
          <w:lang w:val="fr-FR"/>
        </w:rPr>
        <w:t> </w:t>
      </w:r>
      <w:r w:rsidRPr="005C4182">
        <w:rPr>
          <w:lang w:val="fr-FR"/>
        </w:rPr>
        <w:t>:</w:t>
      </w:r>
      <w:r w:rsidRPr="004F66A7">
        <w:rPr>
          <w:lang w:val="fr-FR"/>
        </w:rPr>
        <w:t xml:space="preserve"> </w:t>
      </w:r>
    </w:p>
    <w:p w14:paraId="5A65BBB3" w14:textId="77777777" w:rsidR="00673CAB" w:rsidRPr="004F66A7" w:rsidRDefault="00673CAB" w:rsidP="00F37A68">
      <w:pPr>
        <w:pStyle w:val="SingleTxtG"/>
        <w:ind w:left="1701"/>
        <w:rPr>
          <w:lang w:val="fr-FR"/>
        </w:rPr>
      </w:pPr>
      <w:r w:rsidRPr="004F66A7">
        <w:rPr>
          <w:lang w:val="fr-FR"/>
        </w:rPr>
        <w:t>Visibilité des véhicules et aides à la marche arrière</w:t>
      </w:r>
    </w:p>
    <w:p w14:paraId="0BDEB918" w14:textId="2C110B59" w:rsidR="00673CAB" w:rsidRPr="004F66A7" w:rsidRDefault="00673CAB" w:rsidP="00F37A68">
      <w:pPr>
        <w:pStyle w:val="Bullet1G"/>
        <w:rPr>
          <w:lang w:val="fr-FR"/>
        </w:rPr>
      </w:pPr>
      <w:r w:rsidRPr="004F66A7">
        <w:rPr>
          <w:lang w:val="fr-FR"/>
        </w:rPr>
        <w:t>Il importe que les conducteurs puissent voir clairement ce qui se trouve à proximité de leur véhicule, afin de détecter les dangers et de les éviter.</w:t>
      </w:r>
    </w:p>
    <w:p w14:paraId="7A6F72E1" w14:textId="144AC3F9" w:rsidR="00673CAB" w:rsidRPr="004F66A7" w:rsidRDefault="00673CAB" w:rsidP="00F37A68">
      <w:pPr>
        <w:pStyle w:val="Bullet1G"/>
        <w:rPr>
          <w:lang w:val="fr-FR"/>
        </w:rPr>
      </w:pPr>
      <w:r w:rsidRPr="004F66A7">
        <w:rPr>
          <w:lang w:val="fr-FR"/>
        </w:rPr>
        <w:t>En outre, les véhicules devraient être clairement visibles pour les piétons et les autres véhicules sur le lieu de travail. On peut donc ajouter, par exemple, des feux, des réflecteurs, des feux clignotants ou des gyrophares (ainsi que des klaxons pour permettre aux conducteurs de signaler l</w:t>
      </w:r>
      <w:r>
        <w:rPr>
          <w:lang w:val="fr-FR"/>
        </w:rPr>
        <w:t>’</w:t>
      </w:r>
      <w:r w:rsidRPr="004F66A7">
        <w:rPr>
          <w:lang w:val="fr-FR"/>
        </w:rPr>
        <w:t>approche du véhicule).</w:t>
      </w:r>
    </w:p>
    <w:p w14:paraId="2097258A" w14:textId="1BBCB861" w:rsidR="00673CAB" w:rsidRDefault="00673CAB" w:rsidP="00F37A68">
      <w:pPr>
        <w:pStyle w:val="SingleTxtG"/>
        <w:rPr>
          <w:lang w:val="fr-FR"/>
        </w:rPr>
      </w:pPr>
      <w:r w:rsidRPr="004F66A7">
        <w:rPr>
          <w:lang w:val="fr-FR"/>
        </w:rPr>
        <w:t>5.</w:t>
      </w:r>
      <w:r w:rsidRPr="004F66A7">
        <w:rPr>
          <w:lang w:val="fr-FR"/>
        </w:rPr>
        <w:tab/>
        <w:t>Dans l</w:t>
      </w:r>
      <w:r>
        <w:rPr>
          <w:lang w:val="fr-FR"/>
        </w:rPr>
        <w:t>’</w:t>
      </w:r>
      <w:r w:rsidRPr="004F66A7">
        <w:rPr>
          <w:lang w:val="fr-FR"/>
        </w:rPr>
        <w:t>Union européenne, de plus en plus d</w:t>
      </w:r>
      <w:r>
        <w:rPr>
          <w:lang w:val="fr-FR"/>
        </w:rPr>
        <w:t>’</w:t>
      </w:r>
      <w:r w:rsidRPr="004F66A7">
        <w:rPr>
          <w:lang w:val="fr-FR"/>
        </w:rPr>
        <w:t>entreprises et de transporteurs de marchandises montent des feux de manœuvre sur les remorques et les ensembles de véhicules après l</w:t>
      </w:r>
      <w:r>
        <w:rPr>
          <w:lang w:val="fr-FR"/>
        </w:rPr>
        <w:t>’</w:t>
      </w:r>
      <w:r w:rsidRPr="004F66A7">
        <w:rPr>
          <w:lang w:val="fr-FR"/>
        </w:rPr>
        <w:t>immatriculation, pour que les conducteurs et les autres travailleurs soient mieux à même de détecter la proximité de véhicules circulant à petite vitesse. Ce point est particulièrement important lorsqu</w:t>
      </w:r>
      <w:r>
        <w:rPr>
          <w:lang w:val="fr-FR"/>
        </w:rPr>
        <w:t>’</w:t>
      </w:r>
      <w:r w:rsidRPr="004F66A7">
        <w:rPr>
          <w:lang w:val="fr-FR"/>
        </w:rPr>
        <w:t>une remorque longue effectue une marche arrière. La présente proposition vise à autoriser le montage de feux de manœuvre supplémentaires, en fonction de la longueur du véhicule, au stade de l</w:t>
      </w:r>
      <w:r>
        <w:rPr>
          <w:lang w:val="fr-FR"/>
        </w:rPr>
        <w:t>’</w:t>
      </w:r>
      <w:r w:rsidRPr="004F66A7">
        <w:rPr>
          <w:lang w:val="fr-FR"/>
        </w:rPr>
        <w:t>homologation de type.</w:t>
      </w:r>
    </w:p>
    <w:p w14:paraId="31FA1098" w14:textId="615B6943" w:rsidR="00F37A68" w:rsidRPr="00F37A68" w:rsidRDefault="00F37A68" w:rsidP="00F37A6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37A68" w:rsidRPr="00F37A68" w:rsidSect="00673C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7102" w14:textId="77777777" w:rsidR="00381FAF" w:rsidRDefault="00381FAF" w:rsidP="00F95C08">
      <w:pPr>
        <w:spacing w:line="240" w:lineRule="auto"/>
      </w:pPr>
    </w:p>
  </w:endnote>
  <w:endnote w:type="continuationSeparator" w:id="0">
    <w:p w14:paraId="0A31CED7" w14:textId="77777777" w:rsidR="00381FAF" w:rsidRPr="00AC3823" w:rsidRDefault="00381FAF" w:rsidP="00AC3823">
      <w:pPr>
        <w:pStyle w:val="Pieddepage"/>
      </w:pPr>
    </w:p>
  </w:endnote>
  <w:endnote w:type="continuationNotice" w:id="1">
    <w:p w14:paraId="1FD76829" w14:textId="77777777" w:rsidR="00381FAF" w:rsidRDefault="00381F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FEA8" w14:textId="53D0C7EE" w:rsidR="00673CAB" w:rsidRPr="00673CAB" w:rsidRDefault="00673CAB" w:rsidP="00673CAB">
    <w:pPr>
      <w:pStyle w:val="Pieddepage"/>
      <w:tabs>
        <w:tab w:val="right" w:pos="9638"/>
      </w:tabs>
    </w:pPr>
    <w:r w:rsidRPr="00673CAB">
      <w:rPr>
        <w:b/>
        <w:sz w:val="18"/>
      </w:rPr>
      <w:fldChar w:fldCharType="begin"/>
    </w:r>
    <w:r w:rsidRPr="00673CAB">
      <w:rPr>
        <w:b/>
        <w:sz w:val="18"/>
      </w:rPr>
      <w:instrText xml:space="preserve"> PAGE  \* MERGEFORMAT </w:instrText>
    </w:r>
    <w:r w:rsidRPr="00673CAB">
      <w:rPr>
        <w:b/>
        <w:sz w:val="18"/>
      </w:rPr>
      <w:fldChar w:fldCharType="separate"/>
    </w:r>
    <w:r w:rsidRPr="00673CAB">
      <w:rPr>
        <w:b/>
        <w:noProof/>
        <w:sz w:val="18"/>
      </w:rPr>
      <w:t>2</w:t>
    </w:r>
    <w:r w:rsidRPr="00673CAB">
      <w:rPr>
        <w:b/>
        <w:sz w:val="18"/>
      </w:rPr>
      <w:fldChar w:fldCharType="end"/>
    </w:r>
    <w:r>
      <w:rPr>
        <w:b/>
        <w:sz w:val="18"/>
      </w:rPr>
      <w:tab/>
    </w:r>
    <w:r>
      <w:t>GE.22-11854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681C" w14:textId="68D1C124" w:rsidR="00673CAB" w:rsidRPr="00673CAB" w:rsidRDefault="00673CAB" w:rsidP="00673CAB">
    <w:pPr>
      <w:pStyle w:val="Pieddepage"/>
      <w:tabs>
        <w:tab w:val="right" w:pos="9638"/>
      </w:tabs>
      <w:rPr>
        <w:b/>
        <w:sz w:val="18"/>
      </w:rPr>
    </w:pPr>
    <w:r>
      <w:t>GE.22-11854</w:t>
    </w:r>
    <w:r>
      <w:tab/>
    </w:r>
    <w:r w:rsidRPr="00673CAB">
      <w:rPr>
        <w:b/>
        <w:sz w:val="18"/>
      </w:rPr>
      <w:fldChar w:fldCharType="begin"/>
    </w:r>
    <w:r w:rsidRPr="00673CAB">
      <w:rPr>
        <w:b/>
        <w:sz w:val="18"/>
      </w:rPr>
      <w:instrText xml:space="preserve"> PAGE  \* MERGEFORMAT </w:instrText>
    </w:r>
    <w:r w:rsidRPr="00673CAB">
      <w:rPr>
        <w:b/>
        <w:sz w:val="18"/>
      </w:rPr>
      <w:fldChar w:fldCharType="separate"/>
    </w:r>
    <w:r w:rsidRPr="00673CAB">
      <w:rPr>
        <w:b/>
        <w:noProof/>
        <w:sz w:val="18"/>
      </w:rPr>
      <w:t>3</w:t>
    </w:r>
    <w:r w:rsidRPr="00673C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F547" w14:textId="27B0301F" w:rsidR="000D3EE9" w:rsidRPr="00673CAB" w:rsidRDefault="00673CAB" w:rsidP="00673CAB">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32629F9E" wp14:editId="2EBFCA9A">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22-11854  (F)</w:t>
    </w:r>
    <w:r>
      <w:rPr>
        <w:noProof/>
        <w:sz w:val="20"/>
      </w:rPr>
      <w:drawing>
        <wp:anchor distT="0" distB="0" distL="114300" distR="114300" simplePos="0" relativeHeight="251660288" behindDoc="0" locked="0" layoutInCell="1" allowOverlap="1" wp14:anchorId="7E5C00BB" wp14:editId="72D247A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141022    141022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F7FF" w14:textId="77777777" w:rsidR="00381FAF" w:rsidRPr="00AC3823" w:rsidRDefault="00381FAF" w:rsidP="00AC3823">
      <w:pPr>
        <w:pStyle w:val="Pieddepage"/>
        <w:tabs>
          <w:tab w:val="right" w:pos="2155"/>
        </w:tabs>
        <w:spacing w:after="80" w:line="240" w:lineRule="atLeast"/>
        <w:ind w:left="680"/>
        <w:rPr>
          <w:u w:val="single"/>
        </w:rPr>
      </w:pPr>
      <w:r>
        <w:rPr>
          <w:u w:val="single"/>
        </w:rPr>
        <w:tab/>
      </w:r>
    </w:p>
  </w:footnote>
  <w:footnote w:type="continuationSeparator" w:id="0">
    <w:p w14:paraId="02EF69F5" w14:textId="77777777" w:rsidR="00381FAF" w:rsidRPr="00AC3823" w:rsidRDefault="00381FAF" w:rsidP="00AC3823">
      <w:pPr>
        <w:pStyle w:val="Pieddepage"/>
        <w:tabs>
          <w:tab w:val="right" w:pos="2155"/>
        </w:tabs>
        <w:spacing w:after="80" w:line="240" w:lineRule="atLeast"/>
        <w:ind w:left="680"/>
        <w:rPr>
          <w:u w:val="single"/>
        </w:rPr>
      </w:pPr>
      <w:r>
        <w:rPr>
          <w:u w:val="single"/>
        </w:rPr>
        <w:tab/>
      </w:r>
    </w:p>
  </w:footnote>
  <w:footnote w:type="continuationNotice" w:id="1">
    <w:p w14:paraId="349FA234" w14:textId="77777777" w:rsidR="00381FAF" w:rsidRPr="00AC3823" w:rsidRDefault="00381FAF">
      <w:pPr>
        <w:spacing w:line="240" w:lineRule="auto"/>
        <w:rPr>
          <w:sz w:val="2"/>
          <w:szCs w:val="2"/>
        </w:rPr>
      </w:pPr>
    </w:p>
  </w:footnote>
  <w:footnote w:id="2">
    <w:p w14:paraId="5DDDA0EE" w14:textId="77777777" w:rsidR="00673CAB" w:rsidRPr="004F66A7" w:rsidRDefault="00673CAB" w:rsidP="00673CAB">
      <w:pPr>
        <w:pStyle w:val="Notedebasdepage"/>
        <w:rPr>
          <w:lang w:val="fr-FR"/>
        </w:rPr>
      </w:pPr>
      <w:r w:rsidRPr="00A90EA8">
        <w:tab/>
      </w:r>
      <w:r w:rsidRPr="00673CAB">
        <w:rPr>
          <w:rStyle w:val="Appelnotedebasdep"/>
          <w:sz w:val="20"/>
          <w:szCs w:val="22"/>
          <w:vertAlign w:val="baseline"/>
          <w:lang w:val="fr-FR"/>
        </w:rPr>
        <w:t>*</w:t>
      </w:r>
      <w:r w:rsidRPr="00673CAB">
        <w:rPr>
          <w:sz w:val="20"/>
          <w:szCs w:val="22"/>
          <w:lang w:val="fr-FR"/>
        </w:rPr>
        <w:tab/>
      </w:r>
      <w:r w:rsidRPr="004F66A7">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62CEBFFF" w14:textId="2F9F0F1F" w:rsidR="00673CAB" w:rsidRPr="004F66A7" w:rsidRDefault="00673CAB" w:rsidP="00673CAB">
      <w:pPr>
        <w:pStyle w:val="Notedebasdepage"/>
        <w:rPr>
          <w:lang w:val="fr-FR"/>
        </w:rPr>
      </w:pPr>
      <w:r w:rsidRPr="004F66A7">
        <w:rPr>
          <w:szCs w:val="18"/>
          <w:lang w:val="fr-FR"/>
        </w:rPr>
        <w:tab/>
      </w:r>
      <w:r w:rsidRPr="006C680F">
        <w:rPr>
          <w:rStyle w:val="Appelnotedebasdep"/>
        </w:rPr>
        <w:footnoteRef/>
      </w:r>
      <w:r>
        <w:rPr>
          <w:lang w:val="fr-FR"/>
        </w:rPr>
        <w:tab/>
        <w:t xml:space="preserve">Contient des informations du secteur public diffusées par le Health and Safety Executive (Direction de la santé et de la sécurité du Royaume-Uni) et sous licence </w:t>
      </w:r>
      <w:r>
        <w:rPr>
          <w:u w:val="single"/>
          <w:lang w:val="fr-FR"/>
        </w:rPr>
        <w:t>Open Government Licence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F23" w14:textId="10FC6840" w:rsidR="00673CAB" w:rsidRPr="00673CAB" w:rsidRDefault="00673CAB">
    <w:pPr>
      <w:pStyle w:val="En-tte"/>
    </w:pPr>
    <w:fldSimple w:instr=" TITLE  \* MERGEFORMAT ">
      <w:r w:rsidR="002F64D2">
        <w:t>ECE/TRANS/WP.29/GRE/2022/25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DEA" w14:textId="0C01AF67" w:rsidR="00673CAB" w:rsidRPr="00673CAB" w:rsidRDefault="00673CAB" w:rsidP="00673CAB">
    <w:pPr>
      <w:pStyle w:val="En-tte"/>
      <w:jc w:val="right"/>
    </w:pPr>
    <w:fldSimple w:instr=" TITLE  \* MERGEFORMAT ">
      <w:r w:rsidR="002F64D2">
        <w:t>ECE/TRANS/WP.29/GRE/2022/25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69980899">
    <w:abstractNumId w:val="12"/>
  </w:num>
  <w:num w:numId="2" w16cid:durableId="836576302">
    <w:abstractNumId w:val="11"/>
  </w:num>
  <w:num w:numId="3" w16cid:durableId="83696107">
    <w:abstractNumId w:val="10"/>
  </w:num>
  <w:num w:numId="4" w16cid:durableId="652026025">
    <w:abstractNumId w:val="8"/>
  </w:num>
  <w:num w:numId="5" w16cid:durableId="1063606699">
    <w:abstractNumId w:val="3"/>
  </w:num>
  <w:num w:numId="6" w16cid:durableId="1411149637">
    <w:abstractNumId w:val="2"/>
  </w:num>
  <w:num w:numId="7" w16cid:durableId="1751463347">
    <w:abstractNumId w:val="1"/>
  </w:num>
  <w:num w:numId="8" w16cid:durableId="2124494037">
    <w:abstractNumId w:val="0"/>
  </w:num>
  <w:num w:numId="9" w16cid:durableId="1688750509">
    <w:abstractNumId w:val="9"/>
  </w:num>
  <w:num w:numId="10" w16cid:durableId="625621547">
    <w:abstractNumId w:val="7"/>
  </w:num>
  <w:num w:numId="11" w16cid:durableId="1153449095">
    <w:abstractNumId w:val="6"/>
  </w:num>
  <w:num w:numId="12" w16cid:durableId="199516663">
    <w:abstractNumId w:val="5"/>
  </w:num>
  <w:num w:numId="13" w16cid:durableId="844975842">
    <w:abstractNumId w:val="4"/>
  </w:num>
  <w:num w:numId="14" w16cid:durableId="79834431">
    <w:abstractNumId w:val="12"/>
  </w:num>
  <w:num w:numId="15" w16cid:durableId="980886230">
    <w:abstractNumId w:val="11"/>
  </w:num>
  <w:num w:numId="16" w16cid:durableId="2082214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AF"/>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832AC"/>
    <w:rsid w:val="00295CCA"/>
    <w:rsid w:val="002D7C93"/>
    <w:rsid w:val="002F64D2"/>
    <w:rsid w:val="00381FAF"/>
    <w:rsid w:val="00392828"/>
    <w:rsid w:val="003E51AF"/>
    <w:rsid w:val="00441C3B"/>
    <w:rsid w:val="00446B0A"/>
    <w:rsid w:val="00446FE5"/>
    <w:rsid w:val="00452396"/>
    <w:rsid w:val="004C4EA0"/>
    <w:rsid w:val="004E468C"/>
    <w:rsid w:val="00506BE1"/>
    <w:rsid w:val="005316B0"/>
    <w:rsid w:val="005505B7"/>
    <w:rsid w:val="00573BE5"/>
    <w:rsid w:val="00586ED3"/>
    <w:rsid w:val="00596AA9"/>
    <w:rsid w:val="005B02A8"/>
    <w:rsid w:val="005C4182"/>
    <w:rsid w:val="005F2353"/>
    <w:rsid w:val="00673CAB"/>
    <w:rsid w:val="00706363"/>
    <w:rsid w:val="0071601D"/>
    <w:rsid w:val="0074674C"/>
    <w:rsid w:val="007A62E6"/>
    <w:rsid w:val="0080684C"/>
    <w:rsid w:val="00871C75"/>
    <w:rsid w:val="008776DC"/>
    <w:rsid w:val="009705C8"/>
    <w:rsid w:val="009C1CF4"/>
    <w:rsid w:val="00A30353"/>
    <w:rsid w:val="00AA113A"/>
    <w:rsid w:val="00AC3823"/>
    <w:rsid w:val="00AE323C"/>
    <w:rsid w:val="00B00181"/>
    <w:rsid w:val="00B00B0D"/>
    <w:rsid w:val="00B765F7"/>
    <w:rsid w:val="00BA0CA9"/>
    <w:rsid w:val="00C02897"/>
    <w:rsid w:val="00D3439C"/>
    <w:rsid w:val="00DB1831"/>
    <w:rsid w:val="00DD3BFD"/>
    <w:rsid w:val="00DF6678"/>
    <w:rsid w:val="00EF2E22"/>
    <w:rsid w:val="00F37A6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ADC5D"/>
  <w15:docId w15:val="{F94B5C74-E725-4C08-B3C6-408737DA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7</TotalTime>
  <Pages>4</Pages>
  <Words>1348</Words>
  <Characters>7267</Characters>
  <Application>Microsoft Office Word</Application>
  <DocSecurity>0</DocSecurity>
  <Lines>151</Lines>
  <Paragraphs>74</Paragraphs>
  <ScaleCrop>false</ScaleCrop>
  <HeadingPairs>
    <vt:vector size="2" baseType="variant">
      <vt:variant>
        <vt:lpstr>Titre</vt:lpstr>
      </vt:variant>
      <vt:variant>
        <vt:i4>1</vt:i4>
      </vt:variant>
    </vt:vector>
  </HeadingPairs>
  <TitlesOfParts>
    <vt:vector size="1" baseType="lpstr">
      <vt:lpstr>ECE/TRANS/WP.29/GRE/2022/25</vt:lpstr>
    </vt:vector>
  </TitlesOfParts>
  <Company>DCM</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ECE/TRANS/WP.29/GRE/2022/25</dc:title>
  <dc:subject/>
  <dc:creator>Christine CHAUTAGNAT</dc:creator>
  <cp:keywords/>
  <cp:lastModifiedBy>Christine Chautagnat</cp:lastModifiedBy>
  <cp:revision>3</cp:revision>
  <cp:lastPrinted>2022-10-14T12:56:00Z</cp:lastPrinted>
  <dcterms:created xsi:type="dcterms:W3CDTF">2022-10-14T12:56:00Z</dcterms:created>
  <dcterms:modified xsi:type="dcterms:W3CDTF">2022-10-14T13:01:00Z</dcterms:modified>
</cp:coreProperties>
</file>