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0E3B67" w:rsidRDefault="00F55358" w:rsidP="00F55358">
      <w:pPr>
        <w:spacing w:before="120"/>
        <w:rPr>
          <w:b/>
          <w:sz w:val="28"/>
          <w:szCs w:val="28"/>
          <w:lang w:eastAsia="fr-FR"/>
        </w:rPr>
      </w:pPr>
      <w:r w:rsidRPr="000E3B67">
        <w:rPr>
          <w:b/>
          <w:sz w:val="28"/>
          <w:szCs w:val="28"/>
        </w:rPr>
        <w:t>Economic Commission for Europe</w:t>
      </w:r>
    </w:p>
    <w:p w14:paraId="04EA5779" w14:textId="77777777" w:rsidR="00F55358" w:rsidRPr="000E3B67" w:rsidRDefault="00F55358" w:rsidP="00F55358">
      <w:pPr>
        <w:spacing w:before="120"/>
        <w:rPr>
          <w:sz w:val="28"/>
          <w:szCs w:val="28"/>
        </w:rPr>
      </w:pPr>
      <w:r w:rsidRPr="000E3B67">
        <w:rPr>
          <w:sz w:val="28"/>
          <w:szCs w:val="28"/>
        </w:rPr>
        <w:t>Inland Transport Committee</w:t>
      </w:r>
    </w:p>
    <w:p w14:paraId="2D2A73CE" w14:textId="77777777" w:rsidR="00F55358" w:rsidRPr="000E3B67" w:rsidRDefault="00F55358" w:rsidP="00F55358">
      <w:pPr>
        <w:spacing w:before="120"/>
        <w:rPr>
          <w:b/>
          <w:sz w:val="24"/>
          <w:szCs w:val="24"/>
        </w:rPr>
      </w:pPr>
      <w:r w:rsidRPr="000E3B67">
        <w:rPr>
          <w:b/>
          <w:sz w:val="24"/>
          <w:szCs w:val="24"/>
        </w:rPr>
        <w:t>Working Party on the Transport of Dangerous Goods</w:t>
      </w:r>
    </w:p>
    <w:p w14:paraId="50A97E2D" w14:textId="51143FD4" w:rsidR="00F55358" w:rsidRPr="000E3B67" w:rsidRDefault="00F55358" w:rsidP="00F55358">
      <w:pPr>
        <w:spacing w:before="120"/>
        <w:rPr>
          <w:b/>
          <w:bCs/>
        </w:rPr>
      </w:pPr>
      <w:bookmarkStart w:id="0" w:name="_Hlk117773733"/>
      <w:r w:rsidRPr="000E3B67">
        <w:rPr>
          <w:b/>
          <w:bCs/>
        </w:rPr>
        <w:t>11</w:t>
      </w:r>
      <w:r w:rsidR="00B3466E">
        <w:rPr>
          <w:b/>
          <w:bCs/>
        </w:rPr>
        <w:t>2</w:t>
      </w:r>
      <w:r w:rsidRPr="000E3B67">
        <w:rPr>
          <w:b/>
          <w:bCs/>
        </w:rPr>
        <w:t>th session</w:t>
      </w:r>
    </w:p>
    <w:p w14:paraId="115A641C" w14:textId="05FB8514" w:rsidR="00F55358" w:rsidRPr="000E3B67" w:rsidRDefault="00B3466E" w:rsidP="00B3466E">
      <w:pPr>
        <w:rPr>
          <w:rFonts w:eastAsia="SimSun"/>
        </w:rPr>
      </w:pPr>
      <w:r w:rsidRPr="00450A66">
        <w:rPr>
          <w:rFonts w:eastAsia="SimSun"/>
        </w:rPr>
        <w:t xml:space="preserve">Geneva, </w:t>
      </w:r>
      <w:r>
        <w:rPr>
          <w:rFonts w:eastAsia="SimSun"/>
        </w:rPr>
        <w:t>8-11 November</w:t>
      </w:r>
      <w:r w:rsidRPr="00450A66">
        <w:rPr>
          <w:rFonts w:eastAsia="SimSun"/>
        </w:rPr>
        <w:t xml:space="preserve"> 202</w:t>
      </w:r>
      <w:r>
        <w:rPr>
          <w:rFonts w:eastAsia="SimSun"/>
        </w:rPr>
        <w:t xml:space="preserve">2 </w:t>
      </w:r>
      <w:r w:rsidR="00957638" w:rsidRPr="000E3B67">
        <w:tab/>
      </w:r>
      <w:r w:rsidR="00957638" w:rsidRPr="000E3B67">
        <w:tab/>
      </w:r>
      <w:r w:rsidR="00957638" w:rsidRPr="000E3B67">
        <w:tab/>
      </w:r>
      <w:r w:rsidR="00957638" w:rsidRPr="000E3B67">
        <w:tab/>
      </w:r>
      <w:r w:rsidR="00957638" w:rsidRPr="000E3B67">
        <w:tab/>
      </w:r>
      <w:r w:rsidR="00957638" w:rsidRPr="000E3B67">
        <w:tab/>
      </w:r>
      <w:r w:rsidR="00957638" w:rsidRPr="000E3B67">
        <w:tab/>
      </w:r>
      <w:r w:rsidR="00D730F5" w:rsidRPr="000E3B67">
        <w:tab/>
      </w:r>
      <w:r>
        <w:t xml:space="preserve">27 October </w:t>
      </w:r>
      <w:r w:rsidR="00E04ABD">
        <w:t>2022</w:t>
      </w:r>
    </w:p>
    <w:p w14:paraId="53BF3EE4" w14:textId="1D624302" w:rsidR="00F55358" w:rsidRPr="000E3B67" w:rsidRDefault="00F55358" w:rsidP="00F55358">
      <w:r w:rsidRPr="000E3B67">
        <w:t xml:space="preserve">Item </w:t>
      </w:r>
      <w:r w:rsidR="005D338A" w:rsidRPr="000E3B67">
        <w:t>4</w:t>
      </w:r>
      <w:r w:rsidRPr="000E3B67">
        <w:t xml:space="preserve"> of the provisional agenda</w:t>
      </w:r>
    </w:p>
    <w:p w14:paraId="2CA3528F" w14:textId="7838004E" w:rsidR="00F55358" w:rsidRPr="000E3B67" w:rsidRDefault="00A96E56" w:rsidP="00F55358">
      <w:pPr>
        <w:rPr>
          <w:b/>
          <w:bCs/>
        </w:rPr>
      </w:pPr>
      <w:r w:rsidRPr="000E3B67">
        <w:rPr>
          <w:b/>
        </w:rPr>
        <w:t>Work of the RID/ADR/ADN Joint Meeting</w:t>
      </w:r>
    </w:p>
    <w:p w14:paraId="2316B785" w14:textId="6D54A477" w:rsidR="00787B89" w:rsidRPr="00787B89" w:rsidRDefault="00787B89" w:rsidP="00787B89">
      <w:pPr>
        <w:keepNext/>
        <w:keepLines/>
        <w:tabs>
          <w:tab w:val="right" w:pos="851"/>
        </w:tabs>
        <w:spacing w:before="360" w:after="240" w:line="300" w:lineRule="exact"/>
        <w:ind w:left="1134" w:right="1134" w:hanging="1134"/>
        <w:rPr>
          <w:b/>
          <w:sz w:val="28"/>
        </w:rPr>
      </w:pPr>
      <w:r w:rsidRPr="000E3B67">
        <w:rPr>
          <w:b/>
          <w:sz w:val="28"/>
        </w:rPr>
        <w:tab/>
      </w:r>
      <w:r w:rsidRPr="000E3B67">
        <w:rPr>
          <w:b/>
          <w:sz w:val="28"/>
        </w:rPr>
        <w:tab/>
      </w:r>
      <w:r w:rsidRPr="00787B89">
        <w:rPr>
          <w:b/>
          <w:sz w:val="28"/>
        </w:rPr>
        <w:t xml:space="preserve">Texts adopted by the Joint Meeting: amendments to ADR for entry into force on 1 January </w:t>
      </w:r>
      <w:r w:rsidR="0061468E">
        <w:rPr>
          <w:b/>
          <w:sz w:val="28"/>
        </w:rPr>
        <w:t>2025</w:t>
      </w:r>
    </w:p>
    <w:p w14:paraId="398B3512" w14:textId="77777777" w:rsidR="00787B89" w:rsidRPr="00787B89" w:rsidRDefault="00787B89" w:rsidP="00787B89">
      <w:pPr>
        <w:keepNext/>
        <w:keepLines/>
        <w:tabs>
          <w:tab w:val="right" w:pos="851"/>
        </w:tabs>
        <w:spacing w:before="360" w:after="240" w:line="270" w:lineRule="exact"/>
        <w:ind w:left="1134" w:right="1134" w:hanging="1134"/>
        <w:rPr>
          <w:b/>
          <w:sz w:val="24"/>
        </w:rPr>
      </w:pPr>
      <w:r w:rsidRPr="00787B89">
        <w:rPr>
          <w:b/>
          <w:sz w:val="24"/>
        </w:rPr>
        <w:tab/>
      </w:r>
      <w:r w:rsidRPr="00787B89">
        <w:rPr>
          <w:b/>
          <w:sz w:val="24"/>
        </w:rPr>
        <w:tab/>
        <w:t>Note by the secretariat</w:t>
      </w:r>
    </w:p>
    <w:p w14:paraId="2C7FBF85" w14:textId="66EE84D6" w:rsidR="00787B89" w:rsidRPr="00787B89" w:rsidRDefault="00787B89" w:rsidP="00787B89">
      <w:pPr>
        <w:spacing w:after="120"/>
        <w:ind w:left="1134" w:right="1134"/>
        <w:jc w:val="both"/>
      </w:pPr>
      <w:r w:rsidRPr="00787B89">
        <w:t>The secretariat reproduces hereafter proposals of amendments to ADR for entry into force on 1 January 20</w:t>
      </w:r>
      <w:r w:rsidRPr="000E3B67">
        <w:t>2</w:t>
      </w:r>
      <w:r w:rsidR="00202E0C">
        <w:t>5</w:t>
      </w:r>
      <w:r w:rsidRPr="00787B89">
        <w:t xml:space="preserve"> as adopted by the Joint Meeting at its </w:t>
      </w:r>
      <w:r w:rsidR="00B3466E">
        <w:t>Autumn</w:t>
      </w:r>
      <w:r w:rsidRPr="00787B89">
        <w:t xml:space="preserve"> </w:t>
      </w:r>
      <w:r w:rsidRPr="000E3B67">
        <w:t>2022</w:t>
      </w:r>
      <w:r w:rsidRPr="00787B89">
        <w:t xml:space="preserve"> session (</w:t>
      </w:r>
      <w:r w:rsidR="0076621E" w:rsidRPr="000E3B67">
        <w:t xml:space="preserve">Draft report: </w:t>
      </w:r>
      <w:r w:rsidR="0076621E" w:rsidRPr="00787B89">
        <w:t>ECE/TRANS/WP.15/AC.1/</w:t>
      </w:r>
      <w:r w:rsidR="0076621E" w:rsidRPr="000E3B67">
        <w:t>2022/R.</w:t>
      </w:r>
      <w:r w:rsidR="00B3466E">
        <w:t>4</w:t>
      </w:r>
      <w:r w:rsidR="0076621E" w:rsidRPr="000E3B67">
        <w:t xml:space="preserve"> and add</w:t>
      </w:r>
      <w:r w:rsidR="00B3466E">
        <w:t>.</w:t>
      </w:r>
      <w:r w:rsidR="0076621E" w:rsidRPr="000E3B67">
        <w:t>1 / Final report</w:t>
      </w:r>
      <w:r w:rsidR="00C17609">
        <w:t xml:space="preserve"> (original English; French and Russian versions forthcoming</w:t>
      </w:r>
      <w:r w:rsidR="00B3466E">
        <w:t>)</w:t>
      </w:r>
      <w:r w:rsidR="007508B7" w:rsidRPr="000E3B67">
        <w:t xml:space="preserve">: </w:t>
      </w:r>
      <w:r w:rsidRPr="00787B89">
        <w:t>ECE/TRANS/WP.15/AC.1/1</w:t>
      </w:r>
      <w:r w:rsidR="00181D88" w:rsidRPr="000E3B67">
        <w:t>6</w:t>
      </w:r>
      <w:r w:rsidR="00B3466E">
        <w:t>6</w:t>
      </w:r>
      <w:r w:rsidRPr="00787B89">
        <w:t>).</w:t>
      </w:r>
    </w:p>
    <w:p w14:paraId="3BE30BD6" w14:textId="4B4E77F5" w:rsidR="00787B89" w:rsidRPr="000E3B67" w:rsidRDefault="00787B89" w:rsidP="00787B89">
      <w:pPr>
        <w:keepNext/>
        <w:keepLines/>
        <w:tabs>
          <w:tab w:val="right" w:pos="851"/>
        </w:tabs>
        <w:spacing w:before="360" w:after="240" w:line="300" w:lineRule="exact"/>
        <w:ind w:left="1134" w:right="1134"/>
        <w:rPr>
          <w:b/>
          <w:sz w:val="28"/>
        </w:rPr>
      </w:pPr>
      <w:r w:rsidRPr="00787B89">
        <w:rPr>
          <w:b/>
          <w:sz w:val="28"/>
        </w:rPr>
        <w:t>Draft amendments to ADR for entry into force on 1 January 20</w:t>
      </w:r>
      <w:r w:rsidR="00181D88" w:rsidRPr="000E3B67">
        <w:rPr>
          <w:b/>
          <w:sz w:val="28"/>
        </w:rPr>
        <w:t>2</w:t>
      </w:r>
      <w:r w:rsidR="00202E0C">
        <w:rPr>
          <w:b/>
          <w:sz w:val="28"/>
        </w:rPr>
        <w:t>5</w:t>
      </w:r>
    </w:p>
    <w:p w14:paraId="69C2A1F6" w14:textId="77777777" w:rsidR="00B3466E" w:rsidRPr="00B3466E" w:rsidRDefault="00B3466E" w:rsidP="00B3466E">
      <w:pPr>
        <w:keepNext/>
        <w:keepLines/>
        <w:tabs>
          <w:tab w:val="right" w:pos="851"/>
        </w:tabs>
        <w:spacing w:before="240" w:after="120" w:line="240" w:lineRule="exact"/>
        <w:ind w:left="1134" w:right="1134" w:hanging="1134"/>
        <w:rPr>
          <w:b/>
          <w:lang w:eastAsia="fr-FR"/>
        </w:rPr>
      </w:pPr>
      <w:r w:rsidRPr="00B3466E">
        <w:rPr>
          <w:b/>
          <w:lang w:eastAsia="fr-FR"/>
        </w:rPr>
        <w:tab/>
      </w:r>
      <w:r w:rsidRPr="00B3466E">
        <w:rPr>
          <w:b/>
          <w:lang w:eastAsia="fr-FR"/>
        </w:rPr>
        <w:tab/>
        <w:t>Chapter 1.8</w:t>
      </w:r>
    </w:p>
    <w:p w14:paraId="3B1A9777" w14:textId="77777777" w:rsidR="00B3466E" w:rsidRPr="00B3466E" w:rsidRDefault="00B3466E" w:rsidP="00B3466E">
      <w:pPr>
        <w:spacing w:after="120"/>
        <w:ind w:left="2268" w:right="1134" w:hanging="1134"/>
        <w:jc w:val="both"/>
        <w:rPr>
          <w:lang w:eastAsia="fr-FR"/>
        </w:rPr>
      </w:pPr>
      <w:r w:rsidRPr="00B3466E">
        <w:rPr>
          <w:lang w:eastAsia="fr-FR"/>
        </w:rPr>
        <w:t>1.8.3.2</w:t>
      </w:r>
      <w:r w:rsidRPr="00B3466E">
        <w:rPr>
          <w:lang w:eastAsia="fr-FR"/>
        </w:rPr>
        <w:tab/>
        <w:t>Renumber (a) and (b) as (b) and (c). In the renumbered (c), before “carriage”, insert “consignment,” (twice).</w:t>
      </w:r>
    </w:p>
    <w:p w14:paraId="06317970" w14:textId="77777777" w:rsidR="00B3466E" w:rsidRPr="00B3466E" w:rsidRDefault="00B3466E" w:rsidP="00B3466E">
      <w:pPr>
        <w:spacing w:after="120"/>
        <w:ind w:left="2268" w:right="1134" w:hanging="1134"/>
        <w:jc w:val="both"/>
        <w:rPr>
          <w:lang w:eastAsia="fr-FR"/>
        </w:rPr>
      </w:pPr>
      <w:r w:rsidRPr="00B3466E">
        <w:rPr>
          <w:lang w:eastAsia="fr-FR"/>
        </w:rPr>
        <w:tab/>
        <w:t>Add a new (a) to read as follows:</w:t>
      </w:r>
    </w:p>
    <w:p w14:paraId="330C82EC" w14:textId="77777777" w:rsidR="00B3466E" w:rsidRPr="00B3466E" w:rsidRDefault="00B3466E" w:rsidP="00B3466E">
      <w:pPr>
        <w:spacing w:after="120"/>
        <w:ind w:left="2268" w:right="1134" w:hanging="1134"/>
        <w:jc w:val="both"/>
        <w:rPr>
          <w:lang w:eastAsia="fr-FR"/>
        </w:rPr>
      </w:pPr>
      <w:r w:rsidRPr="00B3466E">
        <w:rPr>
          <w:lang w:eastAsia="fr-FR"/>
        </w:rPr>
        <w:t>“(a)</w:t>
      </w:r>
      <w:r w:rsidRPr="00B3466E">
        <w:rPr>
          <w:lang w:eastAsia="fr-FR"/>
        </w:rPr>
        <w:tab/>
      </w:r>
      <w:r w:rsidRPr="00B3466E">
        <w:rPr>
          <w:lang w:val="en-US" w:eastAsia="fr-FR"/>
        </w:rPr>
        <w:t>(</w:t>
      </w:r>
      <w:r w:rsidRPr="00B3466E">
        <w:rPr>
          <w:i/>
          <w:iCs/>
          <w:lang w:eastAsia="fr-FR"/>
        </w:rPr>
        <w:t>Reserved);</w:t>
      </w:r>
      <w:r w:rsidRPr="00B3466E">
        <w:rPr>
          <w:lang w:eastAsia="fr-FR"/>
        </w:rPr>
        <w:t>”</w:t>
      </w:r>
    </w:p>
    <w:p w14:paraId="02076B49" w14:textId="77777777" w:rsidR="00B3466E" w:rsidRPr="00B3466E" w:rsidRDefault="00B3466E" w:rsidP="00B3466E">
      <w:pPr>
        <w:spacing w:after="120"/>
        <w:ind w:left="1134" w:right="1134"/>
        <w:jc w:val="both"/>
        <w:rPr>
          <w:i/>
          <w:iCs/>
          <w:lang w:eastAsia="fr-FR"/>
        </w:rPr>
      </w:pPr>
      <w:r w:rsidRPr="00B3466E">
        <w:rPr>
          <w:i/>
          <w:iCs/>
          <w:lang w:eastAsia="fr-FR"/>
        </w:rPr>
        <w:t>(Reference document: informal document INF.7, as amended)</w:t>
      </w:r>
    </w:p>
    <w:p w14:paraId="61A5FA02" w14:textId="77777777" w:rsidR="00B3466E" w:rsidRPr="00B3466E" w:rsidRDefault="00B3466E" w:rsidP="00B3466E">
      <w:pPr>
        <w:keepNext/>
        <w:keepLines/>
        <w:tabs>
          <w:tab w:val="right" w:pos="851"/>
        </w:tabs>
        <w:spacing w:before="240" w:after="120" w:line="240" w:lineRule="exact"/>
        <w:ind w:left="1134" w:right="1134" w:hanging="1134"/>
        <w:rPr>
          <w:b/>
          <w:lang w:eastAsia="fr-FR"/>
        </w:rPr>
      </w:pPr>
      <w:r w:rsidRPr="00B3466E">
        <w:rPr>
          <w:b/>
          <w:lang w:eastAsia="fr-FR"/>
        </w:rPr>
        <w:tab/>
      </w:r>
      <w:r w:rsidRPr="00B3466E">
        <w:rPr>
          <w:b/>
          <w:lang w:eastAsia="fr-FR"/>
        </w:rPr>
        <w:tab/>
        <w:t>Chapter 3.2, table A</w:t>
      </w:r>
    </w:p>
    <w:p w14:paraId="37751663" w14:textId="77777777" w:rsidR="00B3466E" w:rsidRPr="00B3466E" w:rsidRDefault="00B3466E" w:rsidP="00B3466E">
      <w:pPr>
        <w:spacing w:after="120"/>
        <w:ind w:left="2268" w:right="850" w:hanging="1134"/>
        <w:jc w:val="both"/>
        <w:rPr>
          <w:lang w:eastAsia="fr-FR"/>
        </w:rPr>
      </w:pPr>
      <w:r w:rsidRPr="00B3466E">
        <w:rPr>
          <w:lang w:eastAsia="fr-FR"/>
        </w:rPr>
        <w:t>For UN Nos. 3090, 3091, 3480, 3481, in column (6), add “677”.</w:t>
      </w:r>
    </w:p>
    <w:p w14:paraId="21E8B0E1" w14:textId="77777777" w:rsidR="00B3466E" w:rsidRPr="00B3466E" w:rsidRDefault="00B3466E" w:rsidP="00B3466E">
      <w:pPr>
        <w:snapToGrid w:val="0"/>
        <w:spacing w:before="120" w:after="120"/>
        <w:ind w:left="1134"/>
        <w:rPr>
          <w:i/>
          <w:iCs/>
          <w:lang w:eastAsia="fr-FR"/>
        </w:rPr>
      </w:pPr>
      <w:r w:rsidRPr="00B3466E">
        <w:rPr>
          <w:i/>
          <w:iCs/>
          <w:lang w:eastAsia="fr-FR"/>
        </w:rPr>
        <w:t>(Reference document: ECE/TRANS/WP.15/AC.1/2022/26, option 2, as amended)</w:t>
      </w:r>
    </w:p>
    <w:p w14:paraId="76D66434" w14:textId="77777777" w:rsidR="00B3466E" w:rsidRPr="00B3466E" w:rsidRDefault="00B3466E" w:rsidP="00B3466E">
      <w:pPr>
        <w:keepNext/>
        <w:keepLines/>
        <w:tabs>
          <w:tab w:val="right" w:pos="851"/>
        </w:tabs>
        <w:spacing w:before="240" w:after="120" w:line="240" w:lineRule="exact"/>
        <w:ind w:left="1134" w:right="1134" w:hanging="1134"/>
        <w:rPr>
          <w:b/>
          <w:lang w:eastAsia="fr-FR"/>
        </w:rPr>
      </w:pPr>
      <w:r w:rsidRPr="00B3466E">
        <w:rPr>
          <w:b/>
          <w:lang w:eastAsia="fr-FR"/>
        </w:rPr>
        <w:tab/>
      </w:r>
      <w:r w:rsidRPr="00B3466E">
        <w:rPr>
          <w:b/>
          <w:lang w:eastAsia="fr-FR"/>
        </w:rPr>
        <w:tab/>
        <w:t>Chapter 3.3</w:t>
      </w:r>
    </w:p>
    <w:p w14:paraId="19CF0F23" w14:textId="77777777" w:rsidR="00B3466E" w:rsidRPr="00B3466E" w:rsidRDefault="00B3466E" w:rsidP="00B3466E">
      <w:pPr>
        <w:spacing w:after="120"/>
        <w:ind w:left="2268" w:right="850" w:hanging="1134"/>
        <w:jc w:val="both"/>
        <w:rPr>
          <w:lang w:eastAsia="fr-FR"/>
        </w:rPr>
      </w:pPr>
      <w:r w:rsidRPr="00B3466E">
        <w:rPr>
          <w:lang w:eastAsia="fr-FR"/>
        </w:rPr>
        <w:t>SP 376</w:t>
      </w:r>
      <w:r w:rsidRPr="00B3466E">
        <w:rPr>
          <w:lang w:eastAsia="fr-FR"/>
        </w:rPr>
        <w:tab/>
        <w:t>In the fifth paragraph, delete the last sentence, which reads “In both cases the cells and batteries are assigned to transport category 0.”.</w:t>
      </w:r>
    </w:p>
    <w:p w14:paraId="37846916" w14:textId="77777777" w:rsidR="00B3466E" w:rsidRPr="00B3466E" w:rsidRDefault="00B3466E" w:rsidP="00B3466E">
      <w:pPr>
        <w:snapToGrid w:val="0"/>
        <w:spacing w:before="120" w:after="120"/>
        <w:ind w:left="1134"/>
        <w:rPr>
          <w:i/>
          <w:iCs/>
          <w:lang w:eastAsia="fr-FR"/>
        </w:rPr>
      </w:pPr>
      <w:r w:rsidRPr="00B3466E">
        <w:rPr>
          <w:i/>
          <w:iCs/>
          <w:lang w:eastAsia="fr-FR"/>
        </w:rPr>
        <w:t>(Reference document: ECE/TRANS/WP.15/AC.1/2022/26, option 2)</w:t>
      </w:r>
    </w:p>
    <w:p w14:paraId="6DC053BF" w14:textId="77777777" w:rsidR="00B3466E" w:rsidRPr="00B3466E" w:rsidRDefault="00B3466E" w:rsidP="00B3466E">
      <w:pPr>
        <w:spacing w:after="120"/>
        <w:ind w:left="2268" w:right="850" w:hanging="1134"/>
        <w:jc w:val="both"/>
        <w:rPr>
          <w:lang w:eastAsia="fr-FR"/>
        </w:rPr>
      </w:pPr>
      <w:r w:rsidRPr="00B3466E">
        <w:rPr>
          <w:lang w:eastAsia="fr-FR"/>
        </w:rPr>
        <w:t>Add the following new special provision:</w:t>
      </w:r>
    </w:p>
    <w:p w14:paraId="0659AFAA" w14:textId="77777777" w:rsidR="00B3466E" w:rsidRPr="00B3466E" w:rsidRDefault="00B3466E" w:rsidP="00B3466E">
      <w:pPr>
        <w:spacing w:after="120"/>
        <w:ind w:left="2268" w:right="850" w:hanging="1134"/>
        <w:jc w:val="both"/>
        <w:rPr>
          <w:lang w:eastAsia="fr-FR"/>
        </w:rPr>
      </w:pPr>
      <w:r w:rsidRPr="00B3466E">
        <w:rPr>
          <w:lang w:eastAsia="fr-FR"/>
        </w:rPr>
        <w:t>“SP 677</w:t>
      </w:r>
      <w:r w:rsidRPr="00B3466E">
        <w:rPr>
          <w:lang w:eastAsia="fr-FR"/>
        </w:rPr>
        <w:tab/>
        <w:t xml:space="preserve">Cells and batteries which, in accordance with special provision 376, are identified as damaged or defective and liable to rapidly disassemble, dangerously react, produce a flame or a dangerous evolution of heat or a dangerous emission of toxic, </w:t>
      </w:r>
      <w:proofErr w:type="gramStart"/>
      <w:r w:rsidRPr="00B3466E">
        <w:rPr>
          <w:lang w:eastAsia="fr-FR"/>
        </w:rPr>
        <w:t>corrosive</w:t>
      </w:r>
      <w:proofErr w:type="gramEnd"/>
      <w:r w:rsidRPr="00B3466E">
        <w:rPr>
          <w:lang w:eastAsia="fr-FR"/>
        </w:rPr>
        <w:t xml:space="preserve"> or flammable gases or vapours under normal conditions of carriage, shall be assigned to transport category 0. In the transport document, the words "Carriage in accordance with special provision 376" shall be supplemented by the words "Transport category 0".”</w:t>
      </w:r>
    </w:p>
    <w:p w14:paraId="39B4C82D" w14:textId="77777777" w:rsidR="00B3466E" w:rsidRPr="00B3466E" w:rsidRDefault="00B3466E" w:rsidP="00B3466E">
      <w:pPr>
        <w:snapToGrid w:val="0"/>
        <w:spacing w:before="120" w:after="120"/>
        <w:ind w:left="1134"/>
        <w:rPr>
          <w:i/>
          <w:iCs/>
          <w:lang w:eastAsia="fr-FR"/>
        </w:rPr>
      </w:pPr>
      <w:r w:rsidRPr="00B3466E">
        <w:rPr>
          <w:i/>
          <w:iCs/>
          <w:lang w:eastAsia="fr-FR"/>
        </w:rPr>
        <w:t>(Reference document: ECE/TRANS/WP.15/AC.1/2022/26, option 2)</w:t>
      </w:r>
    </w:p>
    <w:p w14:paraId="677041C2" w14:textId="77777777" w:rsidR="00B3466E" w:rsidRPr="00B3466E" w:rsidRDefault="00B3466E" w:rsidP="00B3466E">
      <w:pPr>
        <w:keepNext/>
        <w:keepLines/>
        <w:tabs>
          <w:tab w:val="right" w:pos="851"/>
        </w:tabs>
        <w:spacing w:before="240" w:after="120" w:line="240" w:lineRule="exact"/>
        <w:ind w:left="1134" w:right="1134" w:hanging="1134"/>
        <w:rPr>
          <w:b/>
          <w:lang w:eastAsia="fr-FR"/>
        </w:rPr>
      </w:pPr>
      <w:r w:rsidRPr="00B3466E">
        <w:rPr>
          <w:b/>
          <w:lang w:eastAsia="fr-FR"/>
        </w:rPr>
        <w:lastRenderedPageBreak/>
        <w:tab/>
      </w:r>
      <w:r w:rsidRPr="00B3466E">
        <w:rPr>
          <w:b/>
          <w:lang w:eastAsia="fr-FR"/>
        </w:rPr>
        <w:tab/>
        <w:t>Chapter 4.1</w:t>
      </w:r>
    </w:p>
    <w:p w14:paraId="5897A064" w14:textId="77777777" w:rsidR="00B3466E" w:rsidRPr="00B3466E" w:rsidRDefault="00B3466E" w:rsidP="00B3466E">
      <w:pPr>
        <w:spacing w:after="120"/>
        <w:ind w:left="2268" w:right="850" w:hanging="1134"/>
        <w:jc w:val="both"/>
        <w:rPr>
          <w:lang w:eastAsia="fr-FR"/>
        </w:rPr>
      </w:pPr>
      <w:r w:rsidRPr="00B3466E">
        <w:rPr>
          <w:lang w:eastAsia="fr-FR"/>
        </w:rPr>
        <w:t>4.1.6.15</w:t>
      </w:r>
      <w:r w:rsidRPr="00B3466E">
        <w:rPr>
          <w:lang w:eastAsia="fr-FR"/>
        </w:rPr>
        <w:tab/>
        <w:t>In Table 4.1.6.15.1, for “4.1.6.2”, in the second column, replace “EN ISO 11114-2:2013” by “EN ISO 11114-2:2021”.</w:t>
      </w:r>
    </w:p>
    <w:p w14:paraId="4BF11244" w14:textId="77777777" w:rsidR="00B3466E" w:rsidRPr="00B3466E" w:rsidRDefault="00B3466E" w:rsidP="00B3466E">
      <w:pPr>
        <w:snapToGrid w:val="0"/>
        <w:spacing w:before="120" w:after="120"/>
        <w:ind w:left="1134"/>
        <w:rPr>
          <w:i/>
          <w:iCs/>
          <w:lang w:eastAsia="fr-FR"/>
        </w:rPr>
      </w:pPr>
      <w:r w:rsidRPr="00B3466E">
        <w:rPr>
          <w:i/>
          <w:iCs/>
          <w:lang w:eastAsia="fr-FR"/>
        </w:rPr>
        <w:t>(Reference document: informal document INF.19)</w:t>
      </w:r>
    </w:p>
    <w:p w14:paraId="7A5690CB" w14:textId="77777777" w:rsidR="00B3466E" w:rsidRPr="00B3466E" w:rsidRDefault="00B3466E" w:rsidP="00B3466E">
      <w:pPr>
        <w:keepNext/>
        <w:keepLines/>
        <w:tabs>
          <w:tab w:val="right" w:pos="851"/>
        </w:tabs>
        <w:spacing w:before="240" w:after="120" w:line="240" w:lineRule="exact"/>
        <w:ind w:left="1134" w:right="1134" w:hanging="1134"/>
        <w:rPr>
          <w:b/>
          <w:lang w:eastAsia="fr-FR"/>
        </w:rPr>
      </w:pPr>
      <w:r w:rsidRPr="00B3466E">
        <w:rPr>
          <w:b/>
          <w:lang w:eastAsia="fr-FR"/>
        </w:rPr>
        <w:tab/>
      </w:r>
      <w:r w:rsidRPr="00B3466E">
        <w:rPr>
          <w:b/>
          <w:lang w:eastAsia="fr-FR"/>
        </w:rPr>
        <w:tab/>
        <w:t>Chapter 4.3</w:t>
      </w:r>
    </w:p>
    <w:p w14:paraId="65FDB0A2" w14:textId="77777777" w:rsidR="00B3466E" w:rsidRPr="00B3466E" w:rsidRDefault="00B3466E" w:rsidP="00B3466E">
      <w:pPr>
        <w:spacing w:after="120"/>
        <w:ind w:left="2268" w:right="1134" w:hanging="1134"/>
        <w:jc w:val="both"/>
        <w:rPr>
          <w:lang w:eastAsia="fr-FR"/>
        </w:rPr>
      </w:pPr>
      <w:r w:rsidRPr="00B3466E">
        <w:rPr>
          <w:lang w:eastAsia="fr-FR"/>
        </w:rPr>
        <w:t>4.3.2.1.7</w:t>
      </w:r>
      <w:r w:rsidRPr="00B3466E">
        <w:rPr>
          <w:lang w:eastAsia="fr-FR"/>
        </w:rPr>
        <w:tab/>
        <w:t>At the end, add the following new note:</w:t>
      </w:r>
    </w:p>
    <w:p w14:paraId="506E1E7A" w14:textId="77777777" w:rsidR="00B3466E" w:rsidRPr="00B3466E" w:rsidRDefault="00B3466E" w:rsidP="00B3466E">
      <w:pPr>
        <w:spacing w:after="120"/>
        <w:ind w:left="2268" w:right="1134" w:hanging="1134"/>
        <w:jc w:val="both"/>
        <w:rPr>
          <w:lang w:val="en-US" w:eastAsia="fr-FR"/>
        </w:rPr>
      </w:pPr>
      <w:r w:rsidRPr="00B3466E">
        <w:rPr>
          <w:lang w:val="en-US" w:eastAsia="fr-FR"/>
        </w:rPr>
        <w:t>“</w:t>
      </w:r>
      <w:r w:rsidRPr="00B3466E">
        <w:rPr>
          <w:b/>
          <w:bCs/>
          <w:i/>
          <w:iCs/>
          <w:lang w:val="en-US" w:eastAsia="fr-FR"/>
        </w:rPr>
        <w:t>NOTE:</w:t>
      </w:r>
      <w:r w:rsidRPr="00B3466E">
        <w:rPr>
          <w:b/>
          <w:bCs/>
          <w:i/>
          <w:iCs/>
          <w:lang w:val="en-US" w:eastAsia="fr-FR"/>
        </w:rPr>
        <w:tab/>
      </w:r>
      <w:r w:rsidRPr="00B3466E">
        <w:rPr>
          <w:i/>
          <w:iCs/>
          <w:lang w:val="en-US" w:eastAsia="fr-FR"/>
        </w:rPr>
        <w:t xml:space="preserve"> The tank record may alternatively be maintained in electronic form.”</w:t>
      </w:r>
    </w:p>
    <w:p w14:paraId="2B94102E" w14:textId="77777777" w:rsidR="00B3466E" w:rsidRPr="00B3466E" w:rsidRDefault="00B3466E" w:rsidP="00B3466E">
      <w:pPr>
        <w:snapToGrid w:val="0"/>
        <w:spacing w:before="120" w:after="120"/>
        <w:ind w:left="1134"/>
        <w:rPr>
          <w:i/>
          <w:iCs/>
          <w:lang w:eastAsia="fr-FR"/>
        </w:rPr>
      </w:pPr>
      <w:r w:rsidRPr="00B3466E">
        <w:rPr>
          <w:i/>
          <w:iCs/>
          <w:lang w:eastAsia="fr-FR"/>
        </w:rPr>
        <w:t>(Reference document: ECE/TRANS/WP.15/AC.1/2022/22, as amended)</w:t>
      </w:r>
    </w:p>
    <w:p w14:paraId="6A3D70BA" w14:textId="77777777" w:rsidR="00B3466E" w:rsidRPr="00B3466E" w:rsidRDefault="00B3466E" w:rsidP="00B3466E">
      <w:pPr>
        <w:keepNext/>
        <w:keepLines/>
        <w:tabs>
          <w:tab w:val="right" w:pos="851"/>
        </w:tabs>
        <w:spacing w:before="240" w:after="120" w:line="240" w:lineRule="exact"/>
        <w:ind w:left="1134" w:right="1134" w:hanging="1134"/>
        <w:rPr>
          <w:b/>
          <w:lang w:eastAsia="fr-FR"/>
        </w:rPr>
      </w:pPr>
      <w:r w:rsidRPr="00B3466E">
        <w:rPr>
          <w:b/>
          <w:lang w:eastAsia="fr-FR"/>
        </w:rPr>
        <w:tab/>
      </w:r>
      <w:r w:rsidRPr="00B3466E">
        <w:rPr>
          <w:b/>
          <w:lang w:eastAsia="fr-FR"/>
        </w:rPr>
        <w:tab/>
        <w:t>Chapter 6.2</w:t>
      </w:r>
    </w:p>
    <w:p w14:paraId="521A7C5E" w14:textId="77777777" w:rsidR="00B3466E" w:rsidRPr="00B3466E" w:rsidRDefault="00B3466E" w:rsidP="00B3466E">
      <w:pPr>
        <w:spacing w:after="120"/>
        <w:ind w:left="2268" w:right="1134" w:hanging="1134"/>
        <w:jc w:val="both"/>
        <w:rPr>
          <w:lang w:eastAsia="fr-FR"/>
        </w:rPr>
      </w:pPr>
      <w:r w:rsidRPr="00B3466E">
        <w:rPr>
          <w:rFonts w:cs="Arial"/>
          <w:lang w:eastAsia="fr-FR"/>
        </w:rPr>
        <w:t>6.2.4.1</w:t>
      </w:r>
      <w:r w:rsidRPr="00B3466E">
        <w:rPr>
          <w:lang w:eastAsia="fr-FR"/>
        </w:rPr>
        <w:tab/>
        <w:t>Amend the table “</w:t>
      </w:r>
      <w:r w:rsidRPr="00B3466E">
        <w:rPr>
          <w:i/>
          <w:iCs/>
          <w:lang w:eastAsia="fr-FR"/>
        </w:rPr>
        <w:t>for design and construction of closures</w:t>
      </w:r>
      <w:r w:rsidRPr="00B3466E">
        <w:rPr>
          <w:lang w:eastAsia="fr-FR"/>
        </w:rPr>
        <w:t>” as follows:</w:t>
      </w:r>
    </w:p>
    <w:p w14:paraId="5D21F218" w14:textId="77777777" w:rsidR="00B3466E" w:rsidRPr="00B3466E" w:rsidRDefault="00B3466E" w:rsidP="00B3466E">
      <w:pPr>
        <w:spacing w:after="120"/>
        <w:ind w:left="2694" w:right="1134" w:hanging="426"/>
        <w:jc w:val="both"/>
        <w:rPr>
          <w:lang w:eastAsia="fr-FR"/>
        </w:rPr>
      </w:pPr>
      <w:r w:rsidRPr="00B3466E">
        <w:rPr>
          <w:lang w:eastAsia="fr-FR"/>
        </w:rPr>
        <w:t>–</w:t>
      </w:r>
      <w:r w:rsidRPr="00B3466E">
        <w:rPr>
          <w:lang w:eastAsia="fr-FR"/>
        </w:rPr>
        <w:tab/>
        <w:t>At the end, insert the following new row:</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B3466E" w:rsidRPr="00B3466E" w14:paraId="73EC6FC4" w14:textId="77777777" w:rsidTr="004A346A">
        <w:tc>
          <w:tcPr>
            <w:tcW w:w="1665" w:type="dxa"/>
            <w:vAlign w:val="center"/>
          </w:tcPr>
          <w:p w14:paraId="7A517BA6" w14:textId="77777777" w:rsidR="00B3466E" w:rsidRPr="00B3466E" w:rsidRDefault="00B3466E" w:rsidP="00B3466E">
            <w:pPr>
              <w:widowControl w:val="0"/>
              <w:spacing w:before="60" w:after="60"/>
              <w:rPr>
                <w:lang w:eastAsia="fr-FR"/>
              </w:rPr>
            </w:pPr>
            <w:r w:rsidRPr="00B3466E">
              <w:rPr>
                <w:bCs/>
                <w:lang w:eastAsia="fr-FR"/>
              </w:rPr>
              <w:t xml:space="preserve">EN </w:t>
            </w:r>
            <w:proofErr w:type="gramStart"/>
            <w:r w:rsidRPr="00B3466E">
              <w:rPr>
                <w:bCs/>
                <w:lang w:eastAsia="fr-FR"/>
              </w:rPr>
              <w:t>13799:[</w:t>
            </w:r>
            <w:proofErr w:type="gramEnd"/>
            <w:r w:rsidRPr="00B3466E">
              <w:rPr>
                <w:bCs/>
                <w:lang w:eastAsia="fr-FR"/>
              </w:rPr>
              <w:t>2022]</w:t>
            </w:r>
          </w:p>
        </w:tc>
        <w:tc>
          <w:tcPr>
            <w:tcW w:w="3402" w:type="dxa"/>
          </w:tcPr>
          <w:p w14:paraId="230195F4" w14:textId="77777777" w:rsidR="00B3466E" w:rsidRPr="00B3466E" w:rsidRDefault="00B3466E" w:rsidP="00B3466E">
            <w:pPr>
              <w:widowControl w:val="0"/>
              <w:spacing w:before="60" w:after="120"/>
              <w:rPr>
                <w:lang w:eastAsia="fr-FR"/>
              </w:rPr>
            </w:pPr>
            <w:r w:rsidRPr="00B3466E">
              <w:rPr>
                <w:bCs/>
                <w:lang w:eastAsia="fr-FR"/>
              </w:rPr>
              <w:t>LPG equipment and accessories – Contents gauges for Liquefied Petroleum Gas (LPG) pressure vessels</w:t>
            </w:r>
          </w:p>
        </w:tc>
        <w:tc>
          <w:tcPr>
            <w:tcW w:w="1134" w:type="dxa"/>
            <w:vAlign w:val="center"/>
          </w:tcPr>
          <w:p w14:paraId="0EE274DB" w14:textId="77777777" w:rsidR="00B3466E" w:rsidRPr="00B3466E" w:rsidRDefault="00B3466E" w:rsidP="00B3466E">
            <w:pPr>
              <w:widowControl w:val="0"/>
              <w:spacing w:before="60" w:after="60"/>
              <w:rPr>
                <w:lang w:eastAsia="fr-FR"/>
              </w:rPr>
            </w:pPr>
            <w:r w:rsidRPr="00B3466E">
              <w:rPr>
                <w:lang w:eastAsia="fr-FR"/>
              </w:rPr>
              <w:t>6.2.3.1 and 6.2.3.3</w:t>
            </w:r>
          </w:p>
        </w:tc>
        <w:tc>
          <w:tcPr>
            <w:tcW w:w="851" w:type="dxa"/>
            <w:vAlign w:val="center"/>
          </w:tcPr>
          <w:p w14:paraId="20A9A66A" w14:textId="77777777" w:rsidR="00B3466E" w:rsidRPr="00B3466E" w:rsidRDefault="00B3466E" w:rsidP="00B3466E">
            <w:pPr>
              <w:widowControl w:val="0"/>
              <w:spacing w:before="60" w:after="60"/>
              <w:rPr>
                <w:lang w:eastAsia="fr-FR"/>
              </w:rPr>
            </w:pPr>
            <w:r w:rsidRPr="00B3466E">
              <w:rPr>
                <w:lang w:eastAsia="fr-FR"/>
              </w:rPr>
              <w:t>Until further notice</w:t>
            </w:r>
          </w:p>
        </w:tc>
        <w:tc>
          <w:tcPr>
            <w:tcW w:w="425" w:type="dxa"/>
            <w:vAlign w:val="center"/>
          </w:tcPr>
          <w:p w14:paraId="2761F478" w14:textId="77777777" w:rsidR="00B3466E" w:rsidRPr="00B3466E" w:rsidRDefault="00B3466E" w:rsidP="00B3466E">
            <w:pPr>
              <w:widowControl w:val="0"/>
              <w:spacing w:before="60" w:after="60"/>
              <w:rPr>
                <w:lang w:eastAsia="fr-FR"/>
              </w:rPr>
            </w:pPr>
          </w:p>
        </w:tc>
      </w:tr>
    </w:tbl>
    <w:p w14:paraId="508899AE" w14:textId="77777777" w:rsidR="00B3466E" w:rsidRPr="00B3466E" w:rsidRDefault="00B3466E" w:rsidP="00B3466E">
      <w:pPr>
        <w:spacing w:before="120" w:after="120"/>
        <w:ind w:left="1134" w:right="1134"/>
        <w:jc w:val="both"/>
        <w:rPr>
          <w:i/>
          <w:iCs/>
        </w:rPr>
      </w:pPr>
      <w:r w:rsidRPr="00B3466E">
        <w:rPr>
          <w:i/>
          <w:iCs/>
        </w:rPr>
        <w:t xml:space="preserve">(Reference documents: </w:t>
      </w:r>
      <w:r w:rsidRPr="00B3466E">
        <w:rPr>
          <w:i/>
          <w:iCs/>
          <w:lang w:eastAsia="fr-FR"/>
        </w:rPr>
        <w:t>ECE/TRANS/WP.15/AC.1/2022/32 and informal document INF.19</w:t>
      </w:r>
      <w:r w:rsidRPr="00B3466E">
        <w:rPr>
          <w:i/>
          <w:iCs/>
        </w:rPr>
        <w:t>)</w:t>
      </w:r>
    </w:p>
    <w:p w14:paraId="237C7C35" w14:textId="77777777" w:rsidR="00B3466E" w:rsidRPr="00B3466E" w:rsidRDefault="00B3466E" w:rsidP="00B3466E">
      <w:pPr>
        <w:keepNext/>
        <w:keepLines/>
        <w:tabs>
          <w:tab w:val="right" w:pos="851"/>
        </w:tabs>
        <w:spacing w:before="240" w:after="120" w:line="240" w:lineRule="exact"/>
        <w:ind w:left="1134" w:right="1134" w:hanging="1134"/>
        <w:rPr>
          <w:b/>
          <w:lang w:eastAsia="fr-FR"/>
        </w:rPr>
      </w:pPr>
      <w:r w:rsidRPr="00B3466E">
        <w:rPr>
          <w:b/>
          <w:lang w:eastAsia="fr-FR"/>
        </w:rPr>
        <w:tab/>
      </w:r>
      <w:r w:rsidRPr="00B3466E">
        <w:rPr>
          <w:b/>
          <w:lang w:eastAsia="fr-FR"/>
        </w:rPr>
        <w:tab/>
        <w:t>Chapter 6.8</w:t>
      </w:r>
    </w:p>
    <w:p w14:paraId="79B5C87B" w14:textId="77777777" w:rsidR="00B3466E" w:rsidRPr="00B3466E" w:rsidRDefault="00B3466E" w:rsidP="00B3466E">
      <w:pPr>
        <w:spacing w:after="120"/>
        <w:ind w:left="2268" w:right="1134" w:hanging="1134"/>
        <w:jc w:val="both"/>
        <w:rPr>
          <w:lang w:eastAsia="fr-FR"/>
        </w:rPr>
      </w:pPr>
      <w:r w:rsidRPr="00B3466E">
        <w:rPr>
          <w:lang w:eastAsia="fr-FR"/>
        </w:rPr>
        <w:t>6.8.2.1.17</w:t>
      </w:r>
      <w:r w:rsidRPr="00B3466E">
        <w:rPr>
          <w:lang w:eastAsia="fr-FR"/>
        </w:rPr>
        <w:tab/>
        <w:t>At the end of the definition for “P</w:t>
      </w:r>
      <w:r w:rsidRPr="00B3466E">
        <w:rPr>
          <w:vertAlign w:val="subscript"/>
          <w:lang w:eastAsia="fr-FR"/>
        </w:rPr>
        <w:t>C</w:t>
      </w:r>
      <w:r w:rsidRPr="00B3466E">
        <w:rPr>
          <w:lang w:eastAsia="fr-FR"/>
        </w:rPr>
        <w:t>”, add “or in the table of 4.3.3.1.1”.</w:t>
      </w:r>
    </w:p>
    <w:p w14:paraId="4DD8FE9C" w14:textId="77777777" w:rsidR="00B3466E" w:rsidRPr="00B3466E" w:rsidRDefault="00B3466E" w:rsidP="00B3466E">
      <w:pPr>
        <w:spacing w:after="120"/>
        <w:ind w:left="1134" w:right="1134"/>
        <w:jc w:val="both"/>
        <w:rPr>
          <w:i/>
          <w:iCs/>
          <w:lang w:eastAsia="fr-FR"/>
        </w:rPr>
      </w:pPr>
      <w:r w:rsidRPr="00B3466E">
        <w:rPr>
          <w:i/>
          <w:iCs/>
          <w:lang w:eastAsia="fr-FR"/>
        </w:rPr>
        <w:t>(Reference document: informal document INF.36)</w:t>
      </w:r>
    </w:p>
    <w:p w14:paraId="18AC7E1E" w14:textId="77777777" w:rsidR="00B3466E" w:rsidRPr="00B3466E" w:rsidRDefault="00B3466E" w:rsidP="00B3466E">
      <w:pPr>
        <w:spacing w:after="120"/>
        <w:ind w:left="1134" w:right="1134"/>
        <w:jc w:val="both"/>
        <w:rPr>
          <w:rFonts w:cs="Arial"/>
          <w:bCs/>
          <w:lang w:eastAsia="fr-FR"/>
        </w:rPr>
      </w:pPr>
      <w:r w:rsidRPr="00B3466E">
        <w:rPr>
          <w:rFonts w:cs="Arial"/>
          <w:bCs/>
          <w:lang w:eastAsia="fr-FR"/>
        </w:rPr>
        <w:t>6.8.2.6.1</w:t>
      </w:r>
      <w:r w:rsidRPr="00B3466E">
        <w:rPr>
          <w:rFonts w:cs="Arial"/>
          <w:bCs/>
          <w:lang w:eastAsia="fr-FR"/>
        </w:rPr>
        <w:tab/>
      </w:r>
      <w:r w:rsidRPr="00B3466E">
        <w:rPr>
          <w:bCs/>
          <w:lang w:eastAsia="fr-FR"/>
        </w:rPr>
        <w:t>In the table, under “</w:t>
      </w:r>
      <w:r w:rsidRPr="00B3466E">
        <w:rPr>
          <w:bCs/>
          <w:i/>
          <w:iCs/>
          <w:lang w:eastAsia="fr-FR"/>
        </w:rPr>
        <w:t>For design and construction of tanks</w:t>
      </w:r>
      <w:r w:rsidRPr="00B3466E">
        <w:rPr>
          <w:bCs/>
          <w:lang w:eastAsia="fr-FR"/>
        </w:rPr>
        <w:t>”</w:t>
      </w:r>
      <w:r w:rsidRPr="00B3466E">
        <w:rPr>
          <w:rFonts w:cs="Arial"/>
          <w:bCs/>
          <w:lang w:eastAsia="fr-FR"/>
        </w:rPr>
        <w:t>:</w:t>
      </w:r>
    </w:p>
    <w:p w14:paraId="2C6EF767" w14:textId="77777777" w:rsidR="00B3466E" w:rsidRPr="00B3466E" w:rsidRDefault="00B3466E" w:rsidP="00B3466E">
      <w:pPr>
        <w:spacing w:after="120"/>
        <w:ind w:left="2552" w:right="1134" w:hanging="428"/>
        <w:jc w:val="both"/>
        <w:rPr>
          <w:rFonts w:cs="Arial"/>
          <w:lang w:eastAsia="fr-FR"/>
        </w:rPr>
      </w:pPr>
      <w:r w:rsidRPr="00B3466E">
        <w:rPr>
          <w:lang w:eastAsia="fr-FR"/>
        </w:rPr>
        <w:t>–</w:t>
      </w:r>
      <w:r w:rsidRPr="00B3466E">
        <w:rPr>
          <w:lang w:eastAsia="fr-FR"/>
        </w:rPr>
        <w:tab/>
        <w:t>In the row for EN </w:t>
      </w:r>
      <w:r w:rsidRPr="00B3466E">
        <w:rPr>
          <w:bCs/>
          <w:lang w:eastAsia="fr-FR"/>
        </w:rPr>
        <w:t>14025:2018 + AC:2020</w:t>
      </w:r>
      <w:r w:rsidRPr="00B3466E">
        <w:rPr>
          <w:lang w:eastAsia="fr-FR"/>
        </w:rPr>
        <w:t>, in column (4), replace “</w:t>
      </w:r>
      <w:r w:rsidRPr="00B3466E">
        <w:rPr>
          <w:bCs/>
          <w:lang w:eastAsia="fr-FR"/>
        </w:rPr>
        <w:t>Until further notice” by “Between 1 January 2021 and 31 December 2026”.</w:t>
      </w:r>
      <w:r w:rsidRPr="00B3466E">
        <w:rPr>
          <w:lang w:eastAsia="fr-FR"/>
        </w:rPr>
        <w:t xml:space="preserve"> Add a new row beneath this row as follows</w:t>
      </w:r>
      <w:r w:rsidRPr="00B3466E">
        <w:rPr>
          <w:rFonts w:cs="Arial"/>
          <w:lang w:eastAsia="fr-FR"/>
        </w:rPr>
        <w:t>:</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2"/>
        <w:gridCol w:w="3668"/>
        <w:gridCol w:w="1081"/>
        <w:gridCol w:w="1036"/>
        <w:gridCol w:w="718"/>
      </w:tblGrid>
      <w:tr w:rsidR="00B3466E" w:rsidRPr="00B3466E" w14:paraId="5A7418EF" w14:textId="77777777" w:rsidTr="004A346A">
        <w:tc>
          <w:tcPr>
            <w:tcW w:w="2002" w:type="dxa"/>
            <w:tcBorders>
              <w:top w:val="single" w:sz="4" w:space="0" w:color="auto"/>
              <w:left w:val="single" w:sz="4" w:space="0" w:color="auto"/>
              <w:bottom w:val="single" w:sz="4" w:space="0" w:color="auto"/>
              <w:right w:val="single" w:sz="4" w:space="0" w:color="auto"/>
            </w:tcBorders>
            <w:vAlign w:val="center"/>
            <w:hideMark/>
          </w:tcPr>
          <w:p w14:paraId="3815EE3B" w14:textId="77777777" w:rsidR="00B3466E" w:rsidRPr="00B3466E" w:rsidRDefault="00B3466E" w:rsidP="00B3466E">
            <w:pPr>
              <w:widowControl w:val="0"/>
              <w:tabs>
                <w:tab w:val="left" w:pos="720"/>
              </w:tabs>
              <w:rPr>
                <w:rFonts w:cs="Arial"/>
                <w:lang w:eastAsia="fr-FR"/>
              </w:rPr>
            </w:pPr>
            <w:r w:rsidRPr="00B3466E">
              <w:rPr>
                <w:lang w:eastAsia="fr-FR"/>
              </w:rPr>
              <w:t xml:space="preserve">EN </w:t>
            </w:r>
            <w:proofErr w:type="gramStart"/>
            <w:r w:rsidRPr="00B3466E">
              <w:rPr>
                <w:bCs/>
                <w:lang w:eastAsia="fr-FR"/>
              </w:rPr>
              <w:t>14025:[</w:t>
            </w:r>
            <w:proofErr w:type="gramEnd"/>
            <w:r w:rsidRPr="00B3466E">
              <w:rPr>
                <w:bCs/>
                <w:lang w:eastAsia="fr-FR"/>
              </w:rPr>
              <w:t>2023]</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C610FAC" w14:textId="77777777" w:rsidR="00B3466E" w:rsidRPr="00B3466E" w:rsidRDefault="00B3466E" w:rsidP="00B3466E">
            <w:pPr>
              <w:widowControl w:val="0"/>
              <w:tabs>
                <w:tab w:val="left" w:pos="599"/>
              </w:tabs>
              <w:jc w:val="both"/>
              <w:rPr>
                <w:bCs/>
                <w:color w:val="000000"/>
                <w:lang w:eastAsia="fr-FR"/>
              </w:rPr>
            </w:pPr>
            <w:r w:rsidRPr="00B3466E">
              <w:rPr>
                <w:bCs/>
                <w:lang w:eastAsia="fr-FR"/>
              </w:rPr>
              <w:t>Tanks for the transport of dangerous goods – Metallic pressure tanks – Design and construction</w:t>
            </w:r>
          </w:p>
          <w:p w14:paraId="72A302D6" w14:textId="77777777" w:rsidR="00B3466E" w:rsidRPr="00B3466E" w:rsidRDefault="00B3466E" w:rsidP="00B3466E">
            <w:pPr>
              <w:widowControl w:val="0"/>
              <w:tabs>
                <w:tab w:val="left" w:pos="446"/>
              </w:tabs>
              <w:jc w:val="both"/>
              <w:rPr>
                <w:rFonts w:cs="Arial"/>
                <w:bCs/>
                <w:i/>
                <w:lang w:eastAsia="fr-FR"/>
              </w:rPr>
            </w:pPr>
            <w:r w:rsidRPr="00B3466E">
              <w:rPr>
                <w:rFonts w:cs="Arial"/>
                <w:b/>
                <w:bCs/>
                <w:i/>
                <w:lang w:eastAsia="fr-FR"/>
              </w:rPr>
              <w:t>NOTE:</w:t>
            </w:r>
            <w:r w:rsidRPr="00B3466E">
              <w:rPr>
                <w:rFonts w:cs="Arial"/>
                <w:b/>
                <w:bCs/>
                <w:i/>
                <w:lang w:eastAsia="fr-FR"/>
              </w:rPr>
              <w:tab/>
            </w:r>
            <w:r w:rsidRPr="00B3466E">
              <w:rPr>
                <w:i/>
                <w:lang w:eastAsia="fr-FR"/>
              </w:rPr>
              <w:t>Materials of shells shall at least be attested by a type 3.1 certificate issued in accordance with standard EN 10204</w:t>
            </w:r>
            <w:r w:rsidRPr="00B3466E">
              <w:rPr>
                <w:rFonts w:ascii="TimesNewRomanPS-ItalicMT" w:hAnsi="TimesNewRomanPS-ItalicMT" w:cs="TimesNewRomanPS-ItalicMT"/>
                <w:i/>
                <w:sz w:val="18"/>
                <w:szCs w:val="18"/>
                <w:lang w:eastAsia="fr-FR"/>
              </w:rPr>
              <w:t>.</w:t>
            </w:r>
          </w:p>
        </w:tc>
        <w:tc>
          <w:tcPr>
            <w:tcW w:w="1081" w:type="dxa"/>
            <w:tcBorders>
              <w:top w:val="single" w:sz="4" w:space="0" w:color="auto"/>
              <w:left w:val="single" w:sz="4" w:space="0" w:color="auto"/>
              <w:bottom w:val="single" w:sz="4" w:space="0" w:color="auto"/>
              <w:right w:val="single" w:sz="4" w:space="0" w:color="auto"/>
            </w:tcBorders>
            <w:vAlign w:val="center"/>
            <w:hideMark/>
          </w:tcPr>
          <w:p w14:paraId="72B0C546" w14:textId="77777777" w:rsidR="00B3466E" w:rsidRPr="00B3466E" w:rsidRDefault="00B3466E" w:rsidP="00B3466E">
            <w:pPr>
              <w:widowControl w:val="0"/>
              <w:tabs>
                <w:tab w:val="left" w:pos="720"/>
              </w:tabs>
              <w:rPr>
                <w:rFonts w:cs="Arial"/>
                <w:lang w:eastAsia="fr-FR"/>
              </w:rPr>
            </w:pPr>
            <w:r w:rsidRPr="00B3466E">
              <w:rPr>
                <w:rFonts w:cs="Arial"/>
                <w:lang w:eastAsia="fr-FR"/>
              </w:rPr>
              <w:t>6.8.2.1 and 6.8.3.1</w:t>
            </w:r>
          </w:p>
        </w:tc>
        <w:tc>
          <w:tcPr>
            <w:tcW w:w="1036" w:type="dxa"/>
            <w:tcBorders>
              <w:top w:val="single" w:sz="4" w:space="0" w:color="auto"/>
              <w:left w:val="single" w:sz="4" w:space="0" w:color="auto"/>
              <w:bottom w:val="single" w:sz="4" w:space="0" w:color="auto"/>
              <w:right w:val="single" w:sz="4" w:space="0" w:color="auto"/>
            </w:tcBorders>
            <w:vAlign w:val="center"/>
            <w:hideMark/>
          </w:tcPr>
          <w:p w14:paraId="028D0040" w14:textId="77777777" w:rsidR="00B3466E" w:rsidRPr="00B3466E" w:rsidRDefault="00B3466E" w:rsidP="00B3466E">
            <w:pPr>
              <w:widowControl w:val="0"/>
              <w:tabs>
                <w:tab w:val="left" w:pos="720"/>
              </w:tabs>
              <w:jc w:val="center"/>
              <w:rPr>
                <w:rFonts w:cs="Arial"/>
                <w:lang w:eastAsia="fr-FR"/>
              </w:rPr>
            </w:pPr>
            <w:r w:rsidRPr="00B3466E">
              <w:rPr>
                <w:lang w:eastAsia="fr-FR"/>
              </w:rPr>
              <w:t>Until further notice</w:t>
            </w:r>
          </w:p>
        </w:tc>
        <w:tc>
          <w:tcPr>
            <w:tcW w:w="718" w:type="dxa"/>
            <w:tcBorders>
              <w:top w:val="single" w:sz="4" w:space="0" w:color="auto"/>
              <w:left w:val="single" w:sz="4" w:space="0" w:color="auto"/>
              <w:bottom w:val="single" w:sz="4" w:space="0" w:color="auto"/>
              <w:right w:val="single" w:sz="4" w:space="0" w:color="auto"/>
            </w:tcBorders>
            <w:vAlign w:val="center"/>
          </w:tcPr>
          <w:p w14:paraId="764F476D" w14:textId="77777777" w:rsidR="00B3466E" w:rsidRPr="00B3466E" w:rsidRDefault="00B3466E" w:rsidP="00B3466E">
            <w:pPr>
              <w:widowControl w:val="0"/>
              <w:tabs>
                <w:tab w:val="left" w:pos="720"/>
              </w:tabs>
              <w:rPr>
                <w:rFonts w:cs="Arial"/>
                <w:lang w:eastAsia="fr-FR"/>
              </w:rPr>
            </w:pPr>
          </w:p>
        </w:tc>
      </w:tr>
    </w:tbl>
    <w:p w14:paraId="32ED6ECE" w14:textId="77777777" w:rsidR="00B3466E" w:rsidRPr="00B3466E" w:rsidRDefault="00B3466E" w:rsidP="00B3466E">
      <w:pPr>
        <w:spacing w:before="120" w:after="120"/>
        <w:ind w:left="1134" w:right="1134"/>
        <w:jc w:val="both"/>
        <w:rPr>
          <w:i/>
          <w:iCs/>
        </w:rPr>
      </w:pPr>
      <w:r w:rsidRPr="00B3466E">
        <w:rPr>
          <w:i/>
          <w:iCs/>
        </w:rPr>
        <w:t xml:space="preserve">(Reference </w:t>
      </w:r>
      <w:r w:rsidRPr="00B3466E">
        <w:rPr>
          <w:i/>
          <w:iCs/>
          <w:lang w:eastAsia="fr-FR"/>
        </w:rPr>
        <w:t>document</w:t>
      </w:r>
      <w:r w:rsidRPr="00B3466E">
        <w:rPr>
          <w:i/>
          <w:iCs/>
        </w:rPr>
        <w:t xml:space="preserve">: </w:t>
      </w:r>
      <w:r w:rsidRPr="00B3466E">
        <w:rPr>
          <w:i/>
          <w:iCs/>
          <w:lang w:eastAsia="fr-FR"/>
        </w:rPr>
        <w:t>ECE/TRANS/WP.15/AC.1/2022/32 and informal document INF.19</w:t>
      </w:r>
      <w:r w:rsidRPr="00B3466E">
        <w:rPr>
          <w:i/>
          <w:iCs/>
        </w:rPr>
        <w:t>)</w:t>
      </w:r>
    </w:p>
    <w:p w14:paraId="59C0907A" w14:textId="77777777" w:rsidR="00B3466E" w:rsidRPr="00B3466E" w:rsidRDefault="00B3466E" w:rsidP="00B3466E">
      <w:pPr>
        <w:spacing w:after="120"/>
        <w:ind w:left="2268" w:right="850" w:hanging="1134"/>
        <w:jc w:val="both"/>
        <w:rPr>
          <w:lang w:eastAsia="fr-FR"/>
        </w:rPr>
      </w:pPr>
      <w:r w:rsidRPr="00B3466E">
        <w:rPr>
          <w:lang w:eastAsia="fr-FR"/>
        </w:rPr>
        <w:tab/>
        <w:t>In the table, under “</w:t>
      </w:r>
      <w:r w:rsidRPr="00B3466E">
        <w:rPr>
          <w:i/>
          <w:lang w:eastAsia="fr-FR"/>
        </w:rPr>
        <w:t>For equipment”</w:t>
      </w:r>
      <w:r w:rsidRPr="00B3466E">
        <w:rPr>
          <w:lang w:eastAsia="fr-FR"/>
        </w:rPr>
        <w:t>:</w:t>
      </w:r>
    </w:p>
    <w:p w14:paraId="4B7388A3" w14:textId="77777777" w:rsidR="00B3466E" w:rsidRPr="00B3466E" w:rsidRDefault="00B3466E" w:rsidP="00B3466E">
      <w:pPr>
        <w:spacing w:before="120" w:after="120"/>
        <w:ind w:left="2551" w:right="1134" w:hanging="425"/>
        <w:jc w:val="both"/>
        <w:rPr>
          <w:rFonts w:cs="Arial"/>
          <w:szCs w:val="22"/>
          <w:lang w:eastAsia="fr-FR"/>
        </w:rPr>
      </w:pPr>
      <w:r w:rsidRPr="00B3466E">
        <w:rPr>
          <w:lang w:eastAsia="fr-FR"/>
        </w:rPr>
        <w:t>[-</w:t>
      </w:r>
      <w:r w:rsidRPr="00B3466E">
        <w:rPr>
          <w:lang w:eastAsia="fr-FR"/>
        </w:rPr>
        <w:tab/>
        <w:t>In the row for EN 14432:2014, in column (4), replace “Until further notice” by “Between 1 January 2019 and 31 December 2026”. Add a new row beneath this row as follows:</w:t>
      </w:r>
    </w:p>
    <w:tbl>
      <w:tblPr>
        <w:tblStyle w:val="TableGrid"/>
        <w:tblW w:w="0" w:type="auto"/>
        <w:tblInd w:w="1129" w:type="dxa"/>
        <w:tblLook w:val="04A0" w:firstRow="1" w:lastRow="0" w:firstColumn="1" w:lastColumn="0" w:noHBand="0" w:noVBand="1"/>
      </w:tblPr>
      <w:tblGrid>
        <w:gridCol w:w="1418"/>
        <w:gridCol w:w="3827"/>
        <w:gridCol w:w="1276"/>
        <w:gridCol w:w="850"/>
        <w:gridCol w:w="567"/>
      </w:tblGrid>
      <w:tr w:rsidR="00B3466E" w:rsidRPr="00B3466E" w14:paraId="658E68BE" w14:textId="77777777" w:rsidTr="004A346A">
        <w:tc>
          <w:tcPr>
            <w:tcW w:w="1418" w:type="dxa"/>
          </w:tcPr>
          <w:p w14:paraId="2A4DB9C5" w14:textId="77777777" w:rsidR="00B3466E" w:rsidRPr="00B3466E" w:rsidRDefault="00B3466E" w:rsidP="00B3466E">
            <w:pPr>
              <w:rPr>
                <w:lang w:eastAsia="fr-FR"/>
              </w:rPr>
            </w:pPr>
          </w:p>
          <w:p w14:paraId="02DC8B45" w14:textId="77777777" w:rsidR="00B3466E" w:rsidRPr="00B3466E" w:rsidRDefault="00B3466E" w:rsidP="00B3466E">
            <w:pPr>
              <w:rPr>
                <w:lang w:eastAsia="fr-FR"/>
              </w:rPr>
            </w:pPr>
            <w:r w:rsidRPr="00B3466E">
              <w:rPr>
                <w:lang w:eastAsia="fr-FR"/>
              </w:rPr>
              <w:t xml:space="preserve">EN </w:t>
            </w:r>
            <w:proofErr w:type="gramStart"/>
            <w:r w:rsidRPr="00B3466E">
              <w:rPr>
                <w:lang w:eastAsia="fr-FR"/>
              </w:rPr>
              <w:t>14432:[</w:t>
            </w:r>
            <w:proofErr w:type="gramEnd"/>
            <w:r w:rsidRPr="00B3466E">
              <w:rPr>
                <w:lang w:eastAsia="fr-FR"/>
              </w:rPr>
              <w:t>2023]</w:t>
            </w:r>
          </w:p>
        </w:tc>
        <w:tc>
          <w:tcPr>
            <w:tcW w:w="3827" w:type="dxa"/>
          </w:tcPr>
          <w:p w14:paraId="61D77B3B" w14:textId="77777777" w:rsidR="00B3466E" w:rsidRPr="00B3466E" w:rsidRDefault="00B3466E" w:rsidP="00B3466E">
            <w:pPr>
              <w:ind w:left="138"/>
              <w:rPr>
                <w:lang w:eastAsia="fr-FR"/>
              </w:rPr>
            </w:pPr>
            <w:r w:rsidRPr="00B3466E">
              <w:rPr>
                <w:lang w:eastAsia="fr-FR"/>
              </w:rPr>
              <w:t>Tanks for the transport of dangerous goods – Tank equipment for the transport of liquid chemicals and liquefied gases – Product discharge and air inlet valves</w:t>
            </w:r>
          </w:p>
          <w:p w14:paraId="229F63E0" w14:textId="77777777" w:rsidR="00B3466E" w:rsidRPr="00B3466E" w:rsidRDefault="00B3466E" w:rsidP="00B3466E">
            <w:pPr>
              <w:ind w:left="138"/>
              <w:rPr>
                <w:lang w:eastAsia="fr-FR"/>
              </w:rPr>
            </w:pPr>
            <w:r w:rsidRPr="00B3466E">
              <w:rPr>
                <w:b/>
                <w:bCs/>
                <w:i/>
                <w:iCs/>
                <w:lang w:eastAsia="fr-FR"/>
              </w:rPr>
              <w:t>NOTE:</w:t>
            </w:r>
            <w:r w:rsidRPr="00B3466E">
              <w:rPr>
                <w:i/>
                <w:iCs/>
                <w:lang w:eastAsia="fr-FR"/>
              </w:rPr>
              <w:t xml:space="preserve"> This standard may also be used for gravity discharge tanks.</w:t>
            </w:r>
          </w:p>
        </w:tc>
        <w:tc>
          <w:tcPr>
            <w:tcW w:w="1276" w:type="dxa"/>
          </w:tcPr>
          <w:p w14:paraId="57C73FE5" w14:textId="77777777" w:rsidR="00B3466E" w:rsidRPr="00B3466E" w:rsidRDefault="00B3466E" w:rsidP="00B3466E">
            <w:pPr>
              <w:rPr>
                <w:lang w:eastAsia="fr-FR"/>
              </w:rPr>
            </w:pPr>
          </w:p>
          <w:p w14:paraId="11EB24E3" w14:textId="77777777" w:rsidR="00B3466E" w:rsidRPr="00B3466E" w:rsidRDefault="00B3466E" w:rsidP="00B3466E">
            <w:pPr>
              <w:rPr>
                <w:lang w:eastAsia="fr-FR"/>
              </w:rPr>
            </w:pPr>
            <w:r w:rsidRPr="00B3466E">
              <w:rPr>
                <w:lang w:eastAsia="fr-FR"/>
              </w:rPr>
              <w:t xml:space="preserve">6.8.2.2.1, 6.8.2.2.2 and 6.8.2.3.1 </w:t>
            </w:r>
          </w:p>
          <w:p w14:paraId="04F2D323" w14:textId="77777777" w:rsidR="00B3466E" w:rsidRPr="00B3466E" w:rsidRDefault="00B3466E" w:rsidP="00B3466E">
            <w:pPr>
              <w:rPr>
                <w:lang w:eastAsia="fr-FR"/>
              </w:rPr>
            </w:pPr>
          </w:p>
        </w:tc>
        <w:tc>
          <w:tcPr>
            <w:tcW w:w="850" w:type="dxa"/>
          </w:tcPr>
          <w:p w14:paraId="729AA1CE" w14:textId="77777777" w:rsidR="00B3466E" w:rsidRPr="00B3466E" w:rsidRDefault="00B3466E" w:rsidP="00B3466E">
            <w:pPr>
              <w:rPr>
                <w:lang w:eastAsia="fr-FR"/>
              </w:rPr>
            </w:pPr>
          </w:p>
          <w:p w14:paraId="313E4F9A" w14:textId="77777777" w:rsidR="00B3466E" w:rsidRPr="00B3466E" w:rsidRDefault="00B3466E" w:rsidP="00B3466E">
            <w:pPr>
              <w:rPr>
                <w:lang w:eastAsia="fr-FR"/>
              </w:rPr>
            </w:pPr>
            <w:r w:rsidRPr="00B3466E">
              <w:rPr>
                <w:lang w:eastAsia="fr-FR"/>
              </w:rPr>
              <w:t>Until further notice</w:t>
            </w:r>
          </w:p>
        </w:tc>
        <w:tc>
          <w:tcPr>
            <w:tcW w:w="567" w:type="dxa"/>
          </w:tcPr>
          <w:p w14:paraId="3E8092D9" w14:textId="77777777" w:rsidR="00B3466E" w:rsidRPr="00B3466E" w:rsidRDefault="00B3466E" w:rsidP="00B3466E">
            <w:pPr>
              <w:rPr>
                <w:lang w:eastAsia="fr-FR"/>
              </w:rPr>
            </w:pPr>
          </w:p>
        </w:tc>
      </w:tr>
    </w:tbl>
    <w:p w14:paraId="23554007" w14:textId="77777777" w:rsidR="00B3466E" w:rsidRPr="00B3466E" w:rsidRDefault="00B3466E" w:rsidP="00B3466E">
      <w:pPr>
        <w:spacing w:after="120"/>
        <w:ind w:left="1134" w:right="1134"/>
        <w:jc w:val="both"/>
        <w:rPr>
          <w:lang w:eastAsia="fr-FR"/>
        </w:rPr>
      </w:pPr>
      <w:r w:rsidRPr="00B3466E">
        <w:rPr>
          <w:lang w:eastAsia="fr-FR"/>
        </w:rPr>
        <w:t>]</w:t>
      </w:r>
    </w:p>
    <w:p w14:paraId="188621D0" w14:textId="77777777" w:rsidR="00B3466E" w:rsidRPr="00B3466E" w:rsidRDefault="00B3466E" w:rsidP="00B3466E">
      <w:pPr>
        <w:snapToGrid w:val="0"/>
        <w:spacing w:before="120" w:after="120"/>
        <w:ind w:left="1134"/>
        <w:rPr>
          <w:i/>
          <w:iCs/>
          <w:lang w:eastAsia="fr-FR"/>
        </w:rPr>
      </w:pPr>
      <w:r w:rsidRPr="00B3466E">
        <w:rPr>
          <w:i/>
          <w:iCs/>
          <w:lang w:eastAsia="fr-FR"/>
        </w:rPr>
        <w:t>(Reference document: informal document INF.19)</w:t>
      </w:r>
    </w:p>
    <w:p w14:paraId="6CCBF729" w14:textId="77777777" w:rsidR="00B3466E" w:rsidRPr="00B3466E" w:rsidRDefault="00B3466E" w:rsidP="00B3466E">
      <w:pPr>
        <w:spacing w:after="120"/>
        <w:ind w:left="2552" w:right="1134" w:hanging="428"/>
        <w:jc w:val="both"/>
        <w:rPr>
          <w:rFonts w:cs="Arial"/>
          <w:szCs w:val="22"/>
          <w:lang w:eastAsia="fr-FR"/>
        </w:rPr>
      </w:pPr>
      <w:r w:rsidRPr="00B3466E">
        <w:rPr>
          <w:lang w:eastAsia="fr-FR"/>
        </w:rPr>
        <w:t>[-</w:t>
      </w:r>
      <w:r w:rsidRPr="00B3466E">
        <w:rPr>
          <w:lang w:eastAsia="fr-FR"/>
        </w:rPr>
        <w:tab/>
        <w:t>In the row for EN 14433:2014, in column (4), replace “Until further notice” by “Between 1 January 2019 and 31 December 2026”. Add a new row beneath this row as follows:</w:t>
      </w:r>
    </w:p>
    <w:tbl>
      <w:tblPr>
        <w:tblStyle w:val="TableGrid"/>
        <w:tblW w:w="0" w:type="auto"/>
        <w:tblInd w:w="1129" w:type="dxa"/>
        <w:tblLook w:val="04A0" w:firstRow="1" w:lastRow="0" w:firstColumn="1" w:lastColumn="0" w:noHBand="0" w:noVBand="1"/>
      </w:tblPr>
      <w:tblGrid>
        <w:gridCol w:w="1418"/>
        <w:gridCol w:w="3827"/>
        <w:gridCol w:w="1276"/>
        <w:gridCol w:w="850"/>
        <w:gridCol w:w="567"/>
      </w:tblGrid>
      <w:tr w:rsidR="00B3466E" w:rsidRPr="00B3466E" w14:paraId="38ACC508" w14:textId="77777777" w:rsidTr="004A346A">
        <w:tc>
          <w:tcPr>
            <w:tcW w:w="1418" w:type="dxa"/>
          </w:tcPr>
          <w:p w14:paraId="67D5CE7D" w14:textId="77777777" w:rsidR="00B3466E" w:rsidRPr="00B3466E" w:rsidRDefault="00B3466E" w:rsidP="00B3466E">
            <w:pPr>
              <w:rPr>
                <w:lang w:eastAsia="fr-FR"/>
              </w:rPr>
            </w:pPr>
          </w:p>
          <w:p w14:paraId="105F6F26" w14:textId="77777777" w:rsidR="00B3466E" w:rsidRPr="00B3466E" w:rsidRDefault="00B3466E" w:rsidP="00B3466E">
            <w:pPr>
              <w:rPr>
                <w:lang w:eastAsia="fr-FR"/>
              </w:rPr>
            </w:pPr>
            <w:r w:rsidRPr="00B3466E">
              <w:rPr>
                <w:lang w:eastAsia="fr-FR"/>
              </w:rPr>
              <w:t xml:space="preserve">EN </w:t>
            </w:r>
            <w:proofErr w:type="gramStart"/>
            <w:r w:rsidRPr="00B3466E">
              <w:rPr>
                <w:lang w:eastAsia="fr-FR"/>
              </w:rPr>
              <w:t>14433:[</w:t>
            </w:r>
            <w:proofErr w:type="gramEnd"/>
            <w:r w:rsidRPr="00B3466E">
              <w:rPr>
                <w:lang w:eastAsia="fr-FR"/>
              </w:rPr>
              <w:t>2023]</w:t>
            </w:r>
          </w:p>
        </w:tc>
        <w:tc>
          <w:tcPr>
            <w:tcW w:w="3827" w:type="dxa"/>
          </w:tcPr>
          <w:p w14:paraId="3837C133" w14:textId="77777777" w:rsidR="00B3466E" w:rsidRPr="00B3466E" w:rsidRDefault="00B3466E" w:rsidP="00B3466E">
            <w:pPr>
              <w:ind w:left="138"/>
              <w:rPr>
                <w:lang w:eastAsia="fr-FR"/>
              </w:rPr>
            </w:pPr>
            <w:r w:rsidRPr="00B3466E">
              <w:rPr>
                <w:lang w:eastAsia="fr-FR"/>
              </w:rPr>
              <w:t>Tanks for the transport of dangerous goods – Tank equipment for the transport of liquid chemicals and liquefied gases – Foot valves</w:t>
            </w:r>
          </w:p>
          <w:p w14:paraId="4DFB8470" w14:textId="77777777" w:rsidR="00B3466E" w:rsidRPr="00B3466E" w:rsidRDefault="00B3466E" w:rsidP="00B3466E">
            <w:pPr>
              <w:ind w:left="138"/>
              <w:rPr>
                <w:lang w:eastAsia="fr-FR"/>
              </w:rPr>
            </w:pPr>
            <w:r w:rsidRPr="00B3466E">
              <w:rPr>
                <w:b/>
                <w:bCs/>
                <w:i/>
                <w:iCs/>
                <w:lang w:eastAsia="fr-FR"/>
              </w:rPr>
              <w:t>NOTE:</w:t>
            </w:r>
            <w:r w:rsidRPr="00B3466E">
              <w:rPr>
                <w:i/>
                <w:iCs/>
                <w:lang w:eastAsia="fr-FR"/>
              </w:rPr>
              <w:t xml:space="preserve"> This standard may also be used for gravity discharge tanks.</w:t>
            </w:r>
          </w:p>
        </w:tc>
        <w:tc>
          <w:tcPr>
            <w:tcW w:w="1276" w:type="dxa"/>
          </w:tcPr>
          <w:p w14:paraId="45149E65" w14:textId="77777777" w:rsidR="00B3466E" w:rsidRPr="00B3466E" w:rsidRDefault="00B3466E" w:rsidP="00B3466E">
            <w:pPr>
              <w:rPr>
                <w:lang w:eastAsia="fr-FR"/>
              </w:rPr>
            </w:pPr>
          </w:p>
          <w:p w14:paraId="430D5D23" w14:textId="77777777" w:rsidR="00B3466E" w:rsidRPr="00B3466E" w:rsidRDefault="00B3466E" w:rsidP="00B3466E">
            <w:pPr>
              <w:rPr>
                <w:lang w:eastAsia="fr-FR"/>
              </w:rPr>
            </w:pPr>
            <w:r w:rsidRPr="00B3466E">
              <w:rPr>
                <w:lang w:eastAsia="fr-FR"/>
              </w:rPr>
              <w:t xml:space="preserve">6.8.2.2.1, 6.8.2.2.2 and 6.8.2.3.1 </w:t>
            </w:r>
          </w:p>
        </w:tc>
        <w:tc>
          <w:tcPr>
            <w:tcW w:w="850" w:type="dxa"/>
          </w:tcPr>
          <w:p w14:paraId="72BAD663" w14:textId="77777777" w:rsidR="00B3466E" w:rsidRPr="00B3466E" w:rsidRDefault="00B3466E" w:rsidP="00B3466E">
            <w:pPr>
              <w:rPr>
                <w:lang w:eastAsia="fr-FR"/>
              </w:rPr>
            </w:pPr>
          </w:p>
          <w:p w14:paraId="04BF8988" w14:textId="77777777" w:rsidR="00B3466E" w:rsidRPr="00B3466E" w:rsidRDefault="00B3466E" w:rsidP="00B3466E">
            <w:pPr>
              <w:rPr>
                <w:lang w:eastAsia="fr-FR"/>
              </w:rPr>
            </w:pPr>
            <w:r w:rsidRPr="00B3466E">
              <w:rPr>
                <w:lang w:eastAsia="fr-FR"/>
              </w:rPr>
              <w:t>Until further notice</w:t>
            </w:r>
          </w:p>
        </w:tc>
        <w:tc>
          <w:tcPr>
            <w:tcW w:w="567" w:type="dxa"/>
          </w:tcPr>
          <w:p w14:paraId="430BD9BB" w14:textId="77777777" w:rsidR="00B3466E" w:rsidRPr="00B3466E" w:rsidRDefault="00B3466E" w:rsidP="00B3466E">
            <w:pPr>
              <w:rPr>
                <w:lang w:eastAsia="fr-FR"/>
              </w:rPr>
            </w:pPr>
          </w:p>
        </w:tc>
      </w:tr>
    </w:tbl>
    <w:p w14:paraId="570FA589" w14:textId="77777777" w:rsidR="00B3466E" w:rsidRPr="00B3466E" w:rsidRDefault="00B3466E" w:rsidP="00B3466E">
      <w:pPr>
        <w:spacing w:after="120"/>
        <w:ind w:left="1134" w:right="1134"/>
        <w:jc w:val="both"/>
        <w:rPr>
          <w:lang w:eastAsia="fr-FR"/>
        </w:rPr>
      </w:pPr>
      <w:r w:rsidRPr="00B3466E">
        <w:rPr>
          <w:lang w:eastAsia="fr-FR"/>
        </w:rPr>
        <w:t>]</w:t>
      </w:r>
    </w:p>
    <w:p w14:paraId="0E4E6C9D" w14:textId="77777777" w:rsidR="00B3466E" w:rsidRPr="00B3466E" w:rsidRDefault="00B3466E" w:rsidP="00B3466E">
      <w:pPr>
        <w:snapToGrid w:val="0"/>
        <w:spacing w:before="120" w:after="120"/>
        <w:ind w:left="1134"/>
        <w:rPr>
          <w:i/>
          <w:iCs/>
          <w:lang w:eastAsia="fr-FR"/>
        </w:rPr>
      </w:pPr>
      <w:r w:rsidRPr="00B3466E">
        <w:rPr>
          <w:i/>
          <w:iCs/>
          <w:lang w:eastAsia="fr-FR"/>
        </w:rPr>
        <w:t>(Reference document: informal document INF.19)</w:t>
      </w:r>
    </w:p>
    <w:p w14:paraId="71A96F77" w14:textId="77777777" w:rsidR="00B3466E" w:rsidRPr="00B3466E" w:rsidRDefault="00B3466E" w:rsidP="00B3466E">
      <w:pPr>
        <w:spacing w:before="120" w:after="120"/>
        <w:ind w:left="2551" w:right="1134" w:hanging="425"/>
        <w:jc w:val="both"/>
        <w:rPr>
          <w:lang w:eastAsia="fr-FR"/>
        </w:rPr>
      </w:pPr>
      <w:r w:rsidRPr="00B3466E">
        <w:rPr>
          <w:lang w:eastAsia="fr-FR"/>
        </w:rPr>
        <w:t>–</w:t>
      </w:r>
      <w:r w:rsidRPr="00B3466E">
        <w:rPr>
          <w:lang w:eastAsia="fr-FR"/>
        </w:rPr>
        <w:tab/>
        <w:t>Insert the following new row after the last row.</w:t>
      </w:r>
    </w:p>
    <w:tbl>
      <w:tblPr>
        <w:tblW w:w="850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4"/>
        <w:gridCol w:w="3870"/>
        <w:gridCol w:w="1290"/>
        <w:gridCol w:w="968"/>
        <w:gridCol w:w="483"/>
      </w:tblGrid>
      <w:tr w:rsidR="00B3466E" w:rsidRPr="00B3466E" w14:paraId="3A1A7C85" w14:textId="77777777" w:rsidTr="004A346A">
        <w:tc>
          <w:tcPr>
            <w:tcW w:w="1894" w:type="dxa"/>
            <w:vAlign w:val="center"/>
          </w:tcPr>
          <w:p w14:paraId="0C261D6C" w14:textId="77777777" w:rsidR="00B3466E" w:rsidRPr="00B3466E" w:rsidRDefault="00B3466E" w:rsidP="00B3466E">
            <w:pPr>
              <w:widowControl w:val="0"/>
              <w:spacing w:before="60" w:after="60"/>
              <w:rPr>
                <w:strike/>
                <w:lang w:eastAsia="fr-FR"/>
              </w:rPr>
            </w:pPr>
            <w:r w:rsidRPr="00B3466E">
              <w:rPr>
                <w:bCs/>
                <w:lang w:eastAsia="fr-FR"/>
              </w:rPr>
              <w:t xml:space="preserve">EN </w:t>
            </w:r>
            <w:proofErr w:type="gramStart"/>
            <w:r w:rsidRPr="00B3466E">
              <w:rPr>
                <w:bCs/>
                <w:lang w:eastAsia="fr-FR"/>
              </w:rPr>
              <w:t>13799:[</w:t>
            </w:r>
            <w:proofErr w:type="gramEnd"/>
            <w:r w:rsidRPr="00B3466E">
              <w:rPr>
                <w:bCs/>
                <w:lang w:eastAsia="fr-FR"/>
              </w:rPr>
              <w:t>2022]</w:t>
            </w:r>
          </w:p>
        </w:tc>
        <w:tc>
          <w:tcPr>
            <w:tcW w:w="3870" w:type="dxa"/>
          </w:tcPr>
          <w:p w14:paraId="2D436F02" w14:textId="77777777" w:rsidR="00B3466E" w:rsidRPr="00B3466E" w:rsidRDefault="00B3466E" w:rsidP="00B3466E">
            <w:pPr>
              <w:keepLines/>
              <w:widowControl w:val="0"/>
              <w:spacing w:before="60" w:after="120"/>
              <w:rPr>
                <w:strike/>
                <w:lang w:eastAsia="fr-FR"/>
              </w:rPr>
            </w:pPr>
            <w:r w:rsidRPr="00B3466E">
              <w:rPr>
                <w:bCs/>
                <w:lang w:eastAsia="fr-FR"/>
              </w:rPr>
              <w:t>LPG equipment and accessories – Contents gauges for Liquefied Petroleum Gas (LPG) pressure vessels</w:t>
            </w:r>
          </w:p>
        </w:tc>
        <w:tc>
          <w:tcPr>
            <w:tcW w:w="1290" w:type="dxa"/>
            <w:vAlign w:val="center"/>
          </w:tcPr>
          <w:p w14:paraId="0F06711A" w14:textId="77777777" w:rsidR="00B3466E" w:rsidRPr="00B3466E" w:rsidRDefault="00B3466E" w:rsidP="00B3466E">
            <w:pPr>
              <w:widowControl w:val="0"/>
              <w:spacing w:before="60" w:after="60"/>
              <w:rPr>
                <w:lang w:eastAsia="fr-FR"/>
              </w:rPr>
            </w:pPr>
            <w:r w:rsidRPr="00B3466E">
              <w:rPr>
                <w:lang w:eastAsia="fr-FR"/>
              </w:rPr>
              <w:t>6.8.2.2.1 and 6.8.2.2.11</w:t>
            </w:r>
          </w:p>
        </w:tc>
        <w:tc>
          <w:tcPr>
            <w:tcW w:w="968" w:type="dxa"/>
            <w:vAlign w:val="center"/>
          </w:tcPr>
          <w:p w14:paraId="052DAFF7" w14:textId="77777777" w:rsidR="00B3466E" w:rsidRPr="00B3466E" w:rsidRDefault="00B3466E" w:rsidP="00B3466E">
            <w:pPr>
              <w:widowControl w:val="0"/>
              <w:spacing w:before="60" w:after="60"/>
              <w:rPr>
                <w:lang w:eastAsia="fr-FR"/>
              </w:rPr>
            </w:pPr>
            <w:r w:rsidRPr="00B3466E">
              <w:rPr>
                <w:lang w:eastAsia="fr-FR"/>
              </w:rPr>
              <w:t>Until further notice</w:t>
            </w:r>
          </w:p>
        </w:tc>
        <w:tc>
          <w:tcPr>
            <w:tcW w:w="483" w:type="dxa"/>
            <w:vAlign w:val="center"/>
          </w:tcPr>
          <w:p w14:paraId="44C44F14" w14:textId="77777777" w:rsidR="00B3466E" w:rsidRPr="00B3466E" w:rsidRDefault="00B3466E" w:rsidP="00B3466E">
            <w:pPr>
              <w:widowControl w:val="0"/>
              <w:spacing w:before="60" w:after="60"/>
              <w:rPr>
                <w:strike/>
                <w:lang w:eastAsia="fr-FR"/>
              </w:rPr>
            </w:pPr>
          </w:p>
        </w:tc>
      </w:tr>
    </w:tbl>
    <w:p w14:paraId="2527D462" w14:textId="77777777" w:rsidR="00B3466E" w:rsidRPr="00B3466E" w:rsidRDefault="00B3466E" w:rsidP="00B3466E">
      <w:pPr>
        <w:spacing w:before="120" w:after="120"/>
        <w:ind w:left="1134" w:right="1134"/>
        <w:jc w:val="both"/>
        <w:rPr>
          <w:i/>
          <w:iCs/>
        </w:rPr>
      </w:pPr>
      <w:r w:rsidRPr="00B3466E">
        <w:rPr>
          <w:i/>
          <w:iCs/>
        </w:rPr>
        <w:t xml:space="preserve">(Reference </w:t>
      </w:r>
      <w:r w:rsidRPr="00B3466E">
        <w:rPr>
          <w:i/>
          <w:iCs/>
          <w:lang w:eastAsia="fr-FR"/>
        </w:rPr>
        <w:t>document</w:t>
      </w:r>
      <w:r w:rsidRPr="00B3466E">
        <w:rPr>
          <w:i/>
          <w:iCs/>
        </w:rPr>
        <w:t xml:space="preserve">: </w:t>
      </w:r>
      <w:r w:rsidRPr="00B3466E">
        <w:rPr>
          <w:i/>
          <w:iCs/>
          <w:lang w:eastAsia="fr-FR"/>
        </w:rPr>
        <w:t>ECE/TRANS/WP.15/AC.1/2022/32 and informal document INF.19</w:t>
      </w:r>
      <w:r w:rsidRPr="00B3466E">
        <w:rPr>
          <w:i/>
          <w:iCs/>
        </w:rPr>
        <w:t>)</w:t>
      </w:r>
    </w:p>
    <w:p w14:paraId="4666E5F4" w14:textId="77777777" w:rsidR="00B3466E" w:rsidRPr="00B3466E" w:rsidRDefault="00B3466E" w:rsidP="00B3466E">
      <w:pPr>
        <w:spacing w:after="120"/>
        <w:ind w:left="2268" w:right="850" w:hanging="1134"/>
        <w:jc w:val="both"/>
        <w:rPr>
          <w:lang w:eastAsia="fr-FR"/>
        </w:rPr>
      </w:pPr>
      <w:r w:rsidRPr="00B3466E">
        <w:rPr>
          <w:bCs/>
          <w:lang w:eastAsia="fr-FR"/>
        </w:rPr>
        <w:t>6.8.4 (d), TT11</w:t>
      </w:r>
      <w:r w:rsidRPr="00B3466E">
        <w:rPr>
          <w:lang w:eastAsia="fr-FR"/>
        </w:rPr>
        <w:tab/>
        <w:t>In the paragraph after the table, replace “EN 14025:2018” by “EN </w:t>
      </w:r>
      <w:proofErr w:type="gramStart"/>
      <w:r w:rsidRPr="00B3466E">
        <w:rPr>
          <w:lang w:eastAsia="fr-FR"/>
        </w:rPr>
        <w:t>14025:[</w:t>
      </w:r>
      <w:proofErr w:type="gramEnd"/>
      <w:r w:rsidRPr="00B3466E">
        <w:rPr>
          <w:lang w:eastAsia="fr-FR"/>
        </w:rPr>
        <w:t>2023]”.</w:t>
      </w:r>
    </w:p>
    <w:p w14:paraId="749090FD" w14:textId="77777777" w:rsidR="00B3466E" w:rsidRPr="00B3466E" w:rsidRDefault="00B3466E" w:rsidP="00B3466E">
      <w:pPr>
        <w:spacing w:after="120"/>
        <w:ind w:left="1134" w:right="1134"/>
        <w:jc w:val="both"/>
        <w:rPr>
          <w:i/>
          <w:iCs/>
        </w:rPr>
      </w:pPr>
      <w:r w:rsidRPr="00B3466E">
        <w:rPr>
          <w:i/>
          <w:iCs/>
        </w:rPr>
        <w:t xml:space="preserve">(Reference </w:t>
      </w:r>
      <w:r w:rsidRPr="00B3466E">
        <w:rPr>
          <w:i/>
          <w:iCs/>
          <w:lang w:eastAsia="fr-FR"/>
        </w:rPr>
        <w:t>document</w:t>
      </w:r>
      <w:r w:rsidRPr="00B3466E">
        <w:rPr>
          <w:i/>
          <w:iCs/>
        </w:rPr>
        <w:t xml:space="preserve">: </w:t>
      </w:r>
      <w:r w:rsidRPr="00B3466E">
        <w:rPr>
          <w:i/>
          <w:iCs/>
          <w:lang w:eastAsia="fr-FR"/>
        </w:rPr>
        <w:t>ECE/TRANS/WP.15/AC.1/2022/32 and informal document INF.19</w:t>
      </w:r>
      <w:r w:rsidRPr="00B3466E">
        <w:rPr>
          <w:i/>
          <w:iCs/>
        </w:rPr>
        <w:t>)</w:t>
      </w:r>
    </w:p>
    <w:p w14:paraId="4B1A92BC" w14:textId="53C9B20F" w:rsidR="00052054" w:rsidRPr="000E3B67" w:rsidRDefault="00052054" w:rsidP="00052054">
      <w:pPr>
        <w:pStyle w:val="ListParagraph"/>
        <w:spacing w:after="0" w:line="240" w:lineRule="auto"/>
        <w:ind w:left="1134"/>
        <w:jc w:val="center"/>
        <w:rPr>
          <w:rFonts w:ascii="Times New Roman" w:hAnsi="Times New Roman" w:cs="Times New Roman"/>
          <w:sz w:val="20"/>
          <w:szCs w:val="22"/>
          <w:lang w:val="en-GB"/>
        </w:rPr>
      </w:pPr>
      <w:r w:rsidRPr="000E3B67">
        <w:rPr>
          <w:rFonts w:ascii="Times New Roman" w:hAnsi="Times New Roman" w:cs="Times New Roman"/>
          <w:sz w:val="20"/>
          <w:szCs w:val="22"/>
          <w:lang w:val="en-GB"/>
        </w:rPr>
        <w:t>________________</w:t>
      </w:r>
      <w:bookmarkEnd w:id="0"/>
    </w:p>
    <w:sectPr w:rsidR="00052054" w:rsidRPr="000E3B67"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14CF" w14:textId="77777777" w:rsidR="002328FC" w:rsidRDefault="002328FC"/>
  </w:endnote>
  <w:endnote w:type="continuationSeparator" w:id="0">
    <w:p w14:paraId="69C23C34" w14:textId="77777777" w:rsidR="002328FC" w:rsidRDefault="002328FC"/>
  </w:endnote>
  <w:endnote w:type="continuationNotice" w:id="1">
    <w:p w14:paraId="37DB8FF1" w14:textId="77777777" w:rsidR="002328FC" w:rsidRDefault="00232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0BAE9" w14:textId="77777777" w:rsidR="002328FC" w:rsidRPr="000B175B" w:rsidRDefault="002328FC" w:rsidP="000B175B">
      <w:pPr>
        <w:tabs>
          <w:tab w:val="right" w:pos="2155"/>
        </w:tabs>
        <w:spacing w:after="80"/>
        <w:ind w:left="680"/>
        <w:rPr>
          <w:u w:val="single"/>
        </w:rPr>
      </w:pPr>
      <w:r>
        <w:rPr>
          <w:u w:val="single"/>
        </w:rPr>
        <w:tab/>
      </w:r>
    </w:p>
  </w:footnote>
  <w:footnote w:type="continuationSeparator" w:id="0">
    <w:p w14:paraId="3E402FC5" w14:textId="77777777" w:rsidR="002328FC" w:rsidRPr="00FC68B7" w:rsidRDefault="002328FC" w:rsidP="00FC68B7">
      <w:pPr>
        <w:tabs>
          <w:tab w:val="left" w:pos="2155"/>
        </w:tabs>
        <w:spacing w:after="80"/>
        <w:ind w:left="680"/>
        <w:rPr>
          <w:u w:val="single"/>
        </w:rPr>
      </w:pPr>
      <w:r>
        <w:rPr>
          <w:u w:val="single"/>
        </w:rPr>
        <w:tab/>
      </w:r>
    </w:p>
  </w:footnote>
  <w:footnote w:type="continuationNotice" w:id="1">
    <w:p w14:paraId="186DA90D" w14:textId="77777777" w:rsidR="002328FC" w:rsidRDefault="00232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488B78A1" w:rsidR="0092434D" w:rsidRPr="00617E96" w:rsidRDefault="0092434D" w:rsidP="005D338A">
    <w:pPr>
      <w:pStyle w:val="Header"/>
      <w:tabs>
        <w:tab w:val="left" w:pos="885"/>
      </w:tabs>
      <w:rPr>
        <w:lang w:val="fr-CH"/>
      </w:rPr>
    </w:pPr>
    <w:r>
      <w:rPr>
        <w:lang w:val="fr-CH"/>
      </w:rPr>
      <w:t>INF.</w:t>
    </w:r>
    <w:r w:rsidR="0086416F">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0A7A1954" w:rsidR="0092434D" w:rsidRPr="00F71BEF" w:rsidRDefault="0092434D" w:rsidP="00982036">
    <w:pPr>
      <w:pStyle w:val="Header"/>
      <w:jc w:val="right"/>
      <w:rPr>
        <w:lang w:val="fr-CH"/>
      </w:rPr>
    </w:pPr>
    <w:r w:rsidRPr="00F71BEF">
      <w:rPr>
        <w:lang w:val="fr-CH"/>
      </w:rPr>
      <w:t>INF.</w:t>
    </w:r>
    <w:r w:rsidR="0086416F">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0ADC17D7" w:rsidR="0092434D" w:rsidRPr="00617E96" w:rsidRDefault="00B170C8" w:rsidP="00617E96">
    <w:pPr>
      <w:pStyle w:val="Header"/>
      <w:jc w:val="right"/>
      <w:rPr>
        <w:sz w:val="28"/>
        <w:szCs w:val="28"/>
        <w:lang w:val="fr-CH"/>
      </w:rPr>
    </w:pPr>
    <w:r>
      <w:rPr>
        <w:sz w:val="28"/>
        <w:szCs w:val="28"/>
        <w:lang w:val="fr-CH"/>
      </w:rPr>
      <w:t>INF.</w:t>
    </w:r>
    <w:r w:rsidR="00B3466E">
      <w:rPr>
        <w:sz w:val="28"/>
        <w:szCs w:val="28"/>
        <w:lang w:val="fr-CH"/>
      </w:rPr>
      <w:t>7</w:t>
    </w:r>
    <w:r w:rsidR="007F1766">
      <w:rPr>
        <w:sz w:val="28"/>
        <w:szCs w:val="28"/>
        <w:lang w:val="fr-CH"/>
      </w:rPr>
      <w:t xml:space="preserve">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0"/>
  </w:num>
  <w:num w:numId="16">
    <w:abstractNumId w:val="14"/>
  </w:num>
  <w:num w:numId="17">
    <w:abstractNumId w:val="12"/>
  </w:num>
  <w:num w:numId="18">
    <w:abstractNumId w:val="21"/>
  </w:num>
  <w:num w:numId="19">
    <w:abstractNumId w:val="19"/>
  </w:num>
  <w:num w:numId="20">
    <w:abstractNumId w:val="15"/>
  </w:num>
  <w:num w:numId="21">
    <w:abstractNumId w:val="10"/>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7358"/>
    <w:rsid w:val="00011932"/>
    <w:rsid w:val="000153B9"/>
    <w:rsid w:val="000162D9"/>
    <w:rsid w:val="000229D3"/>
    <w:rsid w:val="000241F2"/>
    <w:rsid w:val="00024C02"/>
    <w:rsid w:val="00026D9C"/>
    <w:rsid w:val="000353DA"/>
    <w:rsid w:val="0003772E"/>
    <w:rsid w:val="000404E5"/>
    <w:rsid w:val="00042739"/>
    <w:rsid w:val="000457B4"/>
    <w:rsid w:val="00046B1F"/>
    <w:rsid w:val="00047596"/>
    <w:rsid w:val="00050F6B"/>
    <w:rsid w:val="00052054"/>
    <w:rsid w:val="00052E85"/>
    <w:rsid w:val="000575AC"/>
    <w:rsid w:val="00057E97"/>
    <w:rsid w:val="000646F4"/>
    <w:rsid w:val="0006491B"/>
    <w:rsid w:val="00065AD1"/>
    <w:rsid w:val="00065C6D"/>
    <w:rsid w:val="00071B62"/>
    <w:rsid w:val="00071E36"/>
    <w:rsid w:val="00072C8C"/>
    <w:rsid w:val="000733B5"/>
    <w:rsid w:val="00081815"/>
    <w:rsid w:val="00084795"/>
    <w:rsid w:val="0008497C"/>
    <w:rsid w:val="00085285"/>
    <w:rsid w:val="000931C0"/>
    <w:rsid w:val="00096C84"/>
    <w:rsid w:val="000A17BA"/>
    <w:rsid w:val="000A213A"/>
    <w:rsid w:val="000A2E7E"/>
    <w:rsid w:val="000A309E"/>
    <w:rsid w:val="000A78F4"/>
    <w:rsid w:val="000A7999"/>
    <w:rsid w:val="000B0595"/>
    <w:rsid w:val="000B175B"/>
    <w:rsid w:val="000B3A0F"/>
    <w:rsid w:val="000B491C"/>
    <w:rsid w:val="000B4EF7"/>
    <w:rsid w:val="000C1C47"/>
    <w:rsid w:val="000C2C03"/>
    <w:rsid w:val="000C2D2E"/>
    <w:rsid w:val="000C497A"/>
    <w:rsid w:val="000D08B9"/>
    <w:rsid w:val="000D2452"/>
    <w:rsid w:val="000D3E3E"/>
    <w:rsid w:val="000D4266"/>
    <w:rsid w:val="000E0415"/>
    <w:rsid w:val="000E0492"/>
    <w:rsid w:val="000E0637"/>
    <w:rsid w:val="000E1362"/>
    <w:rsid w:val="000E3B67"/>
    <w:rsid w:val="000F2981"/>
    <w:rsid w:val="00104094"/>
    <w:rsid w:val="00110035"/>
    <w:rsid w:val="001103AA"/>
    <w:rsid w:val="00110611"/>
    <w:rsid w:val="00111A5C"/>
    <w:rsid w:val="0011666B"/>
    <w:rsid w:val="00117CDF"/>
    <w:rsid w:val="00121D95"/>
    <w:rsid w:val="00127CAE"/>
    <w:rsid w:val="00130A16"/>
    <w:rsid w:val="001315EB"/>
    <w:rsid w:val="0013299E"/>
    <w:rsid w:val="00145971"/>
    <w:rsid w:val="00147062"/>
    <w:rsid w:val="00153C2C"/>
    <w:rsid w:val="001552E9"/>
    <w:rsid w:val="00164FF7"/>
    <w:rsid w:val="00165F3A"/>
    <w:rsid w:val="0016663C"/>
    <w:rsid w:val="001723AA"/>
    <w:rsid w:val="0017318C"/>
    <w:rsid w:val="00173696"/>
    <w:rsid w:val="001742BA"/>
    <w:rsid w:val="001746C1"/>
    <w:rsid w:val="00175C8D"/>
    <w:rsid w:val="00175E6F"/>
    <w:rsid w:val="00177C0F"/>
    <w:rsid w:val="001817D6"/>
    <w:rsid w:val="00181D88"/>
    <w:rsid w:val="00186EEA"/>
    <w:rsid w:val="001A1394"/>
    <w:rsid w:val="001A1D4B"/>
    <w:rsid w:val="001A2105"/>
    <w:rsid w:val="001A6E11"/>
    <w:rsid w:val="001A6F83"/>
    <w:rsid w:val="001B128F"/>
    <w:rsid w:val="001B4B04"/>
    <w:rsid w:val="001C346C"/>
    <w:rsid w:val="001C6663"/>
    <w:rsid w:val="001C7895"/>
    <w:rsid w:val="001D0C8C"/>
    <w:rsid w:val="001D1419"/>
    <w:rsid w:val="001D1CC3"/>
    <w:rsid w:val="001D26DF"/>
    <w:rsid w:val="001D2EDC"/>
    <w:rsid w:val="001D3A03"/>
    <w:rsid w:val="001D3DE3"/>
    <w:rsid w:val="001D4954"/>
    <w:rsid w:val="001D4AEC"/>
    <w:rsid w:val="001D7750"/>
    <w:rsid w:val="001E1C97"/>
    <w:rsid w:val="001E2989"/>
    <w:rsid w:val="001E3EEF"/>
    <w:rsid w:val="001E4C81"/>
    <w:rsid w:val="001E68FC"/>
    <w:rsid w:val="001E7B67"/>
    <w:rsid w:val="001F239D"/>
    <w:rsid w:val="001F715D"/>
    <w:rsid w:val="002017D8"/>
    <w:rsid w:val="00202DA8"/>
    <w:rsid w:val="00202E0C"/>
    <w:rsid w:val="00207AC3"/>
    <w:rsid w:val="00210872"/>
    <w:rsid w:val="00210C59"/>
    <w:rsid w:val="00211E0B"/>
    <w:rsid w:val="00222DF8"/>
    <w:rsid w:val="00223A66"/>
    <w:rsid w:val="00224D92"/>
    <w:rsid w:val="0022549B"/>
    <w:rsid w:val="002328FC"/>
    <w:rsid w:val="002337D7"/>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4C9A"/>
    <w:rsid w:val="002B5655"/>
    <w:rsid w:val="002C03AE"/>
    <w:rsid w:val="002C1C5D"/>
    <w:rsid w:val="002C2BC2"/>
    <w:rsid w:val="002C6AC2"/>
    <w:rsid w:val="002D0CA9"/>
    <w:rsid w:val="002D4643"/>
    <w:rsid w:val="002E4DE5"/>
    <w:rsid w:val="002F175C"/>
    <w:rsid w:val="002F5EA4"/>
    <w:rsid w:val="00302E18"/>
    <w:rsid w:val="0032120D"/>
    <w:rsid w:val="003229D8"/>
    <w:rsid w:val="00325ACC"/>
    <w:rsid w:val="003336F3"/>
    <w:rsid w:val="00336DB6"/>
    <w:rsid w:val="00352709"/>
    <w:rsid w:val="00353B6A"/>
    <w:rsid w:val="003563FB"/>
    <w:rsid w:val="003619B5"/>
    <w:rsid w:val="00362309"/>
    <w:rsid w:val="00365763"/>
    <w:rsid w:val="00371178"/>
    <w:rsid w:val="003711BC"/>
    <w:rsid w:val="00371590"/>
    <w:rsid w:val="00377020"/>
    <w:rsid w:val="003776D0"/>
    <w:rsid w:val="00387101"/>
    <w:rsid w:val="00392E47"/>
    <w:rsid w:val="00394CC5"/>
    <w:rsid w:val="0039506A"/>
    <w:rsid w:val="003A2CB7"/>
    <w:rsid w:val="003A6810"/>
    <w:rsid w:val="003B173B"/>
    <w:rsid w:val="003B2A95"/>
    <w:rsid w:val="003B4873"/>
    <w:rsid w:val="003C0075"/>
    <w:rsid w:val="003C2CC4"/>
    <w:rsid w:val="003C2D4E"/>
    <w:rsid w:val="003C34D6"/>
    <w:rsid w:val="003C7018"/>
    <w:rsid w:val="003D1847"/>
    <w:rsid w:val="003D4B23"/>
    <w:rsid w:val="003D5C99"/>
    <w:rsid w:val="003D6CB1"/>
    <w:rsid w:val="003E130E"/>
    <w:rsid w:val="003E3D63"/>
    <w:rsid w:val="003E6F93"/>
    <w:rsid w:val="003E7397"/>
    <w:rsid w:val="003E77BB"/>
    <w:rsid w:val="003F596A"/>
    <w:rsid w:val="004021CB"/>
    <w:rsid w:val="004066A5"/>
    <w:rsid w:val="00410C89"/>
    <w:rsid w:val="004114BC"/>
    <w:rsid w:val="00421FE8"/>
    <w:rsid w:val="00422E03"/>
    <w:rsid w:val="0042319F"/>
    <w:rsid w:val="004236BE"/>
    <w:rsid w:val="004240EB"/>
    <w:rsid w:val="0042588A"/>
    <w:rsid w:val="00426B9B"/>
    <w:rsid w:val="0043251A"/>
    <w:rsid w:val="004325CB"/>
    <w:rsid w:val="0043615A"/>
    <w:rsid w:val="004369D3"/>
    <w:rsid w:val="00442A83"/>
    <w:rsid w:val="00443285"/>
    <w:rsid w:val="0045495B"/>
    <w:rsid w:val="004561E5"/>
    <w:rsid w:val="004565C6"/>
    <w:rsid w:val="004570B1"/>
    <w:rsid w:val="00463723"/>
    <w:rsid w:val="004711F4"/>
    <w:rsid w:val="0047262C"/>
    <w:rsid w:val="004732BE"/>
    <w:rsid w:val="0047379F"/>
    <w:rsid w:val="00483811"/>
    <w:rsid w:val="0048397A"/>
    <w:rsid w:val="00485CBB"/>
    <w:rsid w:val="004866B7"/>
    <w:rsid w:val="00490D93"/>
    <w:rsid w:val="004A27BC"/>
    <w:rsid w:val="004A2BD3"/>
    <w:rsid w:val="004A30C9"/>
    <w:rsid w:val="004A5098"/>
    <w:rsid w:val="004A6F63"/>
    <w:rsid w:val="004B1837"/>
    <w:rsid w:val="004B2EAF"/>
    <w:rsid w:val="004B7F33"/>
    <w:rsid w:val="004C2461"/>
    <w:rsid w:val="004C2EC8"/>
    <w:rsid w:val="004C7462"/>
    <w:rsid w:val="004D0588"/>
    <w:rsid w:val="004D0E76"/>
    <w:rsid w:val="004D1404"/>
    <w:rsid w:val="004D33EE"/>
    <w:rsid w:val="004D6D47"/>
    <w:rsid w:val="004E25F6"/>
    <w:rsid w:val="004E6838"/>
    <w:rsid w:val="004E6FFC"/>
    <w:rsid w:val="004E77B2"/>
    <w:rsid w:val="004F6969"/>
    <w:rsid w:val="0050113C"/>
    <w:rsid w:val="00504B2D"/>
    <w:rsid w:val="0050780D"/>
    <w:rsid w:val="005142F0"/>
    <w:rsid w:val="0052136D"/>
    <w:rsid w:val="00522680"/>
    <w:rsid w:val="00525CA7"/>
    <w:rsid w:val="00527225"/>
    <w:rsid w:val="005273D7"/>
    <w:rsid w:val="0052775E"/>
    <w:rsid w:val="00534A4D"/>
    <w:rsid w:val="005357F4"/>
    <w:rsid w:val="0053784E"/>
    <w:rsid w:val="0054034C"/>
    <w:rsid w:val="005409D0"/>
    <w:rsid w:val="005420F2"/>
    <w:rsid w:val="00544504"/>
    <w:rsid w:val="00547B54"/>
    <w:rsid w:val="0055167B"/>
    <w:rsid w:val="00552CEB"/>
    <w:rsid w:val="0056027C"/>
    <w:rsid w:val="0056099E"/>
    <w:rsid w:val="00561B06"/>
    <w:rsid w:val="005628B6"/>
    <w:rsid w:val="0056374F"/>
    <w:rsid w:val="00575310"/>
    <w:rsid w:val="00575B3B"/>
    <w:rsid w:val="00575C6F"/>
    <w:rsid w:val="00576B01"/>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2B63"/>
    <w:rsid w:val="005B3DB3"/>
    <w:rsid w:val="005B4E13"/>
    <w:rsid w:val="005B7E57"/>
    <w:rsid w:val="005C342F"/>
    <w:rsid w:val="005C551E"/>
    <w:rsid w:val="005D0D8E"/>
    <w:rsid w:val="005D338A"/>
    <w:rsid w:val="005D36CF"/>
    <w:rsid w:val="005D3C72"/>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07401"/>
    <w:rsid w:val="00607B17"/>
    <w:rsid w:val="00611FC4"/>
    <w:rsid w:val="0061468E"/>
    <w:rsid w:val="006156A8"/>
    <w:rsid w:val="006157E0"/>
    <w:rsid w:val="006159FF"/>
    <w:rsid w:val="006176FB"/>
    <w:rsid w:val="00617E96"/>
    <w:rsid w:val="0063012C"/>
    <w:rsid w:val="00636884"/>
    <w:rsid w:val="00636B88"/>
    <w:rsid w:val="00636F0C"/>
    <w:rsid w:val="006404E9"/>
    <w:rsid w:val="00640B26"/>
    <w:rsid w:val="00650AEA"/>
    <w:rsid w:val="0065178B"/>
    <w:rsid w:val="00652D0A"/>
    <w:rsid w:val="00654A94"/>
    <w:rsid w:val="00660126"/>
    <w:rsid w:val="00662BB6"/>
    <w:rsid w:val="00662CFB"/>
    <w:rsid w:val="006642B6"/>
    <w:rsid w:val="0066501A"/>
    <w:rsid w:val="0066792F"/>
    <w:rsid w:val="00672FDA"/>
    <w:rsid w:val="00673A86"/>
    <w:rsid w:val="00675849"/>
    <w:rsid w:val="00676606"/>
    <w:rsid w:val="006770F0"/>
    <w:rsid w:val="00684C21"/>
    <w:rsid w:val="006904BE"/>
    <w:rsid w:val="006924F6"/>
    <w:rsid w:val="00695084"/>
    <w:rsid w:val="006A1DA6"/>
    <w:rsid w:val="006A2530"/>
    <w:rsid w:val="006A32FE"/>
    <w:rsid w:val="006A411A"/>
    <w:rsid w:val="006A681C"/>
    <w:rsid w:val="006B12C6"/>
    <w:rsid w:val="006B7A89"/>
    <w:rsid w:val="006C1AF1"/>
    <w:rsid w:val="006C2420"/>
    <w:rsid w:val="006C3589"/>
    <w:rsid w:val="006C4AFF"/>
    <w:rsid w:val="006C74F5"/>
    <w:rsid w:val="006D08C7"/>
    <w:rsid w:val="006D289F"/>
    <w:rsid w:val="006D37AF"/>
    <w:rsid w:val="006D4A39"/>
    <w:rsid w:val="006D51D0"/>
    <w:rsid w:val="006D5FB9"/>
    <w:rsid w:val="006E0AEF"/>
    <w:rsid w:val="006E1D88"/>
    <w:rsid w:val="006E564B"/>
    <w:rsid w:val="006E5927"/>
    <w:rsid w:val="006E5EDB"/>
    <w:rsid w:val="006E7191"/>
    <w:rsid w:val="00700E41"/>
    <w:rsid w:val="007011A3"/>
    <w:rsid w:val="00703577"/>
    <w:rsid w:val="00703768"/>
    <w:rsid w:val="007047A9"/>
    <w:rsid w:val="00705894"/>
    <w:rsid w:val="007145FF"/>
    <w:rsid w:val="0071704F"/>
    <w:rsid w:val="00724C17"/>
    <w:rsid w:val="0072632A"/>
    <w:rsid w:val="007327D5"/>
    <w:rsid w:val="00732A83"/>
    <w:rsid w:val="0073593C"/>
    <w:rsid w:val="00735E74"/>
    <w:rsid w:val="00737E7A"/>
    <w:rsid w:val="007508B7"/>
    <w:rsid w:val="00752B30"/>
    <w:rsid w:val="007609DA"/>
    <w:rsid w:val="007629C8"/>
    <w:rsid w:val="00763EA8"/>
    <w:rsid w:val="0076621E"/>
    <w:rsid w:val="0076669C"/>
    <w:rsid w:val="0077047D"/>
    <w:rsid w:val="007708A5"/>
    <w:rsid w:val="00773A18"/>
    <w:rsid w:val="007851CB"/>
    <w:rsid w:val="00787B89"/>
    <w:rsid w:val="007931F7"/>
    <w:rsid w:val="00796040"/>
    <w:rsid w:val="007A0D0E"/>
    <w:rsid w:val="007A2F1B"/>
    <w:rsid w:val="007A63B6"/>
    <w:rsid w:val="007B2176"/>
    <w:rsid w:val="007B249A"/>
    <w:rsid w:val="007B5332"/>
    <w:rsid w:val="007B6BA5"/>
    <w:rsid w:val="007C3390"/>
    <w:rsid w:val="007C38EF"/>
    <w:rsid w:val="007C4CB5"/>
    <w:rsid w:val="007C4F4B"/>
    <w:rsid w:val="007C554F"/>
    <w:rsid w:val="007D3162"/>
    <w:rsid w:val="007D4DD5"/>
    <w:rsid w:val="007D784A"/>
    <w:rsid w:val="007E01E9"/>
    <w:rsid w:val="007E1827"/>
    <w:rsid w:val="007E63F3"/>
    <w:rsid w:val="007F1766"/>
    <w:rsid w:val="007F32E1"/>
    <w:rsid w:val="007F6611"/>
    <w:rsid w:val="00802DBF"/>
    <w:rsid w:val="0081086B"/>
    <w:rsid w:val="00811920"/>
    <w:rsid w:val="00812BD8"/>
    <w:rsid w:val="00815AD0"/>
    <w:rsid w:val="00816F53"/>
    <w:rsid w:val="00821907"/>
    <w:rsid w:val="00823F0E"/>
    <w:rsid w:val="008242D7"/>
    <w:rsid w:val="008254E9"/>
    <w:rsid w:val="008254F7"/>
    <w:rsid w:val="008257B1"/>
    <w:rsid w:val="00826FDE"/>
    <w:rsid w:val="0082782C"/>
    <w:rsid w:val="00832334"/>
    <w:rsid w:val="00843767"/>
    <w:rsid w:val="008600BB"/>
    <w:rsid w:val="00863F32"/>
    <w:rsid w:val="0086416F"/>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094"/>
    <w:rsid w:val="008D2334"/>
    <w:rsid w:val="008D244D"/>
    <w:rsid w:val="008E0678"/>
    <w:rsid w:val="008E2D75"/>
    <w:rsid w:val="008E329B"/>
    <w:rsid w:val="008E4A45"/>
    <w:rsid w:val="008E5914"/>
    <w:rsid w:val="008E6D2E"/>
    <w:rsid w:val="008E7508"/>
    <w:rsid w:val="008E79BD"/>
    <w:rsid w:val="008E7E09"/>
    <w:rsid w:val="008F31D2"/>
    <w:rsid w:val="008F52F4"/>
    <w:rsid w:val="008F6553"/>
    <w:rsid w:val="0090002A"/>
    <w:rsid w:val="009049EC"/>
    <w:rsid w:val="00904B8F"/>
    <w:rsid w:val="00913370"/>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4FCA"/>
    <w:rsid w:val="00965DD5"/>
    <w:rsid w:val="00966E54"/>
    <w:rsid w:val="0096751C"/>
    <w:rsid w:val="00973BBC"/>
    <w:rsid w:val="00973C44"/>
    <w:rsid w:val="009760F3"/>
    <w:rsid w:val="0097696C"/>
    <w:rsid w:val="00976CFB"/>
    <w:rsid w:val="009812D6"/>
    <w:rsid w:val="00982036"/>
    <w:rsid w:val="0098501C"/>
    <w:rsid w:val="0099006D"/>
    <w:rsid w:val="009941AF"/>
    <w:rsid w:val="009956B6"/>
    <w:rsid w:val="0099747B"/>
    <w:rsid w:val="009A0830"/>
    <w:rsid w:val="009A0E8D"/>
    <w:rsid w:val="009A5C6E"/>
    <w:rsid w:val="009A6244"/>
    <w:rsid w:val="009A6497"/>
    <w:rsid w:val="009A776B"/>
    <w:rsid w:val="009A7D9E"/>
    <w:rsid w:val="009B26E7"/>
    <w:rsid w:val="009B536C"/>
    <w:rsid w:val="009B5CF9"/>
    <w:rsid w:val="009C0B8E"/>
    <w:rsid w:val="009C2D0E"/>
    <w:rsid w:val="009C306B"/>
    <w:rsid w:val="009D6B04"/>
    <w:rsid w:val="009E076B"/>
    <w:rsid w:val="009E5596"/>
    <w:rsid w:val="009E7286"/>
    <w:rsid w:val="009F11B1"/>
    <w:rsid w:val="009F2712"/>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2DE2"/>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95C69"/>
    <w:rsid w:val="00A96E56"/>
    <w:rsid w:val="00AA0CD7"/>
    <w:rsid w:val="00AA293C"/>
    <w:rsid w:val="00AA5E3A"/>
    <w:rsid w:val="00AA626D"/>
    <w:rsid w:val="00AA6B02"/>
    <w:rsid w:val="00AB3532"/>
    <w:rsid w:val="00AB5C99"/>
    <w:rsid w:val="00AC3F1A"/>
    <w:rsid w:val="00AC4D43"/>
    <w:rsid w:val="00AD08A9"/>
    <w:rsid w:val="00AE08F1"/>
    <w:rsid w:val="00AE18E6"/>
    <w:rsid w:val="00AE2E12"/>
    <w:rsid w:val="00AE40BD"/>
    <w:rsid w:val="00AE5824"/>
    <w:rsid w:val="00AF0EA9"/>
    <w:rsid w:val="00AF434F"/>
    <w:rsid w:val="00AF4570"/>
    <w:rsid w:val="00B002D3"/>
    <w:rsid w:val="00B0107C"/>
    <w:rsid w:val="00B02C99"/>
    <w:rsid w:val="00B15F1E"/>
    <w:rsid w:val="00B170C8"/>
    <w:rsid w:val="00B30179"/>
    <w:rsid w:val="00B33B8F"/>
    <w:rsid w:val="00B3446B"/>
    <w:rsid w:val="00B3466E"/>
    <w:rsid w:val="00B35CD5"/>
    <w:rsid w:val="00B40092"/>
    <w:rsid w:val="00B421C1"/>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97C94"/>
    <w:rsid w:val="00BB3F2F"/>
    <w:rsid w:val="00BC3FA0"/>
    <w:rsid w:val="00BC5010"/>
    <w:rsid w:val="00BC74E9"/>
    <w:rsid w:val="00BD144B"/>
    <w:rsid w:val="00BD43A5"/>
    <w:rsid w:val="00BD5B58"/>
    <w:rsid w:val="00BE3161"/>
    <w:rsid w:val="00BE7AAC"/>
    <w:rsid w:val="00BF0CF2"/>
    <w:rsid w:val="00BF2EF3"/>
    <w:rsid w:val="00BF48D9"/>
    <w:rsid w:val="00BF5486"/>
    <w:rsid w:val="00BF67DE"/>
    <w:rsid w:val="00BF68A8"/>
    <w:rsid w:val="00BF71AB"/>
    <w:rsid w:val="00BF76F9"/>
    <w:rsid w:val="00C06FD0"/>
    <w:rsid w:val="00C11661"/>
    <w:rsid w:val="00C11A03"/>
    <w:rsid w:val="00C14EC4"/>
    <w:rsid w:val="00C17609"/>
    <w:rsid w:val="00C17B9D"/>
    <w:rsid w:val="00C22881"/>
    <w:rsid w:val="00C22C0C"/>
    <w:rsid w:val="00C25CAF"/>
    <w:rsid w:val="00C27179"/>
    <w:rsid w:val="00C2766D"/>
    <w:rsid w:val="00C3345D"/>
    <w:rsid w:val="00C33A81"/>
    <w:rsid w:val="00C34337"/>
    <w:rsid w:val="00C36DF5"/>
    <w:rsid w:val="00C43DD2"/>
    <w:rsid w:val="00C4527F"/>
    <w:rsid w:val="00C463DD"/>
    <w:rsid w:val="00C465BB"/>
    <w:rsid w:val="00C4724C"/>
    <w:rsid w:val="00C476D2"/>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2428"/>
    <w:rsid w:val="00CA31C6"/>
    <w:rsid w:val="00CA6D93"/>
    <w:rsid w:val="00CA7D2A"/>
    <w:rsid w:val="00CB0F53"/>
    <w:rsid w:val="00CB3E03"/>
    <w:rsid w:val="00CB75BF"/>
    <w:rsid w:val="00CC2893"/>
    <w:rsid w:val="00CC5BC3"/>
    <w:rsid w:val="00CD1B04"/>
    <w:rsid w:val="00CD4AA6"/>
    <w:rsid w:val="00CD6BFA"/>
    <w:rsid w:val="00CE37CD"/>
    <w:rsid w:val="00CE4A8F"/>
    <w:rsid w:val="00CF299F"/>
    <w:rsid w:val="00D009D8"/>
    <w:rsid w:val="00D00EBF"/>
    <w:rsid w:val="00D02987"/>
    <w:rsid w:val="00D036D7"/>
    <w:rsid w:val="00D04C98"/>
    <w:rsid w:val="00D11F71"/>
    <w:rsid w:val="00D12F38"/>
    <w:rsid w:val="00D138C2"/>
    <w:rsid w:val="00D13D3B"/>
    <w:rsid w:val="00D2002F"/>
    <w:rsid w:val="00D2031B"/>
    <w:rsid w:val="00D2089B"/>
    <w:rsid w:val="00D21BAC"/>
    <w:rsid w:val="00D248B6"/>
    <w:rsid w:val="00D25FE2"/>
    <w:rsid w:val="00D26585"/>
    <w:rsid w:val="00D3022D"/>
    <w:rsid w:val="00D329C1"/>
    <w:rsid w:val="00D35589"/>
    <w:rsid w:val="00D35A18"/>
    <w:rsid w:val="00D37B31"/>
    <w:rsid w:val="00D37C72"/>
    <w:rsid w:val="00D41201"/>
    <w:rsid w:val="00D4244C"/>
    <w:rsid w:val="00D43252"/>
    <w:rsid w:val="00D46113"/>
    <w:rsid w:val="00D47CFD"/>
    <w:rsid w:val="00D47EEA"/>
    <w:rsid w:val="00D500EA"/>
    <w:rsid w:val="00D52237"/>
    <w:rsid w:val="00D611FF"/>
    <w:rsid w:val="00D61562"/>
    <w:rsid w:val="00D712B8"/>
    <w:rsid w:val="00D722CE"/>
    <w:rsid w:val="00D730F5"/>
    <w:rsid w:val="00D773DF"/>
    <w:rsid w:val="00D858D0"/>
    <w:rsid w:val="00D87F0A"/>
    <w:rsid w:val="00D95303"/>
    <w:rsid w:val="00D978C6"/>
    <w:rsid w:val="00DA1781"/>
    <w:rsid w:val="00DA3C1C"/>
    <w:rsid w:val="00DB12D7"/>
    <w:rsid w:val="00DB539C"/>
    <w:rsid w:val="00DB5C6F"/>
    <w:rsid w:val="00DB6987"/>
    <w:rsid w:val="00DC1C1D"/>
    <w:rsid w:val="00DC2A81"/>
    <w:rsid w:val="00DC393A"/>
    <w:rsid w:val="00DC4605"/>
    <w:rsid w:val="00DC7544"/>
    <w:rsid w:val="00DD1088"/>
    <w:rsid w:val="00DD24FE"/>
    <w:rsid w:val="00DE083C"/>
    <w:rsid w:val="00DE6B06"/>
    <w:rsid w:val="00DF4D79"/>
    <w:rsid w:val="00DF5FF4"/>
    <w:rsid w:val="00DF6C26"/>
    <w:rsid w:val="00DF6E71"/>
    <w:rsid w:val="00DF72F1"/>
    <w:rsid w:val="00E046DF"/>
    <w:rsid w:val="00E04ABD"/>
    <w:rsid w:val="00E2083E"/>
    <w:rsid w:val="00E20B22"/>
    <w:rsid w:val="00E214F0"/>
    <w:rsid w:val="00E21A71"/>
    <w:rsid w:val="00E22415"/>
    <w:rsid w:val="00E27346"/>
    <w:rsid w:val="00E27B0C"/>
    <w:rsid w:val="00E3251A"/>
    <w:rsid w:val="00E33162"/>
    <w:rsid w:val="00E33D8B"/>
    <w:rsid w:val="00E35514"/>
    <w:rsid w:val="00E366E6"/>
    <w:rsid w:val="00E37533"/>
    <w:rsid w:val="00E406E9"/>
    <w:rsid w:val="00E421B1"/>
    <w:rsid w:val="00E43BF2"/>
    <w:rsid w:val="00E47D93"/>
    <w:rsid w:val="00E5372B"/>
    <w:rsid w:val="00E64514"/>
    <w:rsid w:val="00E64CFF"/>
    <w:rsid w:val="00E6717E"/>
    <w:rsid w:val="00E70BBC"/>
    <w:rsid w:val="00E71BC8"/>
    <w:rsid w:val="00E7260F"/>
    <w:rsid w:val="00E73F5D"/>
    <w:rsid w:val="00E77CBF"/>
    <w:rsid w:val="00E77E4E"/>
    <w:rsid w:val="00E82DA4"/>
    <w:rsid w:val="00E87BF2"/>
    <w:rsid w:val="00E91B79"/>
    <w:rsid w:val="00E93FF0"/>
    <w:rsid w:val="00E94ED4"/>
    <w:rsid w:val="00E95435"/>
    <w:rsid w:val="00E95ED7"/>
    <w:rsid w:val="00E96630"/>
    <w:rsid w:val="00E97BAF"/>
    <w:rsid w:val="00EA039C"/>
    <w:rsid w:val="00EA2925"/>
    <w:rsid w:val="00EA3FC3"/>
    <w:rsid w:val="00EB09F5"/>
    <w:rsid w:val="00EB3B4B"/>
    <w:rsid w:val="00EC0EC1"/>
    <w:rsid w:val="00EC211A"/>
    <w:rsid w:val="00EC3E73"/>
    <w:rsid w:val="00EC60D8"/>
    <w:rsid w:val="00ED099A"/>
    <w:rsid w:val="00ED7297"/>
    <w:rsid w:val="00ED7A2A"/>
    <w:rsid w:val="00EE105C"/>
    <w:rsid w:val="00EE5A98"/>
    <w:rsid w:val="00EE5EA4"/>
    <w:rsid w:val="00EF1D7F"/>
    <w:rsid w:val="00EF4C20"/>
    <w:rsid w:val="00F015F8"/>
    <w:rsid w:val="00F04347"/>
    <w:rsid w:val="00F12849"/>
    <w:rsid w:val="00F12D83"/>
    <w:rsid w:val="00F15436"/>
    <w:rsid w:val="00F23D5B"/>
    <w:rsid w:val="00F25064"/>
    <w:rsid w:val="00F259E5"/>
    <w:rsid w:val="00F31E5F"/>
    <w:rsid w:val="00F333A2"/>
    <w:rsid w:val="00F36F52"/>
    <w:rsid w:val="00F37C38"/>
    <w:rsid w:val="00F42032"/>
    <w:rsid w:val="00F424E8"/>
    <w:rsid w:val="00F44998"/>
    <w:rsid w:val="00F52C77"/>
    <w:rsid w:val="00F55358"/>
    <w:rsid w:val="00F55403"/>
    <w:rsid w:val="00F6100A"/>
    <w:rsid w:val="00F66C5E"/>
    <w:rsid w:val="00F702EB"/>
    <w:rsid w:val="00F71495"/>
    <w:rsid w:val="00F71BEF"/>
    <w:rsid w:val="00F7208B"/>
    <w:rsid w:val="00F75087"/>
    <w:rsid w:val="00F8066F"/>
    <w:rsid w:val="00F87036"/>
    <w:rsid w:val="00F93781"/>
    <w:rsid w:val="00F95073"/>
    <w:rsid w:val="00F97AB4"/>
    <w:rsid w:val="00FA7D6D"/>
    <w:rsid w:val="00FB014F"/>
    <w:rsid w:val="00FB2F06"/>
    <w:rsid w:val="00FB4929"/>
    <w:rsid w:val="00FB613B"/>
    <w:rsid w:val="00FC42E5"/>
    <w:rsid w:val="00FC67FE"/>
    <w:rsid w:val="00FC68B7"/>
    <w:rsid w:val="00FD39C5"/>
    <w:rsid w:val="00FD3F98"/>
    <w:rsid w:val="00FD45B6"/>
    <w:rsid w:val="00FD67D2"/>
    <w:rsid w:val="00FE106A"/>
    <w:rsid w:val="00FE48C8"/>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39">
      <w:bodyDiv w:val="1"/>
      <w:marLeft w:val="0"/>
      <w:marRight w:val="0"/>
      <w:marTop w:val="0"/>
      <w:marBottom w:val="0"/>
      <w:divBdr>
        <w:top w:val="none" w:sz="0" w:space="0" w:color="auto"/>
        <w:left w:val="none" w:sz="0" w:space="0" w:color="auto"/>
        <w:bottom w:val="none" w:sz="0" w:space="0" w:color="auto"/>
        <w:right w:val="none" w:sz="0" w:space="0" w:color="auto"/>
      </w:divBdr>
    </w:div>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04525623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customXml/itemProps2.xml><?xml version="1.0" encoding="utf-8"?>
<ds:datastoreItem xmlns:ds="http://schemas.openxmlformats.org/officeDocument/2006/customXml" ds:itemID="{7218F552-60DD-4E52-9FD9-77828BDF8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756</Words>
  <Characters>4310</Characters>
  <Application>Microsoft Office Word</Application>
  <DocSecurity>0</DocSecurity>
  <Lines>35</Lines>
  <Paragraphs>10</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5056</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Sabrina Mansion</cp:lastModifiedBy>
  <cp:revision>7</cp:revision>
  <cp:lastPrinted>2018-05-09T09:23:00Z</cp:lastPrinted>
  <dcterms:created xsi:type="dcterms:W3CDTF">2022-10-27T09:42:00Z</dcterms:created>
  <dcterms:modified xsi:type="dcterms:W3CDTF">2022-10-27T13:28:00Z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