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658E" w14:textId="77777777" w:rsidR="00A30B27" w:rsidRPr="00712915" w:rsidRDefault="00A30B27" w:rsidP="00A30B27">
      <w:pPr>
        <w:spacing w:before="120"/>
        <w:rPr>
          <w:b/>
          <w:sz w:val="28"/>
          <w:szCs w:val="28"/>
        </w:rPr>
      </w:pPr>
      <w:r w:rsidRPr="00712915">
        <w:rPr>
          <w:b/>
          <w:sz w:val="28"/>
          <w:szCs w:val="28"/>
        </w:rPr>
        <w:t>Economic Commission for Europe</w:t>
      </w:r>
    </w:p>
    <w:p w14:paraId="3AA8B594" w14:textId="77777777" w:rsidR="00A30B27" w:rsidRPr="00712915" w:rsidRDefault="00A30B27" w:rsidP="00A30B27">
      <w:pPr>
        <w:spacing w:before="120"/>
        <w:rPr>
          <w:sz w:val="28"/>
          <w:szCs w:val="28"/>
        </w:rPr>
      </w:pPr>
      <w:r w:rsidRPr="00712915">
        <w:rPr>
          <w:sz w:val="28"/>
          <w:szCs w:val="28"/>
        </w:rPr>
        <w:t>Inland Transport Committee</w:t>
      </w:r>
    </w:p>
    <w:p w14:paraId="754AC30F" w14:textId="77777777" w:rsidR="00A30B27" w:rsidRPr="00712915" w:rsidRDefault="00A30B27" w:rsidP="00A30B27">
      <w:pPr>
        <w:spacing w:before="120"/>
        <w:rPr>
          <w:b/>
          <w:sz w:val="24"/>
          <w:szCs w:val="24"/>
        </w:rPr>
      </w:pPr>
      <w:r w:rsidRPr="00712915">
        <w:rPr>
          <w:b/>
          <w:sz w:val="24"/>
          <w:szCs w:val="24"/>
        </w:rPr>
        <w:t>Working Party on the Transport of Dangerous Goods</w:t>
      </w:r>
    </w:p>
    <w:p w14:paraId="5029FD8D" w14:textId="3D42E732" w:rsidR="00A30B27" w:rsidRPr="00712915" w:rsidRDefault="00A30B27" w:rsidP="00A30B27">
      <w:pPr>
        <w:spacing w:before="120"/>
        <w:rPr>
          <w:rFonts w:eastAsia="SimSun"/>
          <w:b/>
        </w:rPr>
      </w:pPr>
      <w:r w:rsidRPr="00712915">
        <w:rPr>
          <w:rFonts w:eastAsia="SimSun"/>
          <w:b/>
        </w:rPr>
        <w:t>11</w:t>
      </w:r>
      <w:r w:rsidR="00C92FF9" w:rsidRPr="00712915">
        <w:rPr>
          <w:rFonts w:eastAsia="SimSun"/>
          <w:b/>
        </w:rPr>
        <w:t>2</w:t>
      </w:r>
      <w:r w:rsidRPr="00712915">
        <w:rPr>
          <w:rFonts w:eastAsia="SimSun"/>
          <w:b/>
        </w:rPr>
        <w:t>th</w:t>
      </w:r>
      <w:r w:rsidRPr="00712915">
        <w:rPr>
          <w:rStyle w:val="hps"/>
          <w:rFonts w:ascii="Arial" w:hAnsi="Arial" w:cs="Arial"/>
          <w:color w:val="222222"/>
        </w:rPr>
        <w:t xml:space="preserve"> </w:t>
      </w:r>
      <w:r w:rsidRPr="00712915">
        <w:rPr>
          <w:rFonts w:eastAsia="SimSun"/>
          <w:b/>
        </w:rPr>
        <w:t xml:space="preserve">session </w:t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AD0406" w:rsidRPr="00712915">
        <w:rPr>
          <w:rFonts w:eastAsia="SimSun"/>
          <w:b/>
        </w:rPr>
        <w:tab/>
      </w:r>
      <w:r w:rsidR="00E75329" w:rsidRPr="00712915">
        <w:rPr>
          <w:rFonts w:eastAsia="SimSun"/>
          <w:b/>
        </w:rPr>
        <w:t>2</w:t>
      </w:r>
      <w:r w:rsidR="00E75329">
        <w:rPr>
          <w:rFonts w:eastAsia="SimSun"/>
          <w:b/>
        </w:rPr>
        <w:t>5</w:t>
      </w:r>
      <w:r w:rsidR="00E75329" w:rsidRPr="00712915">
        <w:rPr>
          <w:rFonts w:eastAsia="SimSun"/>
          <w:b/>
        </w:rPr>
        <w:t xml:space="preserve"> </w:t>
      </w:r>
      <w:r w:rsidR="00F3304D" w:rsidRPr="00712915">
        <w:rPr>
          <w:rFonts w:eastAsia="SimSun"/>
          <w:b/>
        </w:rPr>
        <w:t xml:space="preserve">October </w:t>
      </w:r>
      <w:r w:rsidR="00AD0406" w:rsidRPr="00712915">
        <w:rPr>
          <w:rFonts w:eastAsia="SimSun"/>
          <w:b/>
        </w:rPr>
        <w:t>2022</w:t>
      </w:r>
    </w:p>
    <w:p w14:paraId="75F0E1A9" w14:textId="411C613C" w:rsidR="00A30B27" w:rsidRPr="00712915" w:rsidRDefault="00A30B27" w:rsidP="00A30B27">
      <w:pPr>
        <w:rPr>
          <w:rFonts w:eastAsia="SimSun"/>
        </w:rPr>
      </w:pPr>
      <w:r w:rsidRPr="00712915">
        <w:rPr>
          <w:rFonts w:eastAsia="SimSun"/>
        </w:rPr>
        <w:t xml:space="preserve">Geneva, </w:t>
      </w:r>
      <w:r w:rsidR="00C92FF9" w:rsidRPr="00712915">
        <w:rPr>
          <w:rFonts w:eastAsia="SimSun"/>
        </w:rPr>
        <w:t>8-11 November</w:t>
      </w:r>
      <w:r w:rsidRPr="00712915">
        <w:rPr>
          <w:rFonts w:eastAsia="SimSun"/>
        </w:rPr>
        <w:t xml:space="preserve"> 2022</w:t>
      </w:r>
    </w:p>
    <w:p w14:paraId="350E0FA0" w14:textId="617307CD" w:rsidR="00A30B27" w:rsidRPr="00712915" w:rsidRDefault="00A30B27" w:rsidP="00A30B27">
      <w:r w:rsidRPr="00712915">
        <w:t xml:space="preserve">Item </w:t>
      </w:r>
      <w:r w:rsidR="00533A05" w:rsidRPr="00712915">
        <w:t>4</w:t>
      </w:r>
      <w:r w:rsidRPr="00712915">
        <w:t xml:space="preserve"> of the provisional agenda</w:t>
      </w:r>
    </w:p>
    <w:p w14:paraId="777A3115" w14:textId="7F5245AE" w:rsidR="00A30B27" w:rsidRPr="00712915" w:rsidRDefault="00E44AFE" w:rsidP="00A30B27">
      <w:pPr>
        <w:rPr>
          <w:b/>
        </w:rPr>
      </w:pPr>
      <w:r w:rsidRPr="00712915">
        <w:rPr>
          <w:b/>
        </w:rPr>
        <w:t>Interpretation of ADR</w:t>
      </w:r>
    </w:p>
    <w:p w14:paraId="60A79E80" w14:textId="3D5ACA06" w:rsidR="00747C43" w:rsidRPr="00712915" w:rsidRDefault="00253966" w:rsidP="00747C43">
      <w:pPr>
        <w:pStyle w:val="HChG"/>
        <w:rPr>
          <w:lang w:val="en-GB"/>
        </w:rPr>
      </w:pPr>
      <w:r w:rsidRPr="00712915">
        <w:rPr>
          <w:lang w:val="en-GB"/>
        </w:rPr>
        <w:tab/>
      </w:r>
      <w:r w:rsidRPr="00712915">
        <w:rPr>
          <w:lang w:val="en-GB"/>
        </w:rPr>
        <w:tab/>
      </w:r>
      <w:r w:rsidR="00AB5024" w:rsidRPr="00712915">
        <w:rPr>
          <w:lang w:val="en-GB"/>
        </w:rPr>
        <w:t>Scope of ADR</w:t>
      </w:r>
    </w:p>
    <w:p w14:paraId="5B33E58A" w14:textId="7F790CDE" w:rsidR="00253966" w:rsidRPr="00712915" w:rsidRDefault="00384EA2" w:rsidP="00384EA2">
      <w:pPr>
        <w:pStyle w:val="H1G"/>
      </w:pPr>
      <w:r w:rsidRPr="00712915">
        <w:tab/>
      </w:r>
      <w:r w:rsidRPr="00712915">
        <w:tab/>
        <w:t>Note by the secretariat</w:t>
      </w:r>
    </w:p>
    <w:p w14:paraId="2BE70CD2" w14:textId="208D3FAC" w:rsidR="00934829" w:rsidRPr="00712915" w:rsidRDefault="00934829" w:rsidP="00934829">
      <w:pPr>
        <w:pStyle w:val="HChG"/>
        <w:rPr>
          <w:lang w:val="en-GB"/>
        </w:rPr>
      </w:pPr>
      <w:r w:rsidRPr="00712915">
        <w:rPr>
          <w:lang w:val="en-GB"/>
        </w:rPr>
        <w:tab/>
      </w:r>
      <w:r w:rsidRPr="00712915">
        <w:rPr>
          <w:lang w:val="en-GB"/>
        </w:rPr>
        <w:tab/>
        <w:t>Introduction</w:t>
      </w:r>
    </w:p>
    <w:p w14:paraId="6D319951" w14:textId="79350BBA" w:rsidR="00411F51" w:rsidRPr="00712915" w:rsidRDefault="00EE6285" w:rsidP="00BE664F">
      <w:pPr>
        <w:pStyle w:val="SingleTxtG"/>
        <w:rPr>
          <w:lang w:val="en-GB" w:eastAsia="fr-FR"/>
        </w:rPr>
      </w:pPr>
      <w:r w:rsidRPr="00712915">
        <w:rPr>
          <w:lang w:val="en-GB"/>
        </w:rPr>
        <w:t>1.</w:t>
      </w:r>
      <w:r w:rsidRPr="00712915">
        <w:rPr>
          <w:lang w:val="en-GB"/>
        </w:rPr>
        <w:tab/>
      </w:r>
      <w:r w:rsidR="0057183D" w:rsidRPr="00712915">
        <w:rPr>
          <w:lang w:val="en-GB"/>
        </w:rPr>
        <w:t xml:space="preserve">During </w:t>
      </w:r>
      <w:r w:rsidR="008244D7" w:rsidRPr="00712915">
        <w:rPr>
          <w:lang w:val="en-GB"/>
        </w:rPr>
        <w:t>its</w:t>
      </w:r>
      <w:r w:rsidR="0057183D" w:rsidRPr="00712915">
        <w:rPr>
          <w:lang w:val="en-GB"/>
        </w:rPr>
        <w:t xml:space="preserve"> Autumn 2022 session</w:t>
      </w:r>
      <w:r w:rsidR="008244D7" w:rsidRPr="00712915">
        <w:rPr>
          <w:lang w:val="en-GB"/>
        </w:rPr>
        <w:t xml:space="preserve">, </w:t>
      </w:r>
      <w:r w:rsidR="0057183D" w:rsidRPr="00712915">
        <w:rPr>
          <w:lang w:val="en-GB"/>
        </w:rPr>
        <w:t>the Joint Meeting</w:t>
      </w:r>
      <w:r w:rsidR="008244D7" w:rsidRPr="00712915">
        <w:rPr>
          <w:lang w:val="en-GB"/>
        </w:rPr>
        <w:t xml:space="preserve"> discussed </w:t>
      </w:r>
      <w:r w:rsidR="00A73620" w:rsidRPr="00712915">
        <w:rPr>
          <w:lang w:val="en-GB"/>
        </w:rPr>
        <w:t xml:space="preserve">provisions related to overpacks </w:t>
      </w:r>
      <w:r w:rsidR="001337DA" w:rsidRPr="00712915">
        <w:rPr>
          <w:lang w:val="en-GB"/>
        </w:rPr>
        <w:t xml:space="preserve">for direct </w:t>
      </w:r>
      <w:r w:rsidR="00BE664F" w:rsidRPr="00712915">
        <w:rPr>
          <w:lang w:val="en-GB"/>
        </w:rPr>
        <w:t xml:space="preserve">delivery of dangerous goods to end consumers. During the discussion, some delegates </w:t>
      </w:r>
      <w:r w:rsidR="00411F51" w:rsidRPr="00712915">
        <w:rPr>
          <w:lang w:val="en-GB" w:eastAsia="fr-FR"/>
        </w:rPr>
        <w:t>felt that a clarification concerning the applicability</w:t>
      </w:r>
      <w:r w:rsidR="002806A8" w:rsidRPr="00712915">
        <w:rPr>
          <w:lang w:val="en-GB" w:eastAsia="fr-FR"/>
        </w:rPr>
        <w:t xml:space="preserve"> of ADR</w:t>
      </w:r>
      <w:r w:rsidR="00411F51" w:rsidRPr="00712915">
        <w:rPr>
          <w:lang w:val="en-GB" w:eastAsia="fr-FR"/>
        </w:rPr>
        <w:t xml:space="preserve"> to </w:t>
      </w:r>
      <w:r w:rsidR="00900ED1" w:rsidRPr="00712915">
        <w:rPr>
          <w:lang w:val="en-GB" w:eastAsia="fr-FR"/>
        </w:rPr>
        <w:t xml:space="preserve">carriage </w:t>
      </w:r>
      <w:r w:rsidR="00F645FC" w:rsidRPr="00712915">
        <w:rPr>
          <w:lang w:val="en-GB" w:eastAsia="fr-FR"/>
        </w:rPr>
        <w:t xml:space="preserve">done with </w:t>
      </w:r>
      <w:r w:rsidR="00900ED1" w:rsidRPr="00712915">
        <w:rPr>
          <w:lang w:val="en-GB" w:eastAsia="fr-FR"/>
        </w:rPr>
        <w:t xml:space="preserve">vehicles with less than four </w:t>
      </w:r>
      <w:r w:rsidR="00411F51" w:rsidRPr="00712915">
        <w:rPr>
          <w:lang w:val="en-GB" w:eastAsia="fr-FR"/>
        </w:rPr>
        <w:t>wheels would be useful, and the secretariat offered to submit a document to discuss this issue at the next sessions of the Working Party on the Transport of Dangerous Goods (WP.15) and the Joint Meeting.</w:t>
      </w:r>
    </w:p>
    <w:p w14:paraId="0275FE84" w14:textId="4498357C" w:rsidR="002806A8" w:rsidRPr="00712915" w:rsidRDefault="002806A8" w:rsidP="002806A8">
      <w:pPr>
        <w:pStyle w:val="HChG"/>
        <w:rPr>
          <w:lang w:val="en-GB"/>
        </w:rPr>
      </w:pPr>
      <w:r w:rsidRPr="00712915">
        <w:rPr>
          <w:lang w:val="en-GB"/>
        </w:rPr>
        <w:tab/>
      </w:r>
      <w:r w:rsidRPr="00712915">
        <w:rPr>
          <w:lang w:val="en-GB"/>
        </w:rPr>
        <w:tab/>
      </w:r>
      <w:r w:rsidR="00093520" w:rsidRPr="00712915">
        <w:rPr>
          <w:lang w:val="en-GB"/>
        </w:rPr>
        <w:t xml:space="preserve">Analysis </w:t>
      </w:r>
    </w:p>
    <w:p w14:paraId="23641522" w14:textId="4FA10BAF" w:rsidR="00093520" w:rsidRPr="00712915" w:rsidRDefault="002806A8" w:rsidP="00093520">
      <w:pPr>
        <w:pStyle w:val="SingleTxtG"/>
        <w:rPr>
          <w:lang w:val="en-GB" w:eastAsia="fr-FR"/>
        </w:rPr>
      </w:pPr>
      <w:r w:rsidRPr="00712915">
        <w:rPr>
          <w:lang w:val="en-GB" w:eastAsia="fr-FR"/>
        </w:rPr>
        <w:t>2.</w:t>
      </w:r>
      <w:r w:rsidRPr="00712915">
        <w:rPr>
          <w:lang w:val="en-GB" w:eastAsia="fr-FR"/>
        </w:rPr>
        <w:tab/>
      </w:r>
      <w:r w:rsidR="00093520" w:rsidRPr="00712915">
        <w:rPr>
          <w:lang w:val="en-GB" w:eastAsia="fr-FR"/>
        </w:rPr>
        <w:t xml:space="preserve">Article 1 of ADR </w:t>
      </w:r>
      <w:r w:rsidR="00467E34" w:rsidRPr="00712915">
        <w:rPr>
          <w:lang w:val="en-GB" w:eastAsia="fr-FR"/>
        </w:rPr>
        <w:t>indicates that</w:t>
      </w:r>
      <w:r w:rsidR="00EE00C9" w:rsidRPr="00712915">
        <w:rPr>
          <w:lang w:val="en-GB" w:eastAsia="fr-FR"/>
        </w:rPr>
        <w:t xml:space="preserve">, for the purpose of ADR, </w:t>
      </w:r>
      <w:r w:rsidR="00CD1986" w:rsidRPr="00712915">
        <w:rPr>
          <w:lang w:val="en-GB" w:eastAsia="fr-FR"/>
        </w:rPr>
        <w:t xml:space="preserve">the term </w:t>
      </w:r>
      <w:r w:rsidR="00064A83" w:rsidRPr="00712915">
        <w:rPr>
          <w:lang w:val="en-GB" w:eastAsia="fr-FR"/>
        </w:rPr>
        <w:t>“</w:t>
      </w:r>
      <w:r w:rsidR="00CD1986" w:rsidRPr="00712915">
        <w:rPr>
          <w:lang w:val="en-GB" w:eastAsia="fr-FR"/>
        </w:rPr>
        <w:t>vehicle</w:t>
      </w:r>
      <w:r w:rsidR="00064A83" w:rsidRPr="00712915">
        <w:rPr>
          <w:lang w:val="en-GB" w:eastAsia="fr-FR"/>
        </w:rPr>
        <w:t>”</w:t>
      </w:r>
      <w:r w:rsidR="00CD1986" w:rsidRPr="00712915">
        <w:rPr>
          <w:lang w:val="en-GB" w:eastAsia="fr-FR"/>
        </w:rPr>
        <w:t xml:space="preserve"> shall mean motor vehicles, articulated vehicles, </w:t>
      </w:r>
      <w:proofErr w:type="gramStart"/>
      <w:r w:rsidR="00CD1986" w:rsidRPr="00712915">
        <w:rPr>
          <w:lang w:val="en-GB" w:eastAsia="fr-FR"/>
        </w:rPr>
        <w:t>trailers</w:t>
      </w:r>
      <w:proofErr w:type="gramEnd"/>
      <w:r w:rsidR="00CD1986" w:rsidRPr="00712915">
        <w:rPr>
          <w:lang w:val="en-GB" w:eastAsia="fr-FR"/>
        </w:rPr>
        <w:t xml:space="preserve"> and semi</w:t>
      </w:r>
      <w:r w:rsidR="007372BE" w:rsidRPr="00712915">
        <w:rPr>
          <w:lang w:val="en-GB" w:eastAsia="fr-FR"/>
        </w:rPr>
        <w:t>-</w:t>
      </w:r>
      <w:r w:rsidR="00CD1986" w:rsidRPr="00712915">
        <w:rPr>
          <w:lang w:val="en-GB" w:eastAsia="fr-FR"/>
        </w:rPr>
        <w:t>trailers, as defined in article 4 of the Convention on Road Traffic of 19 September 1949, other than vehicles belonging to or under the orders of the armed forces of a Contracting Party</w:t>
      </w:r>
      <w:r w:rsidR="00064A83" w:rsidRPr="00712915">
        <w:rPr>
          <w:lang w:val="en-GB" w:eastAsia="fr-FR"/>
        </w:rPr>
        <w:t>.</w:t>
      </w:r>
    </w:p>
    <w:p w14:paraId="5A115F24" w14:textId="5B8AEDC0" w:rsidR="00093520" w:rsidRPr="00712915" w:rsidRDefault="00064A83" w:rsidP="0050654F">
      <w:pPr>
        <w:pStyle w:val="SingleTxtG"/>
        <w:rPr>
          <w:lang w:val="en-GB" w:eastAsia="fr-FR"/>
        </w:rPr>
      </w:pPr>
      <w:r w:rsidRPr="00712915">
        <w:rPr>
          <w:lang w:val="en-GB" w:eastAsia="fr-FR"/>
        </w:rPr>
        <w:t>3.</w:t>
      </w:r>
      <w:r w:rsidRPr="00712915">
        <w:rPr>
          <w:lang w:val="en-GB" w:eastAsia="fr-FR"/>
        </w:rPr>
        <w:tab/>
        <w:t>The following definitions may be found in article 4 of the Convention on Road Traffic of 19 September 1949:</w:t>
      </w:r>
    </w:p>
    <w:p w14:paraId="04109281" w14:textId="30313A7C" w:rsidR="00093520" w:rsidRPr="00712915" w:rsidRDefault="00064A83" w:rsidP="0050654F">
      <w:pPr>
        <w:pStyle w:val="SingleTxtG"/>
        <w:ind w:left="1701"/>
        <w:rPr>
          <w:lang w:val="en-GB" w:eastAsia="fr-FR"/>
        </w:rPr>
      </w:pPr>
      <w:r w:rsidRPr="0050654F">
        <w:rPr>
          <w:i/>
          <w:iCs/>
          <w:lang w:val="en-GB" w:eastAsia="fr-FR"/>
        </w:rPr>
        <w:t>“</w:t>
      </w:r>
      <w:r w:rsidR="00093520" w:rsidRPr="0050654F">
        <w:rPr>
          <w:i/>
          <w:iCs/>
          <w:lang w:val="en-GB" w:eastAsia="fr-FR"/>
        </w:rPr>
        <w:t>Motor vehicle</w:t>
      </w:r>
      <w:r w:rsidRPr="0050654F">
        <w:rPr>
          <w:i/>
          <w:iCs/>
          <w:lang w:val="en-GB" w:eastAsia="fr-FR"/>
        </w:rPr>
        <w:t>”</w:t>
      </w:r>
      <w:r w:rsidR="00093520" w:rsidRPr="0050654F">
        <w:rPr>
          <w:i/>
          <w:iCs/>
          <w:lang w:val="en-GB" w:eastAsia="fr-FR"/>
        </w:rPr>
        <w:t xml:space="preserve"> </w:t>
      </w:r>
      <w:r w:rsidR="00093520" w:rsidRPr="00712915">
        <w:rPr>
          <w:lang w:val="en-GB" w:eastAsia="fr-FR"/>
        </w:rPr>
        <w:t>means any self-propelled vehicle normally used for the transport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of persons or goods upon a road, other than vehicles running on rails or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connected to electric conductors. Any State bound by a</w:t>
      </w:r>
      <w:r w:rsidRPr="00712915">
        <w:rPr>
          <w:lang w:val="en-GB" w:eastAsia="fr-FR"/>
        </w:rPr>
        <w:t>nne</w:t>
      </w:r>
      <w:r w:rsidR="00093520" w:rsidRPr="00712915">
        <w:rPr>
          <w:lang w:val="en-GB" w:eastAsia="fr-FR"/>
        </w:rPr>
        <w:t>x 1 shall exclude from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this definition cycles fitted with an auxiliary engine of the type described in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that annex;</w:t>
      </w:r>
    </w:p>
    <w:p w14:paraId="7E73E1C9" w14:textId="33B2BFBD" w:rsidR="00093520" w:rsidRPr="00712915" w:rsidRDefault="00064A83" w:rsidP="0050654F">
      <w:pPr>
        <w:pStyle w:val="SingleTxtG"/>
        <w:ind w:left="1701"/>
        <w:rPr>
          <w:lang w:val="en-GB" w:eastAsia="fr-FR"/>
        </w:rPr>
      </w:pPr>
      <w:r w:rsidRPr="0050654F">
        <w:rPr>
          <w:i/>
          <w:iCs/>
          <w:lang w:val="en-GB" w:eastAsia="fr-FR"/>
        </w:rPr>
        <w:t>“</w:t>
      </w:r>
      <w:r w:rsidR="00093520" w:rsidRPr="0050654F">
        <w:rPr>
          <w:i/>
          <w:iCs/>
          <w:lang w:val="en-GB" w:eastAsia="fr-FR"/>
        </w:rPr>
        <w:t>Articulated vehicle</w:t>
      </w:r>
      <w:r w:rsidRPr="0050654F">
        <w:rPr>
          <w:i/>
          <w:iCs/>
          <w:lang w:val="en-GB" w:eastAsia="fr-FR"/>
        </w:rPr>
        <w:t>”</w:t>
      </w:r>
      <w:r w:rsidR="00093520" w:rsidRPr="00712915">
        <w:rPr>
          <w:lang w:val="en-GB" w:eastAsia="fr-FR"/>
        </w:rPr>
        <w:t xml:space="preserve"> means any motor vehicle with a trailer having no front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axle and so attached that part of the trailer is superimposed upon the motor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vehicle and a substantial part of the weight of the trailer and of its load is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 xml:space="preserve">borne by the motor vehicle. Such a trailer shall be called a </w:t>
      </w:r>
      <w:r w:rsidRPr="00712915">
        <w:rPr>
          <w:lang w:val="en-GB" w:eastAsia="fr-FR"/>
        </w:rPr>
        <w:t>“</w:t>
      </w:r>
      <w:r w:rsidR="00093520" w:rsidRPr="00712915">
        <w:rPr>
          <w:lang w:val="en-GB" w:eastAsia="fr-FR"/>
        </w:rPr>
        <w:t>semi-trailer</w:t>
      </w:r>
      <w:r w:rsidRPr="00712915">
        <w:rPr>
          <w:lang w:val="en-GB" w:eastAsia="fr-FR"/>
        </w:rPr>
        <w:t>”</w:t>
      </w:r>
      <w:r w:rsidR="00093520" w:rsidRPr="00712915">
        <w:rPr>
          <w:lang w:val="en-GB" w:eastAsia="fr-FR"/>
        </w:rPr>
        <w:t>;</w:t>
      </w:r>
      <w:r w:rsidRPr="00712915">
        <w:rPr>
          <w:lang w:val="en-GB" w:eastAsia="fr-FR"/>
        </w:rPr>
        <w:t xml:space="preserve"> </w:t>
      </w:r>
    </w:p>
    <w:p w14:paraId="3EA9D481" w14:textId="4063BBAB" w:rsidR="00093520" w:rsidRPr="00712915" w:rsidRDefault="00064A83" w:rsidP="0050654F">
      <w:pPr>
        <w:pStyle w:val="SingleTxtG"/>
        <w:ind w:left="1701"/>
        <w:rPr>
          <w:lang w:val="en-GB" w:eastAsia="fr-FR"/>
        </w:rPr>
      </w:pPr>
      <w:r w:rsidRPr="0050654F">
        <w:rPr>
          <w:i/>
          <w:iCs/>
          <w:lang w:val="en-GB" w:eastAsia="fr-FR"/>
        </w:rPr>
        <w:t>“</w:t>
      </w:r>
      <w:r w:rsidR="00093520" w:rsidRPr="0050654F">
        <w:rPr>
          <w:i/>
          <w:iCs/>
          <w:lang w:val="en-GB" w:eastAsia="fr-FR"/>
        </w:rPr>
        <w:t>Trailer</w:t>
      </w:r>
      <w:r w:rsidRPr="0050654F">
        <w:rPr>
          <w:i/>
          <w:iCs/>
          <w:lang w:val="en-GB" w:eastAsia="fr-FR"/>
        </w:rPr>
        <w:t>”</w:t>
      </w:r>
      <w:r w:rsidR="00093520" w:rsidRPr="00712915">
        <w:rPr>
          <w:lang w:val="en-GB" w:eastAsia="fr-FR"/>
        </w:rPr>
        <w:t xml:space="preserve"> means any vehicle designed to be drawn by a motor vehicle;</w:t>
      </w:r>
    </w:p>
    <w:p w14:paraId="7185614C" w14:textId="1CB1E3A5" w:rsidR="00093520" w:rsidRPr="00712915" w:rsidRDefault="00064A83" w:rsidP="0050654F">
      <w:pPr>
        <w:pStyle w:val="SingleTxtG"/>
        <w:ind w:left="1701"/>
        <w:rPr>
          <w:lang w:val="en-GB" w:eastAsia="fr-FR"/>
        </w:rPr>
      </w:pPr>
      <w:r w:rsidRPr="0050654F">
        <w:rPr>
          <w:i/>
          <w:iCs/>
          <w:lang w:val="en-GB" w:eastAsia="fr-FR"/>
        </w:rPr>
        <w:t>“</w:t>
      </w:r>
      <w:r w:rsidR="00093520" w:rsidRPr="0050654F">
        <w:rPr>
          <w:i/>
          <w:iCs/>
          <w:lang w:val="en-GB" w:eastAsia="fr-FR"/>
        </w:rPr>
        <w:t>Cycle</w:t>
      </w:r>
      <w:r w:rsidRPr="0050654F">
        <w:rPr>
          <w:i/>
          <w:iCs/>
          <w:lang w:val="en-GB" w:eastAsia="fr-FR"/>
        </w:rPr>
        <w:t>”</w:t>
      </w:r>
      <w:r w:rsidR="00093520" w:rsidRPr="0050654F">
        <w:rPr>
          <w:i/>
          <w:iCs/>
          <w:lang w:val="en-GB" w:eastAsia="fr-FR"/>
        </w:rPr>
        <w:t xml:space="preserve"> </w:t>
      </w:r>
      <w:r w:rsidR="00093520" w:rsidRPr="00712915">
        <w:rPr>
          <w:lang w:val="en-GB" w:eastAsia="fr-FR"/>
        </w:rPr>
        <w:t>means any cycle not self-propelled. Any State bound by annex 1 shall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include in this definition cycles fitted with an auxiliary engine of the type</w:t>
      </w:r>
      <w:r w:rsidRPr="00712915">
        <w:rPr>
          <w:lang w:val="en-GB" w:eastAsia="fr-FR"/>
        </w:rPr>
        <w:t xml:space="preserve"> </w:t>
      </w:r>
      <w:r w:rsidR="00093520" w:rsidRPr="00712915">
        <w:rPr>
          <w:lang w:val="en-GB" w:eastAsia="fr-FR"/>
        </w:rPr>
        <w:t>described in that annex</w:t>
      </w:r>
      <w:r w:rsidR="0050654F">
        <w:rPr>
          <w:lang w:val="en-GB" w:eastAsia="fr-FR"/>
        </w:rPr>
        <w:t>.</w:t>
      </w:r>
    </w:p>
    <w:p w14:paraId="0BE1F3CC" w14:textId="1742E059" w:rsidR="00093520" w:rsidRPr="00712915" w:rsidRDefault="00064A83" w:rsidP="00093520">
      <w:pPr>
        <w:pStyle w:val="SingleTxtG"/>
        <w:rPr>
          <w:lang w:val="en-GB" w:eastAsia="fr-FR"/>
        </w:rPr>
      </w:pPr>
      <w:r w:rsidRPr="00712915">
        <w:rPr>
          <w:lang w:val="en-GB" w:eastAsia="fr-FR"/>
        </w:rPr>
        <w:t>4.</w:t>
      </w:r>
      <w:r w:rsidRPr="00712915">
        <w:rPr>
          <w:lang w:val="en-GB" w:eastAsia="fr-FR"/>
        </w:rPr>
        <w:tab/>
      </w:r>
      <w:r w:rsidR="00093520" w:rsidRPr="00712915">
        <w:rPr>
          <w:lang w:val="en-GB" w:eastAsia="fr-FR"/>
        </w:rPr>
        <w:t xml:space="preserve">Annex 1 of the Convention on Road Traffic indicates that </w:t>
      </w:r>
      <w:r w:rsidRPr="00712915">
        <w:rPr>
          <w:lang w:val="en-GB" w:eastAsia="fr-FR"/>
        </w:rPr>
        <w:t>“</w:t>
      </w:r>
      <w:r w:rsidR="00093520" w:rsidRPr="00712915">
        <w:rPr>
          <w:lang w:val="en-GB" w:eastAsia="fr-FR"/>
        </w:rPr>
        <w:t>Cycles fitted with an auxiliary internal combustion engine having a maximum cylinder capacity of 50 cm</w:t>
      </w:r>
      <w:r w:rsidRPr="00712915">
        <w:rPr>
          <w:lang w:val="en-GB" w:eastAsia="fr-FR"/>
        </w:rPr>
        <w:t>³</w:t>
      </w:r>
      <w:r w:rsidR="00093520" w:rsidRPr="00712915">
        <w:rPr>
          <w:lang w:val="en-GB" w:eastAsia="fr-FR"/>
        </w:rPr>
        <w:t xml:space="preserve"> shall not be considered as motor vehicles, provided that they retain all the normal characteristics of cycles with respect to their structure.</w:t>
      </w:r>
      <w:r w:rsidRPr="00712915">
        <w:rPr>
          <w:lang w:val="en-GB" w:eastAsia="fr-FR"/>
        </w:rPr>
        <w:t>”.</w:t>
      </w:r>
    </w:p>
    <w:p w14:paraId="4CDEE952" w14:textId="013B4B39" w:rsidR="0027552F" w:rsidRPr="0050654F" w:rsidRDefault="0027552F" w:rsidP="0050654F">
      <w:pPr>
        <w:pStyle w:val="H1G"/>
        <w:rPr>
          <w:lang w:eastAsia="fr-FR"/>
        </w:rPr>
      </w:pPr>
      <w:r w:rsidRPr="00712915">
        <w:rPr>
          <w:lang w:eastAsia="fr-FR"/>
        </w:rPr>
        <w:tab/>
      </w:r>
      <w:r w:rsidR="00712915">
        <w:rPr>
          <w:lang w:eastAsia="fr-FR"/>
        </w:rPr>
        <w:t>A.</w:t>
      </w:r>
      <w:r w:rsidRPr="00712915">
        <w:rPr>
          <w:lang w:eastAsia="fr-FR"/>
        </w:rPr>
        <w:tab/>
      </w:r>
      <w:r w:rsidR="00E958D9" w:rsidRPr="0050654F">
        <w:rPr>
          <w:lang w:eastAsia="fr-FR"/>
        </w:rPr>
        <w:t>International transport on the territor</w:t>
      </w:r>
      <w:r w:rsidR="003F6DF8" w:rsidRPr="0050654F">
        <w:rPr>
          <w:lang w:eastAsia="fr-FR"/>
        </w:rPr>
        <w:t xml:space="preserve">y </w:t>
      </w:r>
      <w:r w:rsidR="00E90FF0" w:rsidRPr="0050654F">
        <w:rPr>
          <w:lang w:eastAsia="fr-FR"/>
        </w:rPr>
        <w:t>of at least two Contracting Parties</w:t>
      </w:r>
    </w:p>
    <w:p w14:paraId="4EFAB285" w14:textId="27784AEB" w:rsidR="00093520" w:rsidRPr="00EA7B56" w:rsidRDefault="00064A83" w:rsidP="00447D0E">
      <w:pPr>
        <w:pStyle w:val="SingleTxtG"/>
        <w:rPr>
          <w:lang w:val="en-GB" w:eastAsia="fr-FR"/>
        </w:rPr>
      </w:pPr>
      <w:r w:rsidRPr="00EA7B56">
        <w:rPr>
          <w:lang w:val="en-GB" w:eastAsia="fr-FR"/>
        </w:rPr>
        <w:t>5.</w:t>
      </w:r>
      <w:r w:rsidRPr="00EA7B56">
        <w:rPr>
          <w:lang w:val="en-GB" w:eastAsia="fr-FR"/>
        </w:rPr>
        <w:tab/>
        <w:t>In view of the above</w:t>
      </w:r>
      <w:r w:rsidR="00447D0E" w:rsidRPr="00EA7B56">
        <w:rPr>
          <w:lang w:val="en-GB" w:eastAsia="fr-FR"/>
        </w:rPr>
        <w:t>, the secretariat considers that:</w:t>
      </w:r>
    </w:p>
    <w:p w14:paraId="3D6EF1B9" w14:textId="69545292" w:rsidR="00093520" w:rsidRPr="00EA7B56" w:rsidRDefault="00093520" w:rsidP="000B316A">
      <w:pPr>
        <w:pStyle w:val="SingleTxtG"/>
        <w:numPr>
          <w:ilvl w:val="0"/>
          <w:numId w:val="17"/>
        </w:numPr>
        <w:rPr>
          <w:lang w:val="en-GB" w:eastAsia="fr-FR"/>
        </w:rPr>
      </w:pPr>
      <w:r w:rsidRPr="00EA7B56">
        <w:rPr>
          <w:lang w:val="en-GB" w:eastAsia="fr-FR"/>
        </w:rPr>
        <w:lastRenderedPageBreak/>
        <w:t xml:space="preserve">Cycles </w:t>
      </w:r>
      <w:r w:rsidRPr="00EA7B56">
        <w:rPr>
          <w:u w:val="single"/>
          <w:lang w:val="en-GB" w:eastAsia="fr-FR"/>
        </w:rPr>
        <w:t xml:space="preserve">with an </w:t>
      </w:r>
      <w:r w:rsidR="00447D0E" w:rsidRPr="00EA7B56">
        <w:rPr>
          <w:u w:val="single"/>
          <w:lang w:val="en-GB" w:eastAsia="fr-FR"/>
        </w:rPr>
        <w:t xml:space="preserve">auxiliary </w:t>
      </w:r>
      <w:r w:rsidRPr="00EA7B56">
        <w:rPr>
          <w:u w:val="single"/>
          <w:lang w:val="en-GB" w:eastAsia="fr-FR"/>
        </w:rPr>
        <w:t>engine</w:t>
      </w:r>
      <w:r w:rsidRPr="00EA7B56">
        <w:rPr>
          <w:lang w:val="en-GB" w:eastAsia="fr-FR"/>
        </w:rPr>
        <w:t xml:space="preserve"> with a maximum cylinder capacity of less than 50</w:t>
      </w:r>
      <w:r w:rsidR="00447D0E" w:rsidRPr="00EA7B56">
        <w:rPr>
          <w:lang w:val="en-GB" w:eastAsia="fr-FR"/>
        </w:rPr>
        <w:t> </w:t>
      </w:r>
      <w:r w:rsidRPr="00EA7B56">
        <w:rPr>
          <w:lang w:val="en-GB" w:eastAsia="fr-FR"/>
        </w:rPr>
        <w:t>cm</w:t>
      </w:r>
      <w:r w:rsidR="00447D0E" w:rsidRPr="00EA7B56">
        <w:rPr>
          <w:lang w:val="en-GB" w:eastAsia="fr-FR"/>
        </w:rPr>
        <w:t>³</w:t>
      </w:r>
      <w:r w:rsidRPr="00EA7B56">
        <w:rPr>
          <w:lang w:val="en-GB" w:eastAsia="fr-FR"/>
        </w:rPr>
        <w:t xml:space="preserve"> auxiliary engine (</w:t>
      </w:r>
      <w:proofErr w:type="gramStart"/>
      <w:r w:rsidRPr="00EA7B56">
        <w:rPr>
          <w:lang w:val="en-GB" w:eastAsia="fr-FR"/>
        </w:rPr>
        <w:t>i.e.</w:t>
      </w:r>
      <w:proofErr w:type="gramEnd"/>
      <w:r w:rsidRPr="00EA7B56">
        <w:rPr>
          <w:lang w:val="en-GB" w:eastAsia="fr-FR"/>
        </w:rPr>
        <w:t xml:space="preserve"> you can move the cycle by pedalling without using the engine) are not motor</w:t>
      </w:r>
      <w:r w:rsidR="00447D0E" w:rsidRPr="00EA7B56">
        <w:rPr>
          <w:lang w:val="en-GB" w:eastAsia="fr-FR"/>
        </w:rPr>
        <w:t xml:space="preserve"> </w:t>
      </w:r>
      <w:r w:rsidRPr="00EA7B56">
        <w:rPr>
          <w:lang w:val="en-GB" w:eastAsia="fr-FR"/>
        </w:rPr>
        <w:t xml:space="preserve">vehicles according to the definition and are not covered by the scope of ADR. </w:t>
      </w:r>
      <w:r w:rsidR="00F35CBE" w:rsidRPr="00EA7B56">
        <w:rPr>
          <w:lang w:val="en-GB" w:eastAsia="fr-FR"/>
        </w:rPr>
        <w:t>E</w:t>
      </w:r>
      <w:r w:rsidRPr="00EA7B56">
        <w:rPr>
          <w:lang w:val="en-GB" w:eastAsia="fr-FR"/>
        </w:rPr>
        <w:t>ach country may prohibit or regulate the carriage of dangerous goods by such cycles as deemed appropriate in another regulation instrument.</w:t>
      </w:r>
      <w:r w:rsidR="00F35CBE" w:rsidRPr="00EA7B56">
        <w:rPr>
          <w:lang w:val="en-GB" w:eastAsia="fr-FR"/>
        </w:rPr>
        <w:t xml:space="preserve"> </w:t>
      </w:r>
      <w:r w:rsidR="00747FAD">
        <w:rPr>
          <w:lang w:val="en-GB" w:eastAsia="fr-FR"/>
        </w:rPr>
        <w:t>I</w:t>
      </w:r>
      <w:r w:rsidR="004E0041">
        <w:rPr>
          <w:lang w:val="en-GB" w:eastAsia="fr-FR"/>
        </w:rPr>
        <w:t>f not regulated</w:t>
      </w:r>
      <w:r w:rsidR="00296B92">
        <w:rPr>
          <w:lang w:val="en-GB" w:eastAsia="fr-FR"/>
        </w:rPr>
        <w:t xml:space="preserve"> </w:t>
      </w:r>
      <w:r w:rsidR="002051CF">
        <w:rPr>
          <w:lang w:val="en-GB" w:eastAsia="fr-FR"/>
        </w:rPr>
        <w:t xml:space="preserve">otherwise, </w:t>
      </w:r>
      <w:r w:rsidR="00130BA1">
        <w:rPr>
          <w:lang w:val="en-GB" w:eastAsia="fr-FR"/>
        </w:rPr>
        <w:t xml:space="preserve">transport </w:t>
      </w:r>
      <w:r w:rsidR="002051CF">
        <w:rPr>
          <w:lang w:val="en-GB" w:eastAsia="fr-FR"/>
        </w:rPr>
        <w:t>o</w:t>
      </w:r>
      <w:r w:rsidR="00130BA1">
        <w:rPr>
          <w:lang w:val="en-GB" w:eastAsia="fr-FR"/>
        </w:rPr>
        <w:t xml:space="preserve">f dangerous </w:t>
      </w:r>
      <w:r w:rsidR="005C23F6">
        <w:rPr>
          <w:lang w:val="en-GB" w:eastAsia="fr-FR"/>
        </w:rPr>
        <w:t>goods</w:t>
      </w:r>
      <w:r w:rsidR="001D6353">
        <w:rPr>
          <w:lang w:val="en-GB" w:eastAsia="fr-FR"/>
        </w:rPr>
        <w:t xml:space="preserve"> in these</w:t>
      </w:r>
      <w:r w:rsidR="00475D8F">
        <w:rPr>
          <w:lang w:val="en-GB" w:eastAsia="fr-FR"/>
        </w:rPr>
        <w:t xml:space="preserve"> cycles is permitted</w:t>
      </w:r>
      <w:r w:rsidR="004E0C24">
        <w:rPr>
          <w:lang w:val="en-GB" w:eastAsia="fr-FR"/>
        </w:rPr>
        <w:t xml:space="preserve">. </w:t>
      </w:r>
      <w:r w:rsidR="00F35CBE" w:rsidRPr="00EA7B56">
        <w:rPr>
          <w:lang w:val="en-GB" w:eastAsia="fr-FR"/>
        </w:rPr>
        <w:t xml:space="preserve">Motorcycles and scooters with engines of less than 50 cm³ and </w:t>
      </w:r>
      <w:r w:rsidR="00F35CBE" w:rsidRPr="00EA7B56">
        <w:rPr>
          <w:u w:val="single"/>
          <w:lang w:val="en-GB" w:eastAsia="fr-FR"/>
        </w:rPr>
        <w:t>without</w:t>
      </w:r>
      <w:r w:rsidR="00F35CBE" w:rsidRPr="00EA7B56">
        <w:rPr>
          <w:lang w:val="en-GB" w:eastAsia="fr-FR"/>
        </w:rPr>
        <w:t xml:space="preserve"> other propulsion means would not fall within this category.</w:t>
      </w:r>
    </w:p>
    <w:p w14:paraId="73BFDCD9" w14:textId="3E88AA6E" w:rsidR="00093520" w:rsidRPr="00EA7B56" w:rsidRDefault="00093520" w:rsidP="00447D0E">
      <w:pPr>
        <w:pStyle w:val="SingleTxtG"/>
        <w:numPr>
          <w:ilvl w:val="0"/>
          <w:numId w:val="17"/>
        </w:numPr>
        <w:rPr>
          <w:lang w:val="en-GB" w:eastAsia="fr-FR"/>
        </w:rPr>
      </w:pPr>
      <w:r w:rsidRPr="00EA7B56">
        <w:rPr>
          <w:lang w:val="en-GB" w:eastAsia="fr-FR"/>
        </w:rPr>
        <w:t>Cycles with an auxiliary engine of 50 cm</w:t>
      </w:r>
      <w:r w:rsidR="00F35CBE" w:rsidRPr="00EA7B56">
        <w:rPr>
          <w:lang w:val="en-GB" w:eastAsia="fr-FR"/>
        </w:rPr>
        <w:t>³</w:t>
      </w:r>
      <w:r w:rsidRPr="00EA7B56">
        <w:rPr>
          <w:lang w:val="en-GB" w:eastAsia="fr-FR"/>
        </w:rPr>
        <w:t xml:space="preserve"> or more, or cycles with no other means of propulsion than an engine, are motor vehicles, and the international carriage of dangerous goods under ADR is permitted </w:t>
      </w:r>
      <w:r w:rsidRPr="00EA7B56">
        <w:rPr>
          <w:u w:val="single"/>
          <w:lang w:val="en-GB" w:eastAsia="fr-FR"/>
        </w:rPr>
        <w:t>if the requirements of ADR are complied with</w:t>
      </w:r>
      <w:r w:rsidRPr="00EA7B56">
        <w:rPr>
          <w:lang w:val="en-GB" w:eastAsia="fr-FR"/>
        </w:rPr>
        <w:t>.</w:t>
      </w:r>
    </w:p>
    <w:p w14:paraId="26D93FB8" w14:textId="1CDE5C5D" w:rsidR="00E90FF0" w:rsidRPr="0050654F" w:rsidRDefault="00E90FF0" w:rsidP="0050654F">
      <w:pPr>
        <w:pStyle w:val="SingleTxtG"/>
        <w:rPr>
          <w:lang w:val="en-GB"/>
        </w:rPr>
      </w:pPr>
      <w:r w:rsidRPr="0050654F">
        <w:rPr>
          <w:lang w:val="en-GB"/>
        </w:rPr>
        <w:t>6.</w:t>
      </w:r>
      <w:r w:rsidRPr="0050654F">
        <w:rPr>
          <w:lang w:val="en-GB"/>
        </w:rPr>
        <w:tab/>
      </w:r>
      <w:r w:rsidR="00EA7B56" w:rsidRPr="0050654F">
        <w:rPr>
          <w:lang w:val="en-GB"/>
        </w:rPr>
        <w:t xml:space="preserve">This applies </w:t>
      </w:r>
      <w:r w:rsidR="004C7B4C" w:rsidRPr="0050654F">
        <w:rPr>
          <w:lang w:val="en-GB"/>
        </w:rPr>
        <w:t xml:space="preserve">for international transports </w:t>
      </w:r>
      <w:r w:rsidR="004C7B4C">
        <w:rPr>
          <w:lang w:val="en-GB"/>
        </w:rPr>
        <w:t>in</w:t>
      </w:r>
      <w:r w:rsidR="00EA7B56" w:rsidRPr="0050654F">
        <w:rPr>
          <w:lang w:val="en-GB"/>
        </w:rPr>
        <w:t xml:space="preserve"> all </w:t>
      </w:r>
      <w:r w:rsidR="004C7B4C" w:rsidRPr="0050654F">
        <w:rPr>
          <w:lang w:val="en-GB"/>
        </w:rPr>
        <w:t>contracting parties to ADR</w:t>
      </w:r>
      <w:r w:rsidR="004C7B4C">
        <w:rPr>
          <w:lang w:val="en-GB"/>
        </w:rPr>
        <w:t>, including</w:t>
      </w:r>
      <w:r w:rsidR="004C7B4C" w:rsidRPr="0050654F">
        <w:rPr>
          <w:lang w:val="en-GB"/>
        </w:rPr>
        <w:t xml:space="preserve"> </w:t>
      </w:r>
      <w:r w:rsidR="00A25ED4" w:rsidRPr="0050654F">
        <w:rPr>
          <w:lang w:val="en-GB"/>
        </w:rPr>
        <w:t>European Economic Area</w:t>
      </w:r>
      <w:r w:rsidR="004C7B4C">
        <w:rPr>
          <w:lang w:val="en-GB"/>
        </w:rPr>
        <w:t>’s</w:t>
      </w:r>
      <w:r w:rsidR="00A25ED4" w:rsidRPr="0050654F">
        <w:rPr>
          <w:lang w:val="en-GB"/>
        </w:rPr>
        <w:t xml:space="preserve"> </w:t>
      </w:r>
      <w:r w:rsidR="004C7B4C">
        <w:rPr>
          <w:lang w:val="en-GB"/>
        </w:rPr>
        <w:t>Members States</w:t>
      </w:r>
      <w:r w:rsidR="00EA7B56" w:rsidRPr="0050654F">
        <w:rPr>
          <w:lang w:val="en-GB"/>
        </w:rPr>
        <w:t>.</w:t>
      </w:r>
    </w:p>
    <w:p w14:paraId="79D37D6E" w14:textId="74A81C0E" w:rsidR="00E90FF0" w:rsidRPr="00EA7B56" w:rsidRDefault="004C7B4C" w:rsidP="0050654F">
      <w:pPr>
        <w:pStyle w:val="H1G"/>
        <w:rPr>
          <w:lang w:eastAsia="fr-FR"/>
        </w:rPr>
      </w:pPr>
      <w:r>
        <w:rPr>
          <w:lang w:eastAsia="fr-FR"/>
        </w:rPr>
        <w:tab/>
      </w:r>
      <w:r w:rsidR="00712915">
        <w:rPr>
          <w:lang w:eastAsia="fr-FR"/>
        </w:rPr>
        <w:t>B.</w:t>
      </w:r>
      <w:r w:rsidR="00E90FF0" w:rsidRPr="00EA7B56">
        <w:rPr>
          <w:lang w:eastAsia="fr-FR"/>
        </w:rPr>
        <w:tab/>
      </w:r>
      <w:r w:rsidR="00EA7B56">
        <w:rPr>
          <w:lang w:eastAsia="fr-FR"/>
        </w:rPr>
        <w:t xml:space="preserve">Domestic </w:t>
      </w:r>
      <w:r w:rsidR="00712915">
        <w:rPr>
          <w:lang w:eastAsia="fr-FR"/>
        </w:rPr>
        <w:t>transport</w:t>
      </w:r>
      <w:r w:rsidR="00EA7B56">
        <w:rPr>
          <w:lang w:eastAsia="fr-FR"/>
        </w:rPr>
        <w:t xml:space="preserve"> </w:t>
      </w:r>
      <w:r w:rsidR="00A271EB">
        <w:rPr>
          <w:lang w:eastAsia="fr-FR"/>
        </w:rPr>
        <w:t>in the European Union</w:t>
      </w:r>
      <w:r w:rsidR="002B0406">
        <w:rPr>
          <w:lang w:eastAsia="fr-FR"/>
        </w:rPr>
        <w:t xml:space="preserve"> (EU)</w:t>
      </w:r>
      <w:r w:rsidR="00712915">
        <w:rPr>
          <w:lang w:eastAsia="fr-FR"/>
        </w:rPr>
        <w:t xml:space="preserve"> including </w:t>
      </w:r>
      <w:r w:rsidR="00712915" w:rsidRPr="00770A50">
        <w:t>European Economic Area</w:t>
      </w:r>
      <w:r w:rsidR="002B0406">
        <w:t xml:space="preserve"> (EEA)</w:t>
      </w:r>
    </w:p>
    <w:p w14:paraId="32B44887" w14:textId="40F57419" w:rsidR="00462D25" w:rsidRPr="00EA7B56" w:rsidRDefault="00712915" w:rsidP="007E68D2">
      <w:pPr>
        <w:pStyle w:val="SingleTxtG"/>
        <w:rPr>
          <w:lang w:val="en-GB" w:eastAsia="fr-FR"/>
        </w:rPr>
      </w:pPr>
      <w:r>
        <w:rPr>
          <w:lang w:val="en-GB" w:eastAsia="fr-FR"/>
        </w:rPr>
        <w:t>7</w:t>
      </w:r>
      <w:r w:rsidR="00F168ED" w:rsidRPr="00EA7B56">
        <w:rPr>
          <w:lang w:val="en-GB" w:eastAsia="fr-FR"/>
        </w:rPr>
        <w:t>.</w:t>
      </w:r>
      <w:r w:rsidR="00F168ED" w:rsidRPr="00EA7B56">
        <w:rPr>
          <w:lang w:val="en-GB" w:eastAsia="fr-FR"/>
        </w:rPr>
        <w:tab/>
      </w:r>
      <w:r w:rsidR="00462D25" w:rsidRPr="00EA7B56">
        <w:rPr>
          <w:lang w:val="en-GB" w:eastAsia="fr-FR"/>
        </w:rPr>
        <w:t xml:space="preserve">Annexes A and B of ADR have also been adopted by </w:t>
      </w:r>
      <w:r w:rsidR="002B0406">
        <w:rPr>
          <w:lang w:val="en-GB" w:eastAsia="fr-FR"/>
        </w:rPr>
        <w:t xml:space="preserve">EU </w:t>
      </w:r>
      <w:r w:rsidR="00462D25" w:rsidRPr="00EA7B56">
        <w:rPr>
          <w:lang w:val="en-GB" w:eastAsia="fr-FR"/>
        </w:rPr>
        <w:t xml:space="preserve">Member States as the basis for regulation of the carriage of dangerous goods by road </w:t>
      </w:r>
      <w:r w:rsidR="00462D25" w:rsidRPr="0050654F">
        <w:rPr>
          <w:lang w:val="en-GB" w:eastAsia="fr-FR"/>
        </w:rPr>
        <w:t>within and between their territories</w:t>
      </w:r>
      <w:r w:rsidR="00462D25" w:rsidRPr="00EA7B56">
        <w:rPr>
          <w:lang w:val="en-GB" w:eastAsia="fr-FR"/>
        </w:rPr>
        <w:t xml:space="preserve"> (Directive 2008/68/EC of the European Parliament and of the Council of 24 September 2008 on the inland transport of dangerous goods, as amended).</w:t>
      </w:r>
      <w:r w:rsidR="00B94A93">
        <w:rPr>
          <w:lang w:val="en-GB" w:eastAsia="fr-FR"/>
        </w:rPr>
        <w:t xml:space="preserve"> </w:t>
      </w:r>
      <w:r w:rsidR="002B0406">
        <w:rPr>
          <w:lang w:val="en-GB" w:eastAsia="fr-FR"/>
        </w:rPr>
        <w:t xml:space="preserve">Directive 2008/68/EC </w:t>
      </w:r>
      <w:r w:rsidR="006760DD">
        <w:rPr>
          <w:lang w:val="en-GB" w:eastAsia="fr-FR"/>
        </w:rPr>
        <w:t xml:space="preserve">also </w:t>
      </w:r>
      <w:r w:rsidR="006760DD" w:rsidRPr="006760DD">
        <w:rPr>
          <w:lang w:val="en-GB" w:eastAsia="fr-FR"/>
        </w:rPr>
        <w:t>applies to EEA countries</w:t>
      </w:r>
      <w:r w:rsidR="006760DD">
        <w:rPr>
          <w:lang w:val="en-GB" w:eastAsia="fr-FR"/>
        </w:rPr>
        <w:t>.</w:t>
      </w:r>
    </w:p>
    <w:p w14:paraId="19D3AC9F" w14:textId="03A93E4E" w:rsidR="00093520" w:rsidRPr="00EA7B56" w:rsidRDefault="00712915" w:rsidP="00462D25">
      <w:pPr>
        <w:pStyle w:val="SingleTxtG"/>
        <w:rPr>
          <w:lang w:val="en-GB" w:eastAsia="fr-FR"/>
        </w:rPr>
      </w:pPr>
      <w:r>
        <w:rPr>
          <w:lang w:val="en-GB" w:eastAsia="fr-FR"/>
        </w:rPr>
        <w:t>8.</w:t>
      </w:r>
      <w:r>
        <w:rPr>
          <w:lang w:val="en-GB" w:eastAsia="fr-FR"/>
        </w:rPr>
        <w:tab/>
      </w:r>
      <w:r w:rsidR="00462D25" w:rsidRPr="00EA7B56">
        <w:rPr>
          <w:lang w:val="en-GB" w:eastAsia="fr-FR"/>
        </w:rPr>
        <w:t>D</w:t>
      </w:r>
      <w:r w:rsidR="007E68D2" w:rsidRPr="00EA7B56">
        <w:rPr>
          <w:lang w:val="en-GB" w:eastAsia="fr-FR"/>
        </w:rPr>
        <w:t xml:space="preserve">irective </w:t>
      </w:r>
      <w:r w:rsidR="00093520" w:rsidRPr="00EA7B56">
        <w:rPr>
          <w:lang w:val="en-GB" w:eastAsia="fr-FR"/>
        </w:rPr>
        <w:t>2008/68/EC indicate</w:t>
      </w:r>
      <w:r w:rsidR="007E68D2" w:rsidRPr="00EA7B56">
        <w:rPr>
          <w:lang w:val="en-GB" w:eastAsia="fr-FR"/>
        </w:rPr>
        <w:t>s</w:t>
      </w:r>
      <w:r w:rsidR="00093520" w:rsidRPr="00EA7B56">
        <w:rPr>
          <w:lang w:val="en-GB" w:eastAsia="fr-FR"/>
        </w:rPr>
        <w:t xml:space="preserve"> that:</w:t>
      </w:r>
      <w:r w:rsidR="007E68D2" w:rsidRPr="00EA7B56">
        <w:rPr>
          <w:lang w:val="en-GB" w:eastAsia="fr-FR"/>
        </w:rPr>
        <w:t xml:space="preserve"> “</w:t>
      </w:r>
      <w:r w:rsidR="00093520" w:rsidRPr="00EA7B56">
        <w:rPr>
          <w:i/>
          <w:iCs/>
          <w:lang w:val="en-GB" w:eastAsia="fr-FR"/>
        </w:rPr>
        <w:t>‘vehicle’</w:t>
      </w:r>
      <w:r w:rsidR="00093520" w:rsidRPr="00EA7B56">
        <w:rPr>
          <w:lang w:val="en-GB" w:eastAsia="fr-FR"/>
        </w:rPr>
        <w:t xml:space="preserve"> shall mean any motor vehicle intended for use on the road, </w:t>
      </w:r>
      <w:r w:rsidR="00093520" w:rsidRPr="00EA7B56">
        <w:rPr>
          <w:u w:val="single"/>
          <w:lang w:val="en-GB" w:eastAsia="fr-FR"/>
        </w:rPr>
        <w:t xml:space="preserve">having at least four wheels </w:t>
      </w:r>
      <w:r w:rsidR="00093520" w:rsidRPr="00EA7B56">
        <w:rPr>
          <w:lang w:val="en-GB" w:eastAsia="fr-FR"/>
        </w:rPr>
        <w:t>and a maximum design speed exceeding 25</w:t>
      </w:r>
      <w:r w:rsidR="00416211">
        <w:rPr>
          <w:lang w:val="en-GB" w:eastAsia="fr-FR"/>
        </w:rPr>
        <w:t> </w:t>
      </w:r>
      <w:r w:rsidR="00093520" w:rsidRPr="00EA7B56">
        <w:rPr>
          <w:lang w:val="en-GB" w:eastAsia="fr-FR"/>
        </w:rPr>
        <w:t>km/h, and any trailer, with the exception of vehicles which run on rails, mobile machinery and agricultural and forestry tractors that do not travel at a speed exceeding 40 km/h when transporting dangerous goods;</w:t>
      </w:r>
      <w:r w:rsidR="007E68D2" w:rsidRPr="00EA7B56">
        <w:rPr>
          <w:lang w:val="en-GB" w:eastAsia="fr-FR"/>
        </w:rPr>
        <w:t>”.</w:t>
      </w:r>
    </w:p>
    <w:p w14:paraId="27F56226" w14:textId="2B992A98" w:rsidR="00F179F5" w:rsidRPr="00EA7B56" w:rsidRDefault="00712915" w:rsidP="001470CD">
      <w:pPr>
        <w:pStyle w:val="SingleTxtG"/>
        <w:rPr>
          <w:lang w:val="en-GB" w:eastAsia="fr-FR"/>
        </w:rPr>
      </w:pPr>
      <w:r>
        <w:rPr>
          <w:lang w:val="en-GB" w:eastAsia="fr-FR"/>
        </w:rPr>
        <w:t>9</w:t>
      </w:r>
      <w:r w:rsidR="001470CD" w:rsidRPr="00EA7B56">
        <w:rPr>
          <w:lang w:val="en-GB" w:eastAsia="fr-FR"/>
        </w:rPr>
        <w:t>.</w:t>
      </w:r>
      <w:r w:rsidR="001470CD" w:rsidRPr="00EA7B56">
        <w:rPr>
          <w:lang w:val="en-GB" w:eastAsia="fr-FR"/>
        </w:rPr>
        <w:tab/>
        <w:t xml:space="preserve">With this, </w:t>
      </w:r>
      <w:r w:rsidR="00962CD8" w:rsidRPr="00EA7B56">
        <w:rPr>
          <w:lang w:val="en-GB" w:eastAsia="fr-FR"/>
        </w:rPr>
        <w:t xml:space="preserve">we can conclude that vehicles with less than four wheels would not </w:t>
      </w:r>
      <w:r w:rsidR="00C35E76" w:rsidRPr="00EA7B56">
        <w:rPr>
          <w:lang w:val="en-GB" w:eastAsia="fr-FR"/>
        </w:rPr>
        <w:t xml:space="preserve">fall into the scope of directive 2008/68/EC. </w:t>
      </w:r>
      <w:r w:rsidR="0033528D" w:rsidRPr="00EA7B56">
        <w:rPr>
          <w:lang w:val="en-GB" w:eastAsia="fr-FR"/>
        </w:rPr>
        <w:t xml:space="preserve">Countries in the </w:t>
      </w:r>
      <w:r w:rsidR="00C35E76" w:rsidRPr="00EA7B56">
        <w:rPr>
          <w:lang w:val="en-GB" w:eastAsia="fr-FR"/>
        </w:rPr>
        <w:t xml:space="preserve">European Union </w:t>
      </w:r>
      <w:r w:rsidR="00634AD0" w:rsidRPr="00EA7B56">
        <w:rPr>
          <w:lang w:val="en-GB" w:eastAsia="fr-FR"/>
        </w:rPr>
        <w:t xml:space="preserve">and </w:t>
      </w:r>
      <w:r w:rsidR="0033528D" w:rsidRPr="00EA7B56">
        <w:rPr>
          <w:lang w:val="en-GB" w:eastAsia="fr-FR"/>
        </w:rPr>
        <w:t xml:space="preserve">European Economic Area </w:t>
      </w:r>
      <w:r w:rsidR="005B00D8" w:rsidRPr="00EA7B56">
        <w:rPr>
          <w:lang w:val="en-GB" w:eastAsia="fr-FR"/>
        </w:rPr>
        <w:t>could</w:t>
      </w:r>
      <w:r w:rsidR="0033528D" w:rsidRPr="00EA7B56">
        <w:rPr>
          <w:lang w:val="en-GB" w:eastAsia="fr-FR"/>
        </w:rPr>
        <w:t xml:space="preserve"> prohibit</w:t>
      </w:r>
      <w:r w:rsidR="001470CD" w:rsidRPr="00EA7B56">
        <w:rPr>
          <w:lang w:val="en-GB" w:eastAsia="fr-FR"/>
        </w:rPr>
        <w:t xml:space="preserve"> </w:t>
      </w:r>
      <w:r w:rsidR="00B55C6E" w:rsidRPr="00712915">
        <w:rPr>
          <w:lang w:val="en-GB" w:eastAsia="fr-FR"/>
        </w:rPr>
        <w:t>domestic</w:t>
      </w:r>
      <w:r w:rsidR="00B55C6E" w:rsidRPr="00EA7B56">
        <w:rPr>
          <w:lang w:val="en-GB" w:eastAsia="fr-FR"/>
        </w:rPr>
        <w:t xml:space="preserve"> carriage of dangerous goods in vehicles with less than four wheels </w:t>
      </w:r>
      <w:r w:rsidR="001470CD" w:rsidRPr="00EA7B56">
        <w:rPr>
          <w:lang w:val="en-GB" w:eastAsia="fr-FR"/>
        </w:rPr>
        <w:t>or regulate</w:t>
      </w:r>
      <w:r w:rsidR="005B00D8" w:rsidRPr="00EA7B56">
        <w:rPr>
          <w:lang w:val="en-GB" w:eastAsia="fr-FR"/>
        </w:rPr>
        <w:t xml:space="preserve"> </w:t>
      </w:r>
      <w:r w:rsidR="00B55C6E" w:rsidRPr="00EA7B56">
        <w:rPr>
          <w:lang w:val="en-GB" w:eastAsia="fr-FR"/>
        </w:rPr>
        <w:t xml:space="preserve">it separately, </w:t>
      </w:r>
      <w:r w:rsidR="00F54FB5" w:rsidRPr="00EA7B56">
        <w:rPr>
          <w:lang w:val="en-GB" w:eastAsia="fr-FR"/>
        </w:rPr>
        <w:t>outside ADR</w:t>
      </w:r>
      <w:r w:rsidR="001470CD" w:rsidRPr="00EA7B56">
        <w:rPr>
          <w:lang w:val="en-GB" w:eastAsia="fr-FR"/>
        </w:rPr>
        <w:t>.</w:t>
      </w:r>
      <w:r w:rsidR="00F54FB5" w:rsidRPr="00EA7B56">
        <w:rPr>
          <w:lang w:val="en-GB" w:eastAsia="fr-FR"/>
        </w:rPr>
        <w:t xml:space="preserve"> </w:t>
      </w:r>
      <w:r w:rsidR="003D0DF0">
        <w:rPr>
          <w:lang w:val="en-GB" w:eastAsia="fr-FR"/>
        </w:rPr>
        <w:t xml:space="preserve">If not regulated otherwise, transport of dangerous goods in these </w:t>
      </w:r>
      <w:r w:rsidR="007A5013">
        <w:rPr>
          <w:lang w:val="en-GB" w:eastAsia="fr-FR"/>
        </w:rPr>
        <w:t>vehicles</w:t>
      </w:r>
      <w:r w:rsidR="003D0DF0">
        <w:rPr>
          <w:lang w:val="en-GB" w:eastAsia="fr-FR"/>
        </w:rPr>
        <w:t xml:space="preserve"> is permitted</w:t>
      </w:r>
      <w:r w:rsidR="00F55117">
        <w:rPr>
          <w:lang w:val="en-GB" w:eastAsia="fr-FR"/>
        </w:rPr>
        <w:t>.</w:t>
      </w:r>
    </w:p>
    <w:p w14:paraId="1B69311B" w14:textId="77777777" w:rsidR="004406D1" w:rsidRDefault="00712915" w:rsidP="00EE4547">
      <w:pPr>
        <w:pStyle w:val="SingleTxtG"/>
        <w:rPr>
          <w:lang w:eastAsia="fr-FR"/>
        </w:rPr>
      </w:pPr>
      <w:r>
        <w:rPr>
          <w:lang w:val="en-GB" w:eastAsia="fr-FR"/>
        </w:rPr>
        <w:t>10.</w:t>
      </w:r>
      <w:r>
        <w:rPr>
          <w:lang w:val="en-GB" w:eastAsia="fr-FR"/>
        </w:rPr>
        <w:tab/>
      </w:r>
      <w:r w:rsidR="001A57B0" w:rsidRPr="00EA7B56">
        <w:rPr>
          <w:lang w:eastAsia="fr-FR"/>
        </w:rPr>
        <w:t xml:space="preserve">However, for </w:t>
      </w:r>
      <w:r w:rsidR="00151F58" w:rsidRPr="00EA7B56">
        <w:rPr>
          <w:lang w:eastAsia="fr-FR"/>
        </w:rPr>
        <w:t xml:space="preserve">carriage between Member States, </w:t>
      </w:r>
      <w:r w:rsidR="004422BD" w:rsidRPr="00EA7B56">
        <w:rPr>
          <w:lang w:eastAsia="fr-FR"/>
        </w:rPr>
        <w:t xml:space="preserve">the conditions listed in </w:t>
      </w:r>
      <w:r>
        <w:rPr>
          <w:lang w:val="en-GB" w:eastAsia="fr-FR"/>
        </w:rPr>
        <w:t>A</w:t>
      </w:r>
      <w:r w:rsidR="004422BD" w:rsidRPr="00EA7B56">
        <w:rPr>
          <w:lang w:eastAsia="fr-FR"/>
        </w:rPr>
        <w:t xml:space="preserve"> apply since all </w:t>
      </w:r>
      <w:r w:rsidR="00B17E9F" w:rsidRPr="00EA7B56">
        <w:rPr>
          <w:lang w:eastAsia="fr-FR"/>
        </w:rPr>
        <w:t xml:space="preserve">EU and EEA </w:t>
      </w:r>
      <w:r w:rsidR="004422BD" w:rsidRPr="00EA7B56">
        <w:rPr>
          <w:lang w:eastAsia="fr-FR"/>
        </w:rPr>
        <w:t xml:space="preserve">Member States are </w:t>
      </w:r>
      <w:r w:rsidR="006B3619" w:rsidRPr="00EA7B56">
        <w:rPr>
          <w:lang w:eastAsia="fr-FR"/>
        </w:rPr>
        <w:t>also ADR Contracting Parties.</w:t>
      </w:r>
    </w:p>
    <w:p w14:paraId="7552E460" w14:textId="0EC7EF49" w:rsidR="004406D1" w:rsidRDefault="004406D1" w:rsidP="004406D1">
      <w:pPr>
        <w:pStyle w:val="H1G"/>
      </w:pPr>
      <w:r>
        <w:rPr>
          <w:lang w:eastAsia="fr-FR"/>
        </w:rPr>
        <w:tab/>
      </w:r>
      <w:r w:rsidR="00712915">
        <w:rPr>
          <w:lang w:eastAsia="fr-FR"/>
        </w:rPr>
        <w:t>C.</w:t>
      </w:r>
      <w:r w:rsidR="00712915" w:rsidRPr="00770A50">
        <w:rPr>
          <w:lang w:eastAsia="fr-FR"/>
        </w:rPr>
        <w:tab/>
      </w:r>
      <w:r w:rsidR="00712915">
        <w:rPr>
          <w:lang w:eastAsia="fr-FR"/>
        </w:rPr>
        <w:t>P</w:t>
      </w:r>
      <w:r w:rsidR="00712915" w:rsidRPr="00770A50">
        <w:t>rotocol amending article 1 (a), article 14 (1) and article 14 (3) (b) of ADR</w:t>
      </w:r>
    </w:p>
    <w:p w14:paraId="09F3F3B0" w14:textId="61AAECFF" w:rsidR="00EE4547" w:rsidRPr="00EA7B56" w:rsidRDefault="00712915" w:rsidP="004406D1">
      <w:pPr>
        <w:pStyle w:val="SingleTxtG"/>
        <w:rPr>
          <w:lang w:val="en-GB"/>
        </w:rPr>
      </w:pPr>
      <w:r>
        <w:rPr>
          <w:lang w:val="en-GB" w:eastAsia="fr-FR"/>
        </w:rPr>
        <w:t>11</w:t>
      </w:r>
      <w:r w:rsidR="0033528D" w:rsidRPr="00EA7B56">
        <w:rPr>
          <w:lang w:val="en-GB" w:eastAsia="fr-FR"/>
        </w:rPr>
        <w:t>.</w:t>
      </w:r>
      <w:r w:rsidR="0033528D" w:rsidRPr="00EA7B56">
        <w:rPr>
          <w:lang w:val="en-GB" w:eastAsia="fr-FR"/>
        </w:rPr>
        <w:tab/>
      </w:r>
      <w:r w:rsidR="000D40CF" w:rsidRPr="00EA7B56">
        <w:rPr>
          <w:lang w:val="en-GB" w:eastAsia="fr-FR"/>
        </w:rPr>
        <w:t xml:space="preserve">Note that </w:t>
      </w:r>
      <w:r w:rsidR="00696B79" w:rsidRPr="00EA7B56">
        <w:rPr>
          <w:lang w:val="en-GB" w:eastAsia="fr-FR"/>
        </w:rPr>
        <w:t xml:space="preserve">the </w:t>
      </w:r>
      <w:r w:rsidR="00696B79" w:rsidRPr="00EA7B56">
        <w:rPr>
          <w:lang w:val="en-GB"/>
        </w:rPr>
        <w:t xml:space="preserve">protocol amending article 1 (a), article 14 (1) and article 14 (3) (b) of ADR </w:t>
      </w:r>
      <w:r w:rsidR="0036724D" w:rsidRPr="00EA7B56">
        <w:rPr>
          <w:lang w:val="en-GB"/>
        </w:rPr>
        <w:t>contains an amendment to the definition of “vehicle” in article 1</w:t>
      </w:r>
      <w:r w:rsidR="00EE4547" w:rsidRPr="00EA7B56">
        <w:rPr>
          <w:lang w:val="en-GB"/>
        </w:rPr>
        <w:t>:</w:t>
      </w:r>
    </w:p>
    <w:p w14:paraId="647625C3" w14:textId="77777777" w:rsidR="00EE4547" w:rsidRPr="00EA7B56" w:rsidRDefault="00EE4547" w:rsidP="0050654F">
      <w:pPr>
        <w:pStyle w:val="SingleTxtG"/>
        <w:ind w:left="1701"/>
        <w:rPr>
          <w:u w:val="single"/>
          <w:lang w:val="en-GB"/>
        </w:rPr>
      </w:pPr>
      <w:r w:rsidRPr="00EA7B56">
        <w:rPr>
          <w:u w:val="single"/>
          <w:lang w:val="en-GB"/>
        </w:rPr>
        <w:t>Amendment to Article 1 (a) of the Agreement</w:t>
      </w:r>
    </w:p>
    <w:p w14:paraId="23939FEE" w14:textId="77777777" w:rsidR="00EE4547" w:rsidRPr="00EA7B56" w:rsidRDefault="00EE4547" w:rsidP="0050654F">
      <w:pPr>
        <w:pStyle w:val="SingleTxtG"/>
        <w:ind w:left="1701"/>
        <w:rPr>
          <w:lang w:val="en-GB"/>
        </w:rPr>
      </w:pPr>
      <w:r w:rsidRPr="00EA7B56">
        <w:rPr>
          <w:lang w:val="en-GB"/>
        </w:rPr>
        <w:t>Article 1 (a) of the Agreement shall be amended to read as follows:</w:t>
      </w:r>
    </w:p>
    <w:p w14:paraId="2BD58E32" w14:textId="40FE8854" w:rsidR="00EE4547" w:rsidRPr="00EA7B56" w:rsidRDefault="00EE4547" w:rsidP="0050654F">
      <w:pPr>
        <w:pStyle w:val="SingleTxtG"/>
        <w:ind w:left="1701"/>
        <w:rPr>
          <w:lang w:val="en-GB"/>
        </w:rPr>
      </w:pPr>
      <w:r w:rsidRPr="00EA7B56">
        <w:rPr>
          <w:lang w:val="en-GB"/>
        </w:rPr>
        <w:t xml:space="preserve">“(a) The term “vehicle” shall mean any motor vehicle, other than a vehicle belonging to or under the orders of the armed forces of a Contracting Party, intended for use on the road, being complete or incomplete, </w:t>
      </w:r>
      <w:r w:rsidRPr="00EA7B56">
        <w:rPr>
          <w:u w:val="single"/>
          <w:lang w:val="en-GB"/>
        </w:rPr>
        <w:t xml:space="preserve">having at least four wheels </w:t>
      </w:r>
      <w:r w:rsidRPr="00EA7B56">
        <w:rPr>
          <w:lang w:val="en-GB"/>
        </w:rPr>
        <w:t xml:space="preserve">and a maximum design speed exceeding 25 km/h, and its trailers, </w:t>
      </w:r>
      <w:proofErr w:type="gramStart"/>
      <w:r w:rsidRPr="00EA7B56">
        <w:rPr>
          <w:lang w:val="en-GB"/>
        </w:rPr>
        <w:t>with the exception of</w:t>
      </w:r>
      <w:proofErr w:type="gramEnd"/>
      <w:r w:rsidRPr="00EA7B56">
        <w:rPr>
          <w:lang w:val="en-GB"/>
        </w:rPr>
        <w:t xml:space="preserve"> vehicles which run on rails and of agricultural and forestry tractors and all mobile machinery”.</w:t>
      </w:r>
    </w:p>
    <w:p w14:paraId="2D6A4AD7" w14:textId="1EBCCF28" w:rsidR="000229F6" w:rsidRPr="00EA7B56" w:rsidRDefault="00712915">
      <w:pPr>
        <w:pStyle w:val="SingleTxtG"/>
        <w:rPr>
          <w:lang w:val="en-GB"/>
        </w:rPr>
      </w:pPr>
      <w:r>
        <w:rPr>
          <w:lang w:val="en-GB"/>
        </w:rPr>
        <w:t>12</w:t>
      </w:r>
      <w:r w:rsidR="000229F6" w:rsidRPr="00EA7B56">
        <w:rPr>
          <w:lang w:val="en-GB"/>
        </w:rPr>
        <w:t>.</w:t>
      </w:r>
      <w:r w:rsidR="000229F6" w:rsidRPr="00EA7B56">
        <w:rPr>
          <w:lang w:val="en-GB"/>
        </w:rPr>
        <w:tab/>
      </w:r>
      <w:r w:rsidR="002A3D7D" w:rsidRPr="00EA7B56">
        <w:rPr>
          <w:lang w:val="en-GB"/>
        </w:rPr>
        <w:t xml:space="preserve">This </w:t>
      </w:r>
      <w:r w:rsidR="00EB2877" w:rsidRPr="00EA7B56">
        <w:rPr>
          <w:lang w:val="en-GB"/>
        </w:rPr>
        <w:t xml:space="preserve">amendment was adopted by the Conference of Parties following a proposal from Austria </w:t>
      </w:r>
      <w:r w:rsidR="005456B3" w:rsidRPr="00EA7B56">
        <w:rPr>
          <w:lang w:val="en-GB"/>
        </w:rPr>
        <w:t xml:space="preserve">to replace </w:t>
      </w:r>
      <w:r w:rsidR="003935E1" w:rsidRPr="00EA7B56">
        <w:rPr>
          <w:lang w:val="en-GB"/>
        </w:rPr>
        <w:t xml:space="preserve">the reference to Article 4 of the Convention on Road Traffic of 19 September 1949, which had been superseded, by a full definition corresponding to that used </w:t>
      </w:r>
      <w:r w:rsidR="003935E1" w:rsidRPr="00EA7B56">
        <w:rPr>
          <w:lang w:val="en-GB"/>
        </w:rPr>
        <w:lastRenderedPageBreak/>
        <w:t>in Directive 92/53/EEC</w:t>
      </w:r>
      <w:r w:rsidR="000115F5" w:rsidRPr="00EA7B56">
        <w:rPr>
          <w:rStyle w:val="FootnoteReference"/>
          <w:lang w:val="en-GB"/>
        </w:rPr>
        <w:footnoteReference w:id="2"/>
      </w:r>
      <w:r w:rsidR="003935E1" w:rsidRPr="00EA7B56">
        <w:rPr>
          <w:lang w:val="en-GB"/>
        </w:rPr>
        <w:t>.</w:t>
      </w:r>
      <w:r w:rsidR="00B32819" w:rsidRPr="00EA7B56">
        <w:rPr>
          <w:lang w:val="en-GB"/>
        </w:rPr>
        <w:t xml:space="preserve"> See </w:t>
      </w:r>
      <w:r w:rsidR="00B6163F" w:rsidRPr="00EA7B56">
        <w:rPr>
          <w:lang w:val="en-GB"/>
        </w:rPr>
        <w:t>the Report of the Conference of the Contracting Parties to the ADR (28 October 1993) (</w:t>
      </w:r>
      <w:hyperlink r:id="rId11" w:history="1">
        <w:r w:rsidR="00B32819" w:rsidRPr="00EA7B56">
          <w:rPr>
            <w:rStyle w:val="Hyperlink"/>
            <w:color w:val="00B0F0"/>
            <w:lang w:val="en-GB"/>
          </w:rPr>
          <w:t>TRANS/WP.15/CD/6</w:t>
        </w:r>
      </w:hyperlink>
      <w:r w:rsidR="00B6163F" w:rsidRPr="00EA7B56">
        <w:rPr>
          <w:lang w:val="en-GB"/>
        </w:rPr>
        <w:t>)</w:t>
      </w:r>
      <w:r w:rsidR="00B32819" w:rsidRPr="00EA7B56">
        <w:rPr>
          <w:lang w:val="en-GB"/>
        </w:rPr>
        <w:t>.</w:t>
      </w:r>
    </w:p>
    <w:p w14:paraId="3793F908" w14:textId="52147DF4" w:rsidR="00D80A0B" w:rsidRPr="0050654F" w:rsidRDefault="00712915">
      <w:pPr>
        <w:pStyle w:val="SingleTxtG"/>
        <w:rPr>
          <w:rFonts w:eastAsia="SimSun"/>
          <w:lang w:val="en-GB" w:eastAsia="zh-CN"/>
        </w:rPr>
      </w:pPr>
      <w:r>
        <w:rPr>
          <w:lang w:val="en-GB" w:eastAsia="fr-FR"/>
        </w:rPr>
        <w:t>13.</w:t>
      </w:r>
      <w:r>
        <w:rPr>
          <w:lang w:val="en-GB" w:eastAsia="fr-FR"/>
        </w:rPr>
        <w:tab/>
      </w:r>
      <w:r w:rsidR="00011B24" w:rsidRPr="00EA7B56">
        <w:rPr>
          <w:lang w:val="en-GB" w:eastAsia="fr-FR"/>
        </w:rPr>
        <w:t xml:space="preserve">This </w:t>
      </w:r>
      <w:r w:rsidR="00593AA7" w:rsidRPr="00EA7B56">
        <w:rPr>
          <w:lang w:val="en-GB" w:eastAsia="fr-FR"/>
        </w:rPr>
        <w:t>P</w:t>
      </w:r>
      <w:r w:rsidR="00011B24" w:rsidRPr="00EA7B56">
        <w:rPr>
          <w:lang w:val="en-GB" w:eastAsia="fr-FR"/>
        </w:rPr>
        <w:t>rotoc</w:t>
      </w:r>
      <w:r w:rsidR="00D04F52" w:rsidRPr="00EA7B56">
        <w:rPr>
          <w:lang w:val="en-GB" w:eastAsia="fr-FR"/>
        </w:rPr>
        <w:t xml:space="preserve">ol </w:t>
      </w:r>
      <w:r w:rsidR="00011B24" w:rsidRPr="00EA7B56">
        <w:rPr>
          <w:lang w:val="en-GB" w:eastAsia="fr-FR"/>
        </w:rPr>
        <w:t>h</w:t>
      </w:r>
      <w:r w:rsidR="00005B2D" w:rsidRPr="00EA7B56">
        <w:rPr>
          <w:lang w:val="en-GB" w:eastAsia="fr-FR"/>
        </w:rPr>
        <w:t>as</w:t>
      </w:r>
      <w:r w:rsidR="00011B24" w:rsidRPr="00EA7B56">
        <w:rPr>
          <w:lang w:val="en-GB" w:eastAsia="fr-FR"/>
        </w:rPr>
        <w:t xml:space="preserve"> not yet entered into force</w:t>
      </w:r>
      <w:r w:rsidR="00005B2D" w:rsidRPr="00EA7B56">
        <w:rPr>
          <w:lang w:val="en-GB" w:eastAsia="fr-FR"/>
        </w:rPr>
        <w:t xml:space="preserve">. It </w:t>
      </w:r>
      <w:r w:rsidR="00005B2D" w:rsidRPr="00EA7B56">
        <w:rPr>
          <w:lang w:val="en-GB"/>
        </w:rPr>
        <w:t>will</w:t>
      </w:r>
      <w:r w:rsidR="00D80A0B" w:rsidRPr="0050654F">
        <w:rPr>
          <w:rFonts w:eastAsia="SimSun"/>
          <w:lang w:val="en-GB" w:eastAsia="zh-CN"/>
        </w:rPr>
        <w:t xml:space="preserve"> come into effect </w:t>
      </w:r>
      <w:r w:rsidR="00005B2D" w:rsidRPr="00EA7B56">
        <w:rPr>
          <w:lang w:val="en-GB"/>
        </w:rPr>
        <w:t xml:space="preserve">only when all contracting parties to ADR </w:t>
      </w:r>
      <w:r w:rsidR="00593AA7" w:rsidRPr="0050654F">
        <w:rPr>
          <w:lang w:val="en-GB"/>
        </w:rPr>
        <w:t>will</w:t>
      </w:r>
      <w:r w:rsidR="00005B2D" w:rsidRPr="00EA7B56">
        <w:rPr>
          <w:lang w:val="en-GB"/>
        </w:rPr>
        <w:t xml:space="preserve"> also </w:t>
      </w:r>
      <w:r w:rsidR="00D80A0B" w:rsidRPr="0050654F">
        <w:rPr>
          <w:lang w:val="en-GB"/>
        </w:rPr>
        <w:t>have</w:t>
      </w:r>
      <w:r w:rsidR="00D80A0B" w:rsidRPr="00EA7B56">
        <w:rPr>
          <w:rFonts w:eastAsia="SimSun"/>
          <w:lang w:val="en-GB" w:eastAsia="zh-CN"/>
        </w:rPr>
        <w:t xml:space="preserve"> ratif</w:t>
      </w:r>
      <w:r w:rsidR="00D80A0B" w:rsidRPr="0050654F">
        <w:rPr>
          <w:rFonts w:eastAsia="SimSun"/>
          <w:lang w:val="en-GB" w:eastAsia="zh-CN"/>
        </w:rPr>
        <w:t>ied it</w:t>
      </w:r>
      <w:r w:rsidR="00D80A0B" w:rsidRPr="00EA7B56">
        <w:rPr>
          <w:rFonts w:eastAsia="SimSun"/>
          <w:lang w:val="en-GB" w:eastAsia="zh-CN"/>
        </w:rPr>
        <w:t xml:space="preserve"> or accede</w:t>
      </w:r>
      <w:r w:rsidR="00D80A0B" w:rsidRPr="0050654F">
        <w:rPr>
          <w:rFonts w:eastAsia="SimSun"/>
          <w:lang w:val="en-GB" w:eastAsia="zh-CN"/>
        </w:rPr>
        <w:t>d</w:t>
      </w:r>
      <w:r w:rsidR="00D80A0B" w:rsidRPr="00EA7B56">
        <w:rPr>
          <w:rFonts w:eastAsia="SimSun"/>
          <w:lang w:val="en-GB" w:eastAsia="zh-CN"/>
        </w:rPr>
        <w:t xml:space="preserve"> to it</w:t>
      </w:r>
      <w:r w:rsidR="00D80A0B" w:rsidRPr="0050654F">
        <w:rPr>
          <w:rFonts w:eastAsia="SimSun"/>
          <w:lang w:val="en-GB" w:eastAsia="zh-CN"/>
        </w:rPr>
        <w:t>.</w:t>
      </w:r>
    </w:p>
    <w:p w14:paraId="6891FFCA" w14:textId="793D4235" w:rsidR="00093520" w:rsidRPr="00EA7B56" w:rsidRDefault="00712915" w:rsidP="00093520">
      <w:pPr>
        <w:pStyle w:val="SingleTxtG"/>
        <w:rPr>
          <w:lang w:val="en-GB" w:eastAsia="fr-FR"/>
        </w:rPr>
      </w:pPr>
      <w:r>
        <w:rPr>
          <w:lang w:val="en-GB" w:eastAsia="fr-FR"/>
        </w:rPr>
        <w:t>14</w:t>
      </w:r>
      <w:r w:rsidR="00EE4547" w:rsidRPr="00EA7B56">
        <w:rPr>
          <w:lang w:val="en-GB" w:eastAsia="fr-FR"/>
        </w:rPr>
        <w:t>.</w:t>
      </w:r>
      <w:r w:rsidR="00EE4547" w:rsidRPr="00EA7B56">
        <w:rPr>
          <w:lang w:val="en-GB" w:eastAsia="fr-FR"/>
        </w:rPr>
        <w:tab/>
      </w:r>
      <w:r w:rsidR="00093520" w:rsidRPr="00EA7B56">
        <w:rPr>
          <w:lang w:val="en-GB" w:eastAsia="fr-FR"/>
        </w:rPr>
        <w:t xml:space="preserve">The restriction of “at least 4 wheels” </w:t>
      </w:r>
      <w:r w:rsidR="00421D7D" w:rsidRPr="00EA7B56">
        <w:rPr>
          <w:lang w:val="en-GB" w:eastAsia="fr-FR"/>
        </w:rPr>
        <w:t>will</w:t>
      </w:r>
      <w:r w:rsidR="00093520" w:rsidRPr="00EA7B56">
        <w:rPr>
          <w:lang w:val="en-GB" w:eastAsia="fr-FR"/>
        </w:rPr>
        <w:t xml:space="preserve"> also apply to ADR </w:t>
      </w:r>
      <w:r w:rsidR="00421D7D" w:rsidRPr="00EA7B56">
        <w:rPr>
          <w:lang w:val="en-GB" w:eastAsia="fr-FR"/>
        </w:rPr>
        <w:t>when</w:t>
      </w:r>
      <w:r w:rsidR="00093520" w:rsidRPr="00EA7B56">
        <w:rPr>
          <w:lang w:val="en-GB" w:eastAsia="fr-FR"/>
        </w:rPr>
        <w:t xml:space="preserve"> the 1993 Protocol of amendment </w:t>
      </w:r>
      <w:r w:rsidR="00421D7D" w:rsidRPr="00EA7B56">
        <w:rPr>
          <w:lang w:val="en-GB" w:eastAsia="fr-FR"/>
        </w:rPr>
        <w:t>will come</w:t>
      </w:r>
      <w:r w:rsidR="00093520" w:rsidRPr="00EA7B56">
        <w:rPr>
          <w:lang w:val="en-GB" w:eastAsia="fr-FR"/>
        </w:rPr>
        <w:t xml:space="preserve"> into force.</w:t>
      </w:r>
    </w:p>
    <w:p w14:paraId="59E26A22" w14:textId="2CE1C8A7" w:rsidR="005B086D" w:rsidRPr="00EA7B56" w:rsidRDefault="005B086D" w:rsidP="005B086D">
      <w:pPr>
        <w:pStyle w:val="HChG"/>
        <w:rPr>
          <w:lang w:val="en-GB"/>
        </w:rPr>
      </w:pPr>
      <w:r w:rsidRPr="00EA7B56">
        <w:rPr>
          <w:lang w:val="en-GB"/>
        </w:rPr>
        <w:tab/>
      </w:r>
      <w:r w:rsidRPr="00EA7B56">
        <w:rPr>
          <w:lang w:val="en-GB"/>
        </w:rPr>
        <w:tab/>
      </w:r>
      <w:r w:rsidR="00481E78" w:rsidRPr="00EA7B56">
        <w:rPr>
          <w:lang w:val="en-GB"/>
        </w:rPr>
        <w:t>Follow-up</w:t>
      </w:r>
    </w:p>
    <w:p w14:paraId="0B90F56A" w14:textId="353AF848" w:rsidR="005B086D" w:rsidRPr="00EA7B56" w:rsidRDefault="000115F5" w:rsidP="005B086D">
      <w:pPr>
        <w:pStyle w:val="SingleTxtG"/>
        <w:rPr>
          <w:lang w:val="en-GB" w:eastAsia="fr-FR"/>
        </w:rPr>
      </w:pPr>
      <w:r w:rsidRPr="00EA7B56">
        <w:rPr>
          <w:lang w:val="en-GB" w:eastAsia="fr-FR"/>
        </w:rPr>
        <w:t>11</w:t>
      </w:r>
      <w:r w:rsidR="005B086D" w:rsidRPr="00EA7B56">
        <w:rPr>
          <w:lang w:val="en-GB" w:eastAsia="fr-FR"/>
        </w:rPr>
        <w:t>.</w:t>
      </w:r>
      <w:r w:rsidR="005B086D" w:rsidRPr="00EA7B56">
        <w:rPr>
          <w:lang w:val="en-GB" w:eastAsia="fr-FR"/>
        </w:rPr>
        <w:tab/>
      </w:r>
      <w:r w:rsidR="002F0804" w:rsidRPr="00EA7B56">
        <w:rPr>
          <w:lang w:val="en-GB" w:eastAsia="fr-FR"/>
        </w:rPr>
        <w:t xml:space="preserve">The Working Party may wish to discuss </w:t>
      </w:r>
      <w:r w:rsidR="00524F27">
        <w:rPr>
          <w:lang w:val="en-GB" w:eastAsia="fr-FR"/>
        </w:rPr>
        <w:t xml:space="preserve">and endorse </w:t>
      </w:r>
      <w:r w:rsidR="002F0804" w:rsidRPr="00EA7B56">
        <w:rPr>
          <w:lang w:val="en-GB" w:eastAsia="fr-FR"/>
        </w:rPr>
        <w:t xml:space="preserve">this interpretation and provide clarification as necessary. </w:t>
      </w:r>
    </w:p>
    <w:p w14:paraId="4D071159" w14:textId="6F39FF55" w:rsidR="002F0804" w:rsidRPr="00EA7B56" w:rsidRDefault="002F0804" w:rsidP="005B086D">
      <w:pPr>
        <w:pStyle w:val="SingleTxtG"/>
        <w:rPr>
          <w:lang w:val="en-GB" w:eastAsia="fr-FR"/>
        </w:rPr>
      </w:pPr>
      <w:r w:rsidRPr="00EA7B56">
        <w:rPr>
          <w:lang w:val="en-GB" w:eastAsia="fr-FR"/>
        </w:rPr>
        <w:t>1</w:t>
      </w:r>
      <w:r w:rsidR="000115F5" w:rsidRPr="00EA7B56">
        <w:rPr>
          <w:lang w:val="en-GB" w:eastAsia="fr-FR"/>
        </w:rPr>
        <w:t>2</w:t>
      </w:r>
      <w:r w:rsidRPr="00EA7B56">
        <w:rPr>
          <w:lang w:val="en-GB" w:eastAsia="fr-FR"/>
        </w:rPr>
        <w:t>.</w:t>
      </w:r>
      <w:r w:rsidRPr="00EA7B56">
        <w:rPr>
          <w:lang w:val="en-GB" w:eastAsia="fr-FR"/>
        </w:rPr>
        <w:tab/>
      </w:r>
      <w:r w:rsidR="00940927" w:rsidRPr="00EA7B56">
        <w:rPr>
          <w:lang w:val="en-GB" w:eastAsia="fr-FR"/>
        </w:rPr>
        <w:t xml:space="preserve">The secretariat will inform the Joint Meeting </w:t>
      </w:r>
      <w:r w:rsidR="007372BE" w:rsidRPr="00EA7B56">
        <w:rPr>
          <w:lang w:val="en-GB" w:eastAsia="fr-FR"/>
        </w:rPr>
        <w:t>of the outcome of this discussion.</w:t>
      </w:r>
    </w:p>
    <w:p w14:paraId="5AF2F205" w14:textId="15A4719F" w:rsidR="00BF0CF2" w:rsidRPr="00EA7B56" w:rsidRDefault="00BF0CF2" w:rsidP="00BF0CF2">
      <w:pPr>
        <w:spacing w:before="240"/>
        <w:ind w:left="1134" w:right="1134"/>
        <w:jc w:val="center"/>
        <w:rPr>
          <w:b/>
          <w:u w:val="single"/>
        </w:rPr>
      </w:pPr>
      <w:r w:rsidRPr="00EA7B56">
        <w:rPr>
          <w:b/>
          <w:u w:val="single"/>
        </w:rPr>
        <w:tab/>
      </w:r>
      <w:r w:rsidRPr="00EA7B56">
        <w:rPr>
          <w:b/>
          <w:u w:val="single"/>
        </w:rPr>
        <w:tab/>
      </w:r>
      <w:r w:rsidRPr="00EA7B56">
        <w:rPr>
          <w:b/>
          <w:u w:val="single"/>
        </w:rPr>
        <w:tab/>
      </w:r>
    </w:p>
    <w:sectPr w:rsidR="00BF0CF2" w:rsidRPr="00EA7B56" w:rsidSect="000C4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056C" w14:textId="77777777" w:rsidR="00C559B0" w:rsidRDefault="00C559B0"/>
  </w:endnote>
  <w:endnote w:type="continuationSeparator" w:id="0">
    <w:p w14:paraId="223CE50B" w14:textId="77777777" w:rsidR="00C559B0" w:rsidRDefault="00C559B0"/>
  </w:endnote>
  <w:endnote w:type="continuationNotice" w:id="1">
    <w:p w14:paraId="424C770D" w14:textId="77777777" w:rsidR="00C559B0" w:rsidRDefault="00C55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6691" w14:textId="77777777" w:rsidR="00C559B0" w:rsidRPr="000B175B" w:rsidRDefault="00C559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A2FE70" w14:textId="77777777" w:rsidR="00C559B0" w:rsidRPr="00FC68B7" w:rsidRDefault="00C559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854D5C" w14:textId="77777777" w:rsidR="00C559B0" w:rsidRDefault="00C559B0"/>
  </w:footnote>
  <w:footnote w:id="2">
    <w:p w14:paraId="1DFE0527" w14:textId="70CAEF17" w:rsidR="000115F5" w:rsidRPr="000115F5" w:rsidRDefault="000115F5" w:rsidP="000115F5">
      <w:pPr>
        <w:pStyle w:val="FootnoteText"/>
        <w:widowControl w:val="0"/>
        <w:tabs>
          <w:tab w:val="clear" w:pos="1021"/>
          <w:tab w:val="right" w:pos="1020"/>
        </w:tabs>
        <w:rPr>
          <w:i/>
          <w:iCs/>
          <w:lang w:val="fr-CH"/>
        </w:rPr>
      </w:pPr>
      <w:r>
        <w:tab/>
      </w:r>
      <w:r>
        <w:rPr>
          <w:rStyle w:val="FootnoteReference"/>
        </w:rPr>
        <w:footnoteRef/>
      </w:r>
      <w:r>
        <w:tab/>
      </w:r>
      <w:r w:rsidRPr="000115F5">
        <w:rPr>
          <w:i/>
          <w:iCs/>
        </w:rPr>
        <w:t xml:space="preserve">Directive 92/53/EEC of the Council of the European Communities of 18 June 1992 amending Directive 70/156/EEC on the approximation of the laws of the Member States relating to the type-approval of motor vehicles and their trailers, published in the Official Journal of the European Communities, No. L225, of 10 August 1992.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E9BB" w14:textId="7EF6D97D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A43205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92D3" w14:textId="30DF877E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9673CE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EF59" w14:textId="109E46F6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43205">
      <w:rPr>
        <w:sz w:val="28"/>
        <w:szCs w:val="28"/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7C34BC"/>
    <w:multiLevelType w:val="hybridMultilevel"/>
    <w:tmpl w:val="98A20AE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B2D"/>
    <w:rsid w:val="00005CBF"/>
    <w:rsid w:val="000115F5"/>
    <w:rsid w:val="00011932"/>
    <w:rsid w:val="00011B24"/>
    <w:rsid w:val="000162D9"/>
    <w:rsid w:val="0001699D"/>
    <w:rsid w:val="000229F6"/>
    <w:rsid w:val="000241F2"/>
    <w:rsid w:val="00026D9C"/>
    <w:rsid w:val="00033264"/>
    <w:rsid w:val="000404E5"/>
    <w:rsid w:val="00042739"/>
    <w:rsid w:val="000429EE"/>
    <w:rsid w:val="000457B4"/>
    <w:rsid w:val="00046B1F"/>
    <w:rsid w:val="00047596"/>
    <w:rsid w:val="00050F6B"/>
    <w:rsid w:val="00054566"/>
    <w:rsid w:val="000575AC"/>
    <w:rsid w:val="00057E97"/>
    <w:rsid w:val="000646F4"/>
    <w:rsid w:val="0006491B"/>
    <w:rsid w:val="00064A83"/>
    <w:rsid w:val="00065AD1"/>
    <w:rsid w:val="00065C6D"/>
    <w:rsid w:val="00072BB2"/>
    <w:rsid w:val="00072C8C"/>
    <w:rsid w:val="000733B5"/>
    <w:rsid w:val="00081815"/>
    <w:rsid w:val="00084795"/>
    <w:rsid w:val="0008497C"/>
    <w:rsid w:val="00085285"/>
    <w:rsid w:val="00091E36"/>
    <w:rsid w:val="000931C0"/>
    <w:rsid w:val="00093520"/>
    <w:rsid w:val="00096C84"/>
    <w:rsid w:val="000A17BA"/>
    <w:rsid w:val="000A1841"/>
    <w:rsid w:val="000A213A"/>
    <w:rsid w:val="000A309E"/>
    <w:rsid w:val="000A78F4"/>
    <w:rsid w:val="000A7999"/>
    <w:rsid w:val="000B0595"/>
    <w:rsid w:val="000B175B"/>
    <w:rsid w:val="000B316A"/>
    <w:rsid w:val="000B3A0F"/>
    <w:rsid w:val="000B491C"/>
    <w:rsid w:val="000B4EF7"/>
    <w:rsid w:val="000C0AE1"/>
    <w:rsid w:val="000C2C03"/>
    <w:rsid w:val="000C2D2E"/>
    <w:rsid w:val="000C497A"/>
    <w:rsid w:val="000D08B9"/>
    <w:rsid w:val="000D3E3E"/>
    <w:rsid w:val="000D40CF"/>
    <w:rsid w:val="000D4266"/>
    <w:rsid w:val="000D502B"/>
    <w:rsid w:val="000E0415"/>
    <w:rsid w:val="000E0637"/>
    <w:rsid w:val="000E1362"/>
    <w:rsid w:val="000E4A8A"/>
    <w:rsid w:val="000F2981"/>
    <w:rsid w:val="000F4FF6"/>
    <w:rsid w:val="000F5532"/>
    <w:rsid w:val="00110035"/>
    <w:rsid w:val="001103AA"/>
    <w:rsid w:val="00110611"/>
    <w:rsid w:val="00111A5C"/>
    <w:rsid w:val="0011666B"/>
    <w:rsid w:val="00121D12"/>
    <w:rsid w:val="00121D95"/>
    <w:rsid w:val="00130A16"/>
    <w:rsid w:val="00130BA1"/>
    <w:rsid w:val="00131BAA"/>
    <w:rsid w:val="0013299E"/>
    <w:rsid w:val="001337DA"/>
    <w:rsid w:val="00136C6A"/>
    <w:rsid w:val="00140D63"/>
    <w:rsid w:val="00145971"/>
    <w:rsid w:val="00147062"/>
    <w:rsid w:val="001470CD"/>
    <w:rsid w:val="00151F58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87A4E"/>
    <w:rsid w:val="00193F25"/>
    <w:rsid w:val="001A1D4B"/>
    <w:rsid w:val="001A2105"/>
    <w:rsid w:val="001A57B0"/>
    <w:rsid w:val="001A6E11"/>
    <w:rsid w:val="001A6F83"/>
    <w:rsid w:val="001B4B04"/>
    <w:rsid w:val="001B6026"/>
    <w:rsid w:val="001C346C"/>
    <w:rsid w:val="001C6663"/>
    <w:rsid w:val="001C7517"/>
    <w:rsid w:val="001C7895"/>
    <w:rsid w:val="001D0C8C"/>
    <w:rsid w:val="001D1419"/>
    <w:rsid w:val="001D26DF"/>
    <w:rsid w:val="001D3A03"/>
    <w:rsid w:val="001D4954"/>
    <w:rsid w:val="001D4AEC"/>
    <w:rsid w:val="001D6353"/>
    <w:rsid w:val="001D7750"/>
    <w:rsid w:val="001E3EEF"/>
    <w:rsid w:val="001E4C81"/>
    <w:rsid w:val="001E7B67"/>
    <w:rsid w:val="001F239D"/>
    <w:rsid w:val="001F715D"/>
    <w:rsid w:val="002017D8"/>
    <w:rsid w:val="00202DA8"/>
    <w:rsid w:val="002051CF"/>
    <w:rsid w:val="00205FDB"/>
    <w:rsid w:val="00207AC3"/>
    <w:rsid w:val="00210872"/>
    <w:rsid w:val="00210C59"/>
    <w:rsid w:val="00211E0B"/>
    <w:rsid w:val="00220858"/>
    <w:rsid w:val="00222DF8"/>
    <w:rsid w:val="00223A66"/>
    <w:rsid w:val="00224D92"/>
    <w:rsid w:val="0022549B"/>
    <w:rsid w:val="00225765"/>
    <w:rsid w:val="00234DF2"/>
    <w:rsid w:val="00237818"/>
    <w:rsid w:val="00237E67"/>
    <w:rsid w:val="0024669A"/>
    <w:rsid w:val="0024772E"/>
    <w:rsid w:val="002477DC"/>
    <w:rsid w:val="00250271"/>
    <w:rsid w:val="002514D4"/>
    <w:rsid w:val="00253966"/>
    <w:rsid w:val="00261ACC"/>
    <w:rsid w:val="002646A4"/>
    <w:rsid w:val="00267B69"/>
    <w:rsid w:val="00267F5F"/>
    <w:rsid w:val="0027075E"/>
    <w:rsid w:val="002709B0"/>
    <w:rsid w:val="00271AEC"/>
    <w:rsid w:val="0027517D"/>
    <w:rsid w:val="00275325"/>
    <w:rsid w:val="0027552F"/>
    <w:rsid w:val="00275843"/>
    <w:rsid w:val="0027769C"/>
    <w:rsid w:val="002806A8"/>
    <w:rsid w:val="00282751"/>
    <w:rsid w:val="00282E77"/>
    <w:rsid w:val="00284318"/>
    <w:rsid w:val="002864E1"/>
    <w:rsid w:val="00286B4D"/>
    <w:rsid w:val="0029372B"/>
    <w:rsid w:val="00296B92"/>
    <w:rsid w:val="002971F8"/>
    <w:rsid w:val="002A2DDB"/>
    <w:rsid w:val="002A3D7D"/>
    <w:rsid w:val="002A4C9A"/>
    <w:rsid w:val="002A4F99"/>
    <w:rsid w:val="002B0406"/>
    <w:rsid w:val="002B5655"/>
    <w:rsid w:val="002C03AE"/>
    <w:rsid w:val="002C1C5D"/>
    <w:rsid w:val="002C510B"/>
    <w:rsid w:val="002C6AC2"/>
    <w:rsid w:val="002D0CA9"/>
    <w:rsid w:val="002D3D30"/>
    <w:rsid w:val="002D4643"/>
    <w:rsid w:val="002E1D83"/>
    <w:rsid w:val="002E4DE5"/>
    <w:rsid w:val="002F0804"/>
    <w:rsid w:val="002F175C"/>
    <w:rsid w:val="002F5EA4"/>
    <w:rsid w:val="00302E18"/>
    <w:rsid w:val="00314EC3"/>
    <w:rsid w:val="003229D8"/>
    <w:rsid w:val="00324457"/>
    <w:rsid w:val="00325ACC"/>
    <w:rsid w:val="003336F3"/>
    <w:rsid w:val="0033528D"/>
    <w:rsid w:val="00336DB6"/>
    <w:rsid w:val="00337CAC"/>
    <w:rsid w:val="00341BF0"/>
    <w:rsid w:val="00352709"/>
    <w:rsid w:val="00353B6A"/>
    <w:rsid w:val="003563FB"/>
    <w:rsid w:val="00360735"/>
    <w:rsid w:val="003619B5"/>
    <w:rsid w:val="00362309"/>
    <w:rsid w:val="00365763"/>
    <w:rsid w:val="0036724D"/>
    <w:rsid w:val="003703BC"/>
    <w:rsid w:val="00371178"/>
    <w:rsid w:val="003711BC"/>
    <w:rsid w:val="00371590"/>
    <w:rsid w:val="00377020"/>
    <w:rsid w:val="003776D0"/>
    <w:rsid w:val="00384EA2"/>
    <w:rsid w:val="003850AC"/>
    <w:rsid w:val="00392E47"/>
    <w:rsid w:val="003935E1"/>
    <w:rsid w:val="00394CC5"/>
    <w:rsid w:val="003A2CB7"/>
    <w:rsid w:val="003A6810"/>
    <w:rsid w:val="003B0F57"/>
    <w:rsid w:val="003B173B"/>
    <w:rsid w:val="003B2A95"/>
    <w:rsid w:val="003B3CDB"/>
    <w:rsid w:val="003B4873"/>
    <w:rsid w:val="003C0075"/>
    <w:rsid w:val="003C2CC4"/>
    <w:rsid w:val="003C5B3A"/>
    <w:rsid w:val="003C7018"/>
    <w:rsid w:val="003D0DF0"/>
    <w:rsid w:val="003D14D7"/>
    <w:rsid w:val="003D1847"/>
    <w:rsid w:val="003D4B23"/>
    <w:rsid w:val="003D5C99"/>
    <w:rsid w:val="003D5D37"/>
    <w:rsid w:val="003D6CB1"/>
    <w:rsid w:val="003E11CB"/>
    <w:rsid w:val="003E130E"/>
    <w:rsid w:val="003E63A8"/>
    <w:rsid w:val="003E7397"/>
    <w:rsid w:val="003E77BB"/>
    <w:rsid w:val="003F0119"/>
    <w:rsid w:val="003F2524"/>
    <w:rsid w:val="003F596A"/>
    <w:rsid w:val="003F6DF8"/>
    <w:rsid w:val="004021CB"/>
    <w:rsid w:val="004048DD"/>
    <w:rsid w:val="004066A5"/>
    <w:rsid w:val="00410C89"/>
    <w:rsid w:val="004114BC"/>
    <w:rsid w:val="00411F51"/>
    <w:rsid w:val="00414E58"/>
    <w:rsid w:val="00416211"/>
    <w:rsid w:val="00421D7D"/>
    <w:rsid w:val="00421FE8"/>
    <w:rsid w:val="00422E03"/>
    <w:rsid w:val="0042319F"/>
    <w:rsid w:val="004236BE"/>
    <w:rsid w:val="004240EB"/>
    <w:rsid w:val="00424E05"/>
    <w:rsid w:val="0042588A"/>
    <w:rsid w:val="00426B9B"/>
    <w:rsid w:val="004325CB"/>
    <w:rsid w:val="004406D1"/>
    <w:rsid w:val="004422BD"/>
    <w:rsid w:val="00442A83"/>
    <w:rsid w:val="00443285"/>
    <w:rsid w:val="004440E0"/>
    <w:rsid w:val="00447D0E"/>
    <w:rsid w:val="0045495B"/>
    <w:rsid w:val="004561E5"/>
    <w:rsid w:val="004565C6"/>
    <w:rsid w:val="004570B1"/>
    <w:rsid w:val="00457ECC"/>
    <w:rsid w:val="00461569"/>
    <w:rsid w:val="00462D25"/>
    <w:rsid w:val="00463723"/>
    <w:rsid w:val="00465083"/>
    <w:rsid w:val="00467E34"/>
    <w:rsid w:val="004711F4"/>
    <w:rsid w:val="00472330"/>
    <w:rsid w:val="004732BE"/>
    <w:rsid w:val="0047379F"/>
    <w:rsid w:val="00475D8F"/>
    <w:rsid w:val="00481CB7"/>
    <w:rsid w:val="00481E78"/>
    <w:rsid w:val="00483811"/>
    <w:rsid w:val="0048397A"/>
    <w:rsid w:val="00485CBB"/>
    <w:rsid w:val="004866B7"/>
    <w:rsid w:val="004900B8"/>
    <w:rsid w:val="00490D93"/>
    <w:rsid w:val="004A27BC"/>
    <w:rsid w:val="004A2BD3"/>
    <w:rsid w:val="004A5098"/>
    <w:rsid w:val="004A6F63"/>
    <w:rsid w:val="004B1837"/>
    <w:rsid w:val="004B2EAF"/>
    <w:rsid w:val="004C09BA"/>
    <w:rsid w:val="004C2461"/>
    <w:rsid w:val="004C2EC8"/>
    <w:rsid w:val="004C7462"/>
    <w:rsid w:val="004C7B4C"/>
    <w:rsid w:val="004D0588"/>
    <w:rsid w:val="004D1404"/>
    <w:rsid w:val="004D33EE"/>
    <w:rsid w:val="004D451A"/>
    <w:rsid w:val="004E0041"/>
    <w:rsid w:val="004E0C24"/>
    <w:rsid w:val="004E390E"/>
    <w:rsid w:val="004E6FFC"/>
    <w:rsid w:val="004E77B2"/>
    <w:rsid w:val="004F6969"/>
    <w:rsid w:val="0050113C"/>
    <w:rsid w:val="00504B2D"/>
    <w:rsid w:val="005064B4"/>
    <w:rsid w:val="0050654F"/>
    <w:rsid w:val="005142F0"/>
    <w:rsid w:val="00514DAF"/>
    <w:rsid w:val="0052136D"/>
    <w:rsid w:val="00522680"/>
    <w:rsid w:val="00524F27"/>
    <w:rsid w:val="00525CA7"/>
    <w:rsid w:val="00526995"/>
    <w:rsid w:val="00527112"/>
    <w:rsid w:val="00527225"/>
    <w:rsid w:val="0052775E"/>
    <w:rsid w:val="005308D7"/>
    <w:rsid w:val="00533A05"/>
    <w:rsid w:val="0053784E"/>
    <w:rsid w:val="0054034C"/>
    <w:rsid w:val="005420F2"/>
    <w:rsid w:val="00544504"/>
    <w:rsid w:val="005456B3"/>
    <w:rsid w:val="00547B54"/>
    <w:rsid w:val="00552CEB"/>
    <w:rsid w:val="0056099E"/>
    <w:rsid w:val="00560BC5"/>
    <w:rsid w:val="00561B06"/>
    <w:rsid w:val="005628B6"/>
    <w:rsid w:val="0056374F"/>
    <w:rsid w:val="0057183D"/>
    <w:rsid w:val="00575310"/>
    <w:rsid w:val="00575B3B"/>
    <w:rsid w:val="00575C6F"/>
    <w:rsid w:val="0057735C"/>
    <w:rsid w:val="005778AE"/>
    <w:rsid w:val="005813C3"/>
    <w:rsid w:val="005816C6"/>
    <w:rsid w:val="00591D4E"/>
    <w:rsid w:val="00593AA7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00D8"/>
    <w:rsid w:val="005B086D"/>
    <w:rsid w:val="005B3DB3"/>
    <w:rsid w:val="005B4E13"/>
    <w:rsid w:val="005C1D54"/>
    <w:rsid w:val="005C23F6"/>
    <w:rsid w:val="005C280D"/>
    <w:rsid w:val="005C342F"/>
    <w:rsid w:val="005C551E"/>
    <w:rsid w:val="005D0D8E"/>
    <w:rsid w:val="005D36CF"/>
    <w:rsid w:val="005D4078"/>
    <w:rsid w:val="005D4D80"/>
    <w:rsid w:val="005D7C52"/>
    <w:rsid w:val="005D7CAC"/>
    <w:rsid w:val="005E442F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ACD"/>
    <w:rsid w:val="00617E96"/>
    <w:rsid w:val="0063012C"/>
    <w:rsid w:val="00634AD0"/>
    <w:rsid w:val="00636B88"/>
    <w:rsid w:val="00636F0C"/>
    <w:rsid w:val="006404E9"/>
    <w:rsid w:val="00640B26"/>
    <w:rsid w:val="00646FEA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0DD"/>
    <w:rsid w:val="00676606"/>
    <w:rsid w:val="00684C21"/>
    <w:rsid w:val="006904BE"/>
    <w:rsid w:val="006924F6"/>
    <w:rsid w:val="00695084"/>
    <w:rsid w:val="00696B79"/>
    <w:rsid w:val="006A1DA6"/>
    <w:rsid w:val="006A2530"/>
    <w:rsid w:val="006A32FE"/>
    <w:rsid w:val="006A681C"/>
    <w:rsid w:val="006B12C6"/>
    <w:rsid w:val="006B3619"/>
    <w:rsid w:val="006B3F9F"/>
    <w:rsid w:val="006C1AF1"/>
    <w:rsid w:val="006C2420"/>
    <w:rsid w:val="006C3589"/>
    <w:rsid w:val="006C4AFF"/>
    <w:rsid w:val="006C74F5"/>
    <w:rsid w:val="006D08C7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12FD"/>
    <w:rsid w:val="007020D1"/>
    <w:rsid w:val="00703577"/>
    <w:rsid w:val="00703768"/>
    <w:rsid w:val="007047A9"/>
    <w:rsid w:val="00705894"/>
    <w:rsid w:val="00712915"/>
    <w:rsid w:val="0071708D"/>
    <w:rsid w:val="00724C17"/>
    <w:rsid w:val="0072632A"/>
    <w:rsid w:val="007327D5"/>
    <w:rsid w:val="00734E3F"/>
    <w:rsid w:val="0073593C"/>
    <w:rsid w:val="00735E74"/>
    <w:rsid w:val="007372BE"/>
    <w:rsid w:val="00737E7A"/>
    <w:rsid w:val="00741692"/>
    <w:rsid w:val="00747C43"/>
    <w:rsid w:val="00747FAD"/>
    <w:rsid w:val="00752B30"/>
    <w:rsid w:val="00760B7E"/>
    <w:rsid w:val="007629C8"/>
    <w:rsid w:val="00763DD4"/>
    <w:rsid w:val="00763EA8"/>
    <w:rsid w:val="0076669C"/>
    <w:rsid w:val="0077047D"/>
    <w:rsid w:val="007708A5"/>
    <w:rsid w:val="00773A18"/>
    <w:rsid w:val="00781645"/>
    <w:rsid w:val="007851CB"/>
    <w:rsid w:val="007931F7"/>
    <w:rsid w:val="00796040"/>
    <w:rsid w:val="00796665"/>
    <w:rsid w:val="007A0D0E"/>
    <w:rsid w:val="007A2F1B"/>
    <w:rsid w:val="007A5013"/>
    <w:rsid w:val="007B2176"/>
    <w:rsid w:val="007B249A"/>
    <w:rsid w:val="007B5332"/>
    <w:rsid w:val="007B6BA5"/>
    <w:rsid w:val="007C3390"/>
    <w:rsid w:val="007C38EF"/>
    <w:rsid w:val="007C4F4B"/>
    <w:rsid w:val="007C554F"/>
    <w:rsid w:val="007D1AA7"/>
    <w:rsid w:val="007D3162"/>
    <w:rsid w:val="007D74EE"/>
    <w:rsid w:val="007D784A"/>
    <w:rsid w:val="007E01E9"/>
    <w:rsid w:val="007E1827"/>
    <w:rsid w:val="007E46CD"/>
    <w:rsid w:val="007E63F3"/>
    <w:rsid w:val="007E68D2"/>
    <w:rsid w:val="007F32E1"/>
    <w:rsid w:val="007F6611"/>
    <w:rsid w:val="00802B38"/>
    <w:rsid w:val="0081086B"/>
    <w:rsid w:val="00811920"/>
    <w:rsid w:val="00812419"/>
    <w:rsid w:val="00812BD8"/>
    <w:rsid w:val="00815AD0"/>
    <w:rsid w:val="00816F53"/>
    <w:rsid w:val="008242D7"/>
    <w:rsid w:val="008244D7"/>
    <w:rsid w:val="008254F7"/>
    <w:rsid w:val="008257B1"/>
    <w:rsid w:val="00826FDE"/>
    <w:rsid w:val="0082782C"/>
    <w:rsid w:val="00832334"/>
    <w:rsid w:val="00841E86"/>
    <w:rsid w:val="00843767"/>
    <w:rsid w:val="008439B8"/>
    <w:rsid w:val="00847057"/>
    <w:rsid w:val="008600BB"/>
    <w:rsid w:val="00861FEB"/>
    <w:rsid w:val="00863D46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1D80"/>
    <w:rsid w:val="008C271F"/>
    <w:rsid w:val="008C4B88"/>
    <w:rsid w:val="008D2334"/>
    <w:rsid w:val="008D244D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0ED1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4829"/>
    <w:rsid w:val="0093661A"/>
    <w:rsid w:val="00936E4A"/>
    <w:rsid w:val="009374B4"/>
    <w:rsid w:val="00940927"/>
    <w:rsid w:val="00940F93"/>
    <w:rsid w:val="00947BD8"/>
    <w:rsid w:val="00954D9D"/>
    <w:rsid w:val="00957EB6"/>
    <w:rsid w:val="00961785"/>
    <w:rsid w:val="00962CD8"/>
    <w:rsid w:val="009673CE"/>
    <w:rsid w:val="0096751C"/>
    <w:rsid w:val="00973BBC"/>
    <w:rsid w:val="00973C44"/>
    <w:rsid w:val="009760F3"/>
    <w:rsid w:val="0097696C"/>
    <w:rsid w:val="00976CFB"/>
    <w:rsid w:val="009812D6"/>
    <w:rsid w:val="00982036"/>
    <w:rsid w:val="00991805"/>
    <w:rsid w:val="009941AF"/>
    <w:rsid w:val="009956B6"/>
    <w:rsid w:val="0099747B"/>
    <w:rsid w:val="009A0830"/>
    <w:rsid w:val="009A09B0"/>
    <w:rsid w:val="009A0E8D"/>
    <w:rsid w:val="009A0F18"/>
    <w:rsid w:val="009A5C6E"/>
    <w:rsid w:val="009A6244"/>
    <w:rsid w:val="009A776B"/>
    <w:rsid w:val="009A7D9E"/>
    <w:rsid w:val="009B26E7"/>
    <w:rsid w:val="009C0B8E"/>
    <w:rsid w:val="009C306B"/>
    <w:rsid w:val="009D02B2"/>
    <w:rsid w:val="009D6B04"/>
    <w:rsid w:val="009E076B"/>
    <w:rsid w:val="009E0F78"/>
    <w:rsid w:val="009E5596"/>
    <w:rsid w:val="009E7286"/>
    <w:rsid w:val="009F5A70"/>
    <w:rsid w:val="009F6ECF"/>
    <w:rsid w:val="00A00697"/>
    <w:rsid w:val="00A00A3F"/>
    <w:rsid w:val="00A01489"/>
    <w:rsid w:val="00A03381"/>
    <w:rsid w:val="00A046A3"/>
    <w:rsid w:val="00A144E6"/>
    <w:rsid w:val="00A25ED4"/>
    <w:rsid w:val="00A260EF"/>
    <w:rsid w:val="00A271EB"/>
    <w:rsid w:val="00A278F2"/>
    <w:rsid w:val="00A3026E"/>
    <w:rsid w:val="00A30B27"/>
    <w:rsid w:val="00A32DEF"/>
    <w:rsid w:val="00A338F1"/>
    <w:rsid w:val="00A35BE0"/>
    <w:rsid w:val="00A43205"/>
    <w:rsid w:val="00A4373C"/>
    <w:rsid w:val="00A45485"/>
    <w:rsid w:val="00A54C24"/>
    <w:rsid w:val="00A568EC"/>
    <w:rsid w:val="00A6129C"/>
    <w:rsid w:val="00A65994"/>
    <w:rsid w:val="00A65C2F"/>
    <w:rsid w:val="00A72178"/>
    <w:rsid w:val="00A72F22"/>
    <w:rsid w:val="00A7360F"/>
    <w:rsid w:val="00A73620"/>
    <w:rsid w:val="00A748A6"/>
    <w:rsid w:val="00A7585D"/>
    <w:rsid w:val="00A769F4"/>
    <w:rsid w:val="00A76D88"/>
    <w:rsid w:val="00A776B4"/>
    <w:rsid w:val="00A77EA9"/>
    <w:rsid w:val="00A811E9"/>
    <w:rsid w:val="00A820AF"/>
    <w:rsid w:val="00A8224D"/>
    <w:rsid w:val="00A86C48"/>
    <w:rsid w:val="00A94361"/>
    <w:rsid w:val="00AA0CD7"/>
    <w:rsid w:val="00AA293C"/>
    <w:rsid w:val="00AA5E3A"/>
    <w:rsid w:val="00AA626D"/>
    <w:rsid w:val="00AA6B02"/>
    <w:rsid w:val="00AB3532"/>
    <w:rsid w:val="00AB5024"/>
    <w:rsid w:val="00AB5C99"/>
    <w:rsid w:val="00AC25C0"/>
    <w:rsid w:val="00AC2D24"/>
    <w:rsid w:val="00AC3F1A"/>
    <w:rsid w:val="00AC4D43"/>
    <w:rsid w:val="00AD0406"/>
    <w:rsid w:val="00AE08F1"/>
    <w:rsid w:val="00AE2DC0"/>
    <w:rsid w:val="00AE2E12"/>
    <w:rsid w:val="00AF0683"/>
    <w:rsid w:val="00AF0EA9"/>
    <w:rsid w:val="00AF434F"/>
    <w:rsid w:val="00AF4570"/>
    <w:rsid w:val="00B0107C"/>
    <w:rsid w:val="00B02C99"/>
    <w:rsid w:val="00B15F1E"/>
    <w:rsid w:val="00B170C8"/>
    <w:rsid w:val="00B17E9F"/>
    <w:rsid w:val="00B21734"/>
    <w:rsid w:val="00B30179"/>
    <w:rsid w:val="00B32819"/>
    <w:rsid w:val="00B33B8F"/>
    <w:rsid w:val="00B3446B"/>
    <w:rsid w:val="00B35CD5"/>
    <w:rsid w:val="00B40092"/>
    <w:rsid w:val="00B421C1"/>
    <w:rsid w:val="00B43E68"/>
    <w:rsid w:val="00B53483"/>
    <w:rsid w:val="00B55C6E"/>
    <w:rsid w:val="00B55C71"/>
    <w:rsid w:val="00B567A2"/>
    <w:rsid w:val="00B56E4A"/>
    <w:rsid w:val="00B56E9C"/>
    <w:rsid w:val="00B6163F"/>
    <w:rsid w:val="00B64B1F"/>
    <w:rsid w:val="00B654F3"/>
    <w:rsid w:val="00B6553F"/>
    <w:rsid w:val="00B65E10"/>
    <w:rsid w:val="00B7025D"/>
    <w:rsid w:val="00B70D3C"/>
    <w:rsid w:val="00B72BE1"/>
    <w:rsid w:val="00B74C28"/>
    <w:rsid w:val="00B750FB"/>
    <w:rsid w:val="00B777AE"/>
    <w:rsid w:val="00B77D05"/>
    <w:rsid w:val="00B81206"/>
    <w:rsid w:val="00B81E12"/>
    <w:rsid w:val="00B842E5"/>
    <w:rsid w:val="00B876F7"/>
    <w:rsid w:val="00B903D2"/>
    <w:rsid w:val="00B93027"/>
    <w:rsid w:val="00B946EE"/>
    <w:rsid w:val="00B94A93"/>
    <w:rsid w:val="00B96BDE"/>
    <w:rsid w:val="00BB3F2F"/>
    <w:rsid w:val="00BB471F"/>
    <w:rsid w:val="00BB4818"/>
    <w:rsid w:val="00BB7BA5"/>
    <w:rsid w:val="00BC3FA0"/>
    <w:rsid w:val="00BC5010"/>
    <w:rsid w:val="00BC5F1D"/>
    <w:rsid w:val="00BC74E9"/>
    <w:rsid w:val="00BD43A5"/>
    <w:rsid w:val="00BD6A39"/>
    <w:rsid w:val="00BE3161"/>
    <w:rsid w:val="00BE51D1"/>
    <w:rsid w:val="00BE664F"/>
    <w:rsid w:val="00BE7AAC"/>
    <w:rsid w:val="00BF0CF2"/>
    <w:rsid w:val="00BF2EF3"/>
    <w:rsid w:val="00BF48D9"/>
    <w:rsid w:val="00BF5486"/>
    <w:rsid w:val="00BF67DE"/>
    <w:rsid w:val="00BF68A8"/>
    <w:rsid w:val="00BF76F9"/>
    <w:rsid w:val="00BF7F96"/>
    <w:rsid w:val="00C11661"/>
    <w:rsid w:val="00C11A03"/>
    <w:rsid w:val="00C14EC4"/>
    <w:rsid w:val="00C17B9D"/>
    <w:rsid w:val="00C22C0C"/>
    <w:rsid w:val="00C25CAF"/>
    <w:rsid w:val="00C26538"/>
    <w:rsid w:val="00C2766D"/>
    <w:rsid w:val="00C34337"/>
    <w:rsid w:val="00C35E76"/>
    <w:rsid w:val="00C36DF5"/>
    <w:rsid w:val="00C43DD2"/>
    <w:rsid w:val="00C4527F"/>
    <w:rsid w:val="00C463DD"/>
    <w:rsid w:val="00C465BB"/>
    <w:rsid w:val="00C4724C"/>
    <w:rsid w:val="00C51AD6"/>
    <w:rsid w:val="00C559B0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768C9"/>
    <w:rsid w:val="00C91922"/>
    <w:rsid w:val="00C924D2"/>
    <w:rsid w:val="00C92FF9"/>
    <w:rsid w:val="00C933EF"/>
    <w:rsid w:val="00C96DF2"/>
    <w:rsid w:val="00C97150"/>
    <w:rsid w:val="00CA31C6"/>
    <w:rsid w:val="00CA5058"/>
    <w:rsid w:val="00CA6D93"/>
    <w:rsid w:val="00CA7D2A"/>
    <w:rsid w:val="00CB0F53"/>
    <w:rsid w:val="00CB3E03"/>
    <w:rsid w:val="00CB75BF"/>
    <w:rsid w:val="00CC2893"/>
    <w:rsid w:val="00CC5BC3"/>
    <w:rsid w:val="00CD1986"/>
    <w:rsid w:val="00CD1B04"/>
    <w:rsid w:val="00CD2ED4"/>
    <w:rsid w:val="00CD4AA6"/>
    <w:rsid w:val="00CD6BFA"/>
    <w:rsid w:val="00CE37CD"/>
    <w:rsid w:val="00CE4A8F"/>
    <w:rsid w:val="00CF299F"/>
    <w:rsid w:val="00D000E6"/>
    <w:rsid w:val="00D00EBF"/>
    <w:rsid w:val="00D02987"/>
    <w:rsid w:val="00D04C98"/>
    <w:rsid w:val="00D04F52"/>
    <w:rsid w:val="00D1130E"/>
    <w:rsid w:val="00D11F71"/>
    <w:rsid w:val="00D12F38"/>
    <w:rsid w:val="00D13368"/>
    <w:rsid w:val="00D13D3B"/>
    <w:rsid w:val="00D2002F"/>
    <w:rsid w:val="00D2031B"/>
    <w:rsid w:val="00D2089B"/>
    <w:rsid w:val="00D20FB0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265B"/>
    <w:rsid w:val="00D74C00"/>
    <w:rsid w:val="00D773DF"/>
    <w:rsid w:val="00D80A0B"/>
    <w:rsid w:val="00D858D0"/>
    <w:rsid w:val="00D933B8"/>
    <w:rsid w:val="00D95303"/>
    <w:rsid w:val="00D978C6"/>
    <w:rsid w:val="00DA1781"/>
    <w:rsid w:val="00DA3C1C"/>
    <w:rsid w:val="00DA47F7"/>
    <w:rsid w:val="00DB06F9"/>
    <w:rsid w:val="00DB12D7"/>
    <w:rsid w:val="00DB539C"/>
    <w:rsid w:val="00DB5C6F"/>
    <w:rsid w:val="00DB6987"/>
    <w:rsid w:val="00DC092A"/>
    <w:rsid w:val="00DC1C1D"/>
    <w:rsid w:val="00DC393A"/>
    <w:rsid w:val="00DC7544"/>
    <w:rsid w:val="00DC79F9"/>
    <w:rsid w:val="00DD093F"/>
    <w:rsid w:val="00DD1088"/>
    <w:rsid w:val="00DD4239"/>
    <w:rsid w:val="00DE6B06"/>
    <w:rsid w:val="00DF4D79"/>
    <w:rsid w:val="00DF5FF4"/>
    <w:rsid w:val="00DF6C26"/>
    <w:rsid w:val="00DF6ED8"/>
    <w:rsid w:val="00E0252C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1A00"/>
    <w:rsid w:val="00E43BF2"/>
    <w:rsid w:val="00E44AFE"/>
    <w:rsid w:val="00E5372B"/>
    <w:rsid w:val="00E54454"/>
    <w:rsid w:val="00E568C7"/>
    <w:rsid w:val="00E60502"/>
    <w:rsid w:val="00E64514"/>
    <w:rsid w:val="00E64CFF"/>
    <w:rsid w:val="00E6717E"/>
    <w:rsid w:val="00E70BBC"/>
    <w:rsid w:val="00E71BC8"/>
    <w:rsid w:val="00E7260F"/>
    <w:rsid w:val="00E73F5D"/>
    <w:rsid w:val="00E75329"/>
    <w:rsid w:val="00E77E4E"/>
    <w:rsid w:val="00E87BF2"/>
    <w:rsid w:val="00E90FF0"/>
    <w:rsid w:val="00E91B79"/>
    <w:rsid w:val="00E93FF0"/>
    <w:rsid w:val="00E94ED4"/>
    <w:rsid w:val="00E958D9"/>
    <w:rsid w:val="00E96630"/>
    <w:rsid w:val="00E97BAF"/>
    <w:rsid w:val="00EA2965"/>
    <w:rsid w:val="00EA2EEB"/>
    <w:rsid w:val="00EA3FC3"/>
    <w:rsid w:val="00EA7B56"/>
    <w:rsid w:val="00EB09F5"/>
    <w:rsid w:val="00EB2877"/>
    <w:rsid w:val="00EB3B4B"/>
    <w:rsid w:val="00EC0EC1"/>
    <w:rsid w:val="00EC211A"/>
    <w:rsid w:val="00EC60D8"/>
    <w:rsid w:val="00EC6B97"/>
    <w:rsid w:val="00ED0520"/>
    <w:rsid w:val="00ED099A"/>
    <w:rsid w:val="00ED7297"/>
    <w:rsid w:val="00ED7A2A"/>
    <w:rsid w:val="00EE00C9"/>
    <w:rsid w:val="00EE105C"/>
    <w:rsid w:val="00EE4547"/>
    <w:rsid w:val="00EE5A98"/>
    <w:rsid w:val="00EE5EA4"/>
    <w:rsid w:val="00EE6285"/>
    <w:rsid w:val="00EF1D7F"/>
    <w:rsid w:val="00EF20E5"/>
    <w:rsid w:val="00EF4C20"/>
    <w:rsid w:val="00F015F8"/>
    <w:rsid w:val="00F12849"/>
    <w:rsid w:val="00F12D83"/>
    <w:rsid w:val="00F15436"/>
    <w:rsid w:val="00F168ED"/>
    <w:rsid w:val="00F179F5"/>
    <w:rsid w:val="00F23D5B"/>
    <w:rsid w:val="00F25064"/>
    <w:rsid w:val="00F259E5"/>
    <w:rsid w:val="00F31E5F"/>
    <w:rsid w:val="00F3304D"/>
    <w:rsid w:val="00F333A2"/>
    <w:rsid w:val="00F35CBE"/>
    <w:rsid w:val="00F36F52"/>
    <w:rsid w:val="00F37C38"/>
    <w:rsid w:val="00F42032"/>
    <w:rsid w:val="00F50F8B"/>
    <w:rsid w:val="00F52C77"/>
    <w:rsid w:val="00F54FB5"/>
    <w:rsid w:val="00F55117"/>
    <w:rsid w:val="00F55403"/>
    <w:rsid w:val="00F6100A"/>
    <w:rsid w:val="00F645FC"/>
    <w:rsid w:val="00F66C5E"/>
    <w:rsid w:val="00F71495"/>
    <w:rsid w:val="00F71BEF"/>
    <w:rsid w:val="00F7208B"/>
    <w:rsid w:val="00F72635"/>
    <w:rsid w:val="00F75087"/>
    <w:rsid w:val="00F8066F"/>
    <w:rsid w:val="00F87036"/>
    <w:rsid w:val="00F93781"/>
    <w:rsid w:val="00F945B6"/>
    <w:rsid w:val="00F95073"/>
    <w:rsid w:val="00F97AB4"/>
    <w:rsid w:val="00FA06A2"/>
    <w:rsid w:val="00FA7D6D"/>
    <w:rsid w:val="00FB014F"/>
    <w:rsid w:val="00FB4929"/>
    <w:rsid w:val="00FB613B"/>
    <w:rsid w:val="00FC1EAD"/>
    <w:rsid w:val="00FC42E5"/>
    <w:rsid w:val="00FC67FE"/>
    <w:rsid w:val="00FC68B7"/>
    <w:rsid w:val="00FD39C5"/>
    <w:rsid w:val="00FD3F98"/>
    <w:rsid w:val="00FD45B6"/>
    <w:rsid w:val="00FD67D2"/>
    <w:rsid w:val="00FE0A85"/>
    <w:rsid w:val="00FE106A"/>
    <w:rsid w:val="00FE29D9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0E6B2"/>
  <w15:docId w15:val="{BB356455-01A0-45B9-9A0B-DE3F04EC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0C497A"/>
    <w:rPr>
      <w:sz w:val="18"/>
      <w:lang w:eastAsia="en-US"/>
    </w:rPr>
  </w:style>
  <w:style w:type="character" w:customStyle="1" w:styleId="hps">
    <w:name w:val="hps"/>
    <w:basedOn w:val="DefaultParagraphFont"/>
    <w:rsid w:val="00A30B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D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70D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70D3C"/>
    <w:rPr>
      <w:b/>
      <w:bCs/>
      <w:lang w:eastAsia="en-US"/>
    </w:rPr>
  </w:style>
  <w:style w:type="paragraph" w:styleId="Revision">
    <w:name w:val="Revision"/>
    <w:hidden/>
    <w:uiPriority w:val="99"/>
    <w:semiHidden/>
    <w:rsid w:val="00B70D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protocol-1993-amending-article-1a-article-141-and-article-143b-ad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4F124-9F24-48FF-AD02-20830C4B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6763</CharactersWithSpaces>
  <SharedDoc>false</SharedDoc>
  <HLinks>
    <vt:vector size="6" baseType="variant"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https://unece.org/protocol-1993-amending-article-1a-article-141-and-article-143b-adr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130</cp:revision>
  <cp:lastPrinted>2018-05-09T09:23:00Z</cp:lastPrinted>
  <dcterms:created xsi:type="dcterms:W3CDTF">2022-08-04T09:05:00Z</dcterms:created>
  <dcterms:modified xsi:type="dcterms:W3CDTF">2022-10-25T07:23:00Z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