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406DA3" w14:textId="77777777" w:rsidTr="00C97039">
        <w:trPr>
          <w:trHeight w:hRule="exact" w:val="851"/>
        </w:trPr>
        <w:tc>
          <w:tcPr>
            <w:tcW w:w="1276" w:type="dxa"/>
            <w:tcBorders>
              <w:bottom w:val="single" w:sz="4" w:space="0" w:color="auto"/>
            </w:tcBorders>
          </w:tcPr>
          <w:p w14:paraId="7DE59CAC" w14:textId="77777777" w:rsidR="00F35BAF" w:rsidRPr="00DB58B5" w:rsidRDefault="00F35BAF" w:rsidP="002A513A"/>
        </w:tc>
        <w:tc>
          <w:tcPr>
            <w:tcW w:w="2268" w:type="dxa"/>
            <w:tcBorders>
              <w:bottom w:val="single" w:sz="4" w:space="0" w:color="auto"/>
            </w:tcBorders>
            <w:vAlign w:val="bottom"/>
          </w:tcPr>
          <w:p w14:paraId="6CB87A7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3F8E3B" w14:textId="2810ED7F" w:rsidR="00F35BAF" w:rsidRPr="00DB58B5" w:rsidRDefault="002A513A" w:rsidP="002A513A">
            <w:pPr>
              <w:jc w:val="right"/>
            </w:pPr>
            <w:r w:rsidRPr="002A513A">
              <w:rPr>
                <w:sz w:val="40"/>
              </w:rPr>
              <w:t>ECE</w:t>
            </w:r>
            <w:r>
              <w:t>/TRANS/WP.29/GRSP/2022/21</w:t>
            </w:r>
          </w:p>
        </w:tc>
      </w:tr>
      <w:tr w:rsidR="00F35BAF" w:rsidRPr="00DB58B5" w14:paraId="4F36B5F9" w14:textId="77777777" w:rsidTr="00C97039">
        <w:trPr>
          <w:trHeight w:hRule="exact" w:val="2835"/>
        </w:trPr>
        <w:tc>
          <w:tcPr>
            <w:tcW w:w="1276" w:type="dxa"/>
            <w:tcBorders>
              <w:top w:val="single" w:sz="4" w:space="0" w:color="auto"/>
              <w:bottom w:val="single" w:sz="12" w:space="0" w:color="auto"/>
            </w:tcBorders>
          </w:tcPr>
          <w:p w14:paraId="1BBAD7F7" w14:textId="77777777" w:rsidR="00F35BAF" w:rsidRPr="00DB58B5" w:rsidRDefault="00F35BAF" w:rsidP="00C97039">
            <w:pPr>
              <w:spacing w:before="120"/>
              <w:jc w:val="center"/>
            </w:pPr>
            <w:r>
              <w:rPr>
                <w:noProof/>
                <w:lang w:eastAsia="fr-CH"/>
              </w:rPr>
              <w:drawing>
                <wp:inline distT="0" distB="0" distL="0" distR="0" wp14:anchorId="65CBF85C" wp14:editId="5D03C7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FBD8B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6B52CB" w14:textId="77777777" w:rsidR="00F35BAF" w:rsidRDefault="002A513A" w:rsidP="00C97039">
            <w:pPr>
              <w:spacing w:before="240"/>
            </w:pPr>
            <w:r>
              <w:t>Distr. générale</w:t>
            </w:r>
          </w:p>
          <w:p w14:paraId="6818ADF5" w14:textId="77777777" w:rsidR="002A513A" w:rsidRDefault="002A513A" w:rsidP="002A513A">
            <w:pPr>
              <w:spacing w:line="240" w:lineRule="exact"/>
            </w:pPr>
            <w:r>
              <w:t>20 septembre 2022</w:t>
            </w:r>
          </w:p>
          <w:p w14:paraId="619569E8" w14:textId="77777777" w:rsidR="002A513A" w:rsidRDefault="002A513A" w:rsidP="002A513A">
            <w:pPr>
              <w:spacing w:line="240" w:lineRule="exact"/>
            </w:pPr>
            <w:r>
              <w:t>Français</w:t>
            </w:r>
          </w:p>
          <w:p w14:paraId="7DB621AC" w14:textId="55DEF1CC" w:rsidR="002A513A" w:rsidRPr="00DB58B5" w:rsidRDefault="002A513A" w:rsidP="002A513A">
            <w:pPr>
              <w:spacing w:line="240" w:lineRule="exact"/>
            </w:pPr>
            <w:r>
              <w:t>Original : anglais</w:t>
            </w:r>
          </w:p>
        </w:tc>
      </w:tr>
    </w:tbl>
    <w:p w14:paraId="00F00048" w14:textId="77777777" w:rsidR="007F20FA" w:rsidRPr="000312C0" w:rsidRDefault="007F20FA" w:rsidP="007F20FA">
      <w:pPr>
        <w:spacing w:before="120"/>
        <w:rPr>
          <w:b/>
          <w:sz w:val="28"/>
          <w:szCs w:val="28"/>
        </w:rPr>
      </w:pPr>
      <w:r w:rsidRPr="000312C0">
        <w:rPr>
          <w:b/>
          <w:sz w:val="28"/>
          <w:szCs w:val="28"/>
        </w:rPr>
        <w:t>Commission économique pour l’Europe</w:t>
      </w:r>
    </w:p>
    <w:p w14:paraId="12477013" w14:textId="77777777" w:rsidR="007F20FA" w:rsidRDefault="007F20FA" w:rsidP="007F20FA">
      <w:pPr>
        <w:spacing w:before="120"/>
        <w:rPr>
          <w:sz w:val="28"/>
          <w:szCs w:val="28"/>
        </w:rPr>
      </w:pPr>
      <w:r w:rsidRPr="00685843">
        <w:rPr>
          <w:sz w:val="28"/>
          <w:szCs w:val="28"/>
        </w:rPr>
        <w:t>Comité des transports intérieurs</w:t>
      </w:r>
    </w:p>
    <w:p w14:paraId="67D35EA5" w14:textId="143A614C" w:rsidR="001B1B4C" w:rsidRPr="00165972" w:rsidRDefault="001B1B4C" w:rsidP="001B1B4C">
      <w:pPr>
        <w:spacing w:before="120"/>
        <w:rPr>
          <w:rFonts w:asciiTheme="majorBidi" w:hAnsiTheme="majorBidi" w:cstheme="majorBidi"/>
          <w:b/>
          <w:sz w:val="32"/>
          <w:szCs w:val="32"/>
          <w:lang w:val="fr-FR"/>
        </w:rPr>
      </w:pPr>
      <w:r w:rsidRPr="006960F2">
        <w:rPr>
          <w:b/>
          <w:bCs/>
          <w:sz w:val="24"/>
          <w:szCs w:val="24"/>
          <w:lang w:val="fr-FR"/>
        </w:rPr>
        <w:t>Forum mondial de l</w:t>
      </w:r>
      <w:r>
        <w:rPr>
          <w:b/>
          <w:bCs/>
          <w:sz w:val="24"/>
          <w:szCs w:val="24"/>
          <w:lang w:val="fr-FR"/>
        </w:rPr>
        <w:t>’</w:t>
      </w:r>
      <w:r w:rsidRPr="006960F2">
        <w:rPr>
          <w:b/>
          <w:bCs/>
          <w:sz w:val="24"/>
          <w:szCs w:val="24"/>
          <w:lang w:val="fr-FR"/>
        </w:rPr>
        <w:t xml:space="preserve">harmonisation des Règlements </w:t>
      </w:r>
      <w:r>
        <w:rPr>
          <w:b/>
          <w:bCs/>
          <w:sz w:val="24"/>
          <w:szCs w:val="24"/>
          <w:lang w:val="fr-FR"/>
        </w:rPr>
        <w:br/>
      </w:r>
      <w:r w:rsidRPr="006960F2">
        <w:rPr>
          <w:b/>
          <w:bCs/>
          <w:sz w:val="24"/>
          <w:szCs w:val="24"/>
          <w:lang w:val="fr-FR"/>
        </w:rPr>
        <w:t>concernant les véhicules</w:t>
      </w:r>
    </w:p>
    <w:p w14:paraId="32E2CD43" w14:textId="77777777" w:rsidR="001B1B4C" w:rsidRPr="00165972" w:rsidRDefault="001B1B4C" w:rsidP="001B1B4C">
      <w:pPr>
        <w:spacing w:before="120"/>
        <w:rPr>
          <w:rFonts w:asciiTheme="majorBidi" w:hAnsiTheme="majorBidi" w:cstheme="majorBidi"/>
          <w:b/>
          <w:lang w:val="fr-FR"/>
        </w:rPr>
      </w:pPr>
      <w:r>
        <w:rPr>
          <w:b/>
          <w:bCs/>
          <w:lang w:val="fr-FR"/>
        </w:rPr>
        <w:t>Groupe de travail de la sécurité passive</w:t>
      </w:r>
    </w:p>
    <w:p w14:paraId="41E95DB4" w14:textId="77777777" w:rsidR="001B1B4C" w:rsidRPr="00165972" w:rsidRDefault="001B1B4C" w:rsidP="001B1B4C">
      <w:pPr>
        <w:spacing w:before="120"/>
        <w:rPr>
          <w:rFonts w:asciiTheme="majorBidi" w:hAnsiTheme="majorBidi" w:cstheme="majorBidi"/>
          <w:b/>
          <w:lang w:val="fr-FR"/>
        </w:rPr>
      </w:pPr>
      <w:r>
        <w:rPr>
          <w:b/>
          <w:bCs/>
          <w:lang w:val="fr-FR"/>
        </w:rPr>
        <w:t>Soixante-douzième session</w:t>
      </w:r>
    </w:p>
    <w:p w14:paraId="30BC9E7B" w14:textId="77777777" w:rsidR="001B1B4C" w:rsidRPr="00165972" w:rsidRDefault="001B1B4C" w:rsidP="001B1B4C">
      <w:pPr>
        <w:rPr>
          <w:rFonts w:asciiTheme="majorBidi" w:hAnsiTheme="majorBidi" w:cstheme="majorBidi"/>
          <w:lang w:val="fr-FR"/>
        </w:rPr>
      </w:pPr>
      <w:r>
        <w:rPr>
          <w:lang w:val="fr-FR"/>
        </w:rPr>
        <w:t>Genève, 5-9 décembre 2022</w:t>
      </w:r>
    </w:p>
    <w:p w14:paraId="4F18913A" w14:textId="77777777" w:rsidR="001B1B4C" w:rsidRPr="00165972" w:rsidRDefault="001B1B4C" w:rsidP="001B1B4C">
      <w:pPr>
        <w:rPr>
          <w:rFonts w:asciiTheme="majorBidi" w:hAnsiTheme="majorBidi" w:cstheme="majorBidi"/>
          <w:lang w:val="fr-FR"/>
        </w:rPr>
      </w:pPr>
      <w:r>
        <w:rPr>
          <w:lang w:val="fr-FR"/>
        </w:rPr>
        <w:t>Point 6 de l’ordre du jour provisoire</w:t>
      </w:r>
    </w:p>
    <w:p w14:paraId="7C882EEA" w14:textId="648A752D" w:rsidR="001B1B4C" w:rsidRPr="00165972" w:rsidRDefault="001B1B4C" w:rsidP="001B1B4C">
      <w:pPr>
        <w:rPr>
          <w:lang w:val="fr-FR"/>
        </w:rPr>
      </w:pPr>
      <w:r>
        <w:rPr>
          <w:b/>
          <w:bCs/>
          <w:lang w:val="fr-FR"/>
        </w:rPr>
        <w:t>Règlement ONU n</w:t>
      </w:r>
      <w:r>
        <w:rPr>
          <w:b/>
          <w:bCs/>
          <w:vertAlign w:val="superscript"/>
          <w:lang w:val="fr-FR"/>
        </w:rPr>
        <w:t>o</w:t>
      </w:r>
      <w:r>
        <w:rPr>
          <w:b/>
          <w:bCs/>
          <w:lang w:val="fr-FR"/>
        </w:rPr>
        <w:t> </w:t>
      </w:r>
      <w:r>
        <w:rPr>
          <w:b/>
          <w:bCs/>
          <w:lang w:val="fr-FR"/>
        </w:rPr>
        <w:t>17 (Résistance mécanique des sièges)</w:t>
      </w:r>
    </w:p>
    <w:p w14:paraId="0F7CC6D7" w14:textId="77777777" w:rsidR="001B1B4C" w:rsidRPr="00165972" w:rsidRDefault="001B1B4C" w:rsidP="001B1B4C">
      <w:pPr>
        <w:pStyle w:val="HChG"/>
        <w:rPr>
          <w:lang w:val="fr-FR"/>
        </w:rPr>
      </w:pPr>
      <w:r>
        <w:rPr>
          <w:lang w:val="fr-FR"/>
        </w:rPr>
        <w:tab/>
      </w:r>
      <w:r>
        <w:rPr>
          <w:lang w:val="fr-FR"/>
        </w:rPr>
        <w:tab/>
      </w:r>
      <w:r>
        <w:rPr>
          <w:lang w:val="fr-FR"/>
        </w:rPr>
        <w:tab/>
        <w:t>Proposition de série 11 d’amendements au Règlement ONU n</w:t>
      </w:r>
      <w:r>
        <w:rPr>
          <w:vertAlign w:val="superscript"/>
          <w:lang w:val="fr-FR"/>
        </w:rPr>
        <w:t>o</w:t>
      </w:r>
      <w:r>
        <w:rPr>
          <w:lang w:val="fr-FR"/>
        </w:rPr>
        <w:t> 17 (Résistance mécanique des sièges)</w:t>
      </w:r>
    </w:p>
    <w:p w14:paraId="40E4D516" w14:textId="77777777" w:rsidR="001B1B4C" w:rsidRPr="00165972" w:rsidRDefault="001B1B4C" w:rsidP="001B1B4C">
      <w:pPr>
        <w:pStyle w:val="H1G"/>
        <w:rPr>
          <w:lang w:val="fr-FR"/>
        </w:rPr>
      </w:pPr>
      <w:r>
        <w:rPr>
          <w:lang w:val="fr-FR"/>
        </w:rPr>
        <w:tab/>
      </w:r>
      <w:r>
        <w:rPr>
          <w:lang w:val="fr-FR"/>
        </w:rPr>
        <w:tab/>
        <w:t>Communication de l’expert de l’Allemagne</w:t>
      </w:r>
      <w:r w:rsidRPr="001B1B4C">
        <w:rPr>
          <w:b w:val="0"/>
          <w:bCs/>
          <w:sz w:val="20"/>
          <w:szCs w:val="16"/>
          <w:lang w:val="fr-FR"/>
        </w:rPr>
        <w:footnoteReference w:customMarkFollows="1" w:id="2"/>
        <w:t>*</w:t>
      </w:r>
    </w:p>
    <w:p w14:paraId="25CF8290" w14:textId="293772D3" w:rsidR="001B1B4C" w:rsidRPr="00165972" w:rsidRDefault="001B1B4C" w:rsidP="001B1B4C">
      <w:pPr>
        <w:pStyle w:val="SingleTxtG"/>
        <w:ind w:firstLine="567"/>
        <w:rPr>
          <w:lang w:val="fr-FR"/>
        </w:rPr>
      </w:pPr>
      <w:r>
        <w:rPr>
          <w:lang w:val="fr-FR"/>
        </w:rPr>
        <w:t>Le texte ci-après, établi par l’expert de l’Allemagne, vise à adapter le libellé actuel du Règlement ONU n</w:t>
      </w:r>
      <w:r>
        <w:rPr>
          <w:vertAlign w:val="superscript"/>
          <w:lang w:val="fr-FR"/>
        </w:rPr>
        <w:t>o</w:t>
      </w:r>
      <w:r>
        <w:rPr>
          <w:lang w:val="fr-FR"/>
        </w:rPr>
        <w:t> </w:t>
      </w:r>
      <w:r>
        <w:rPr>
          <w:lang w:val="fr-FR"/>
        </w:rPr>
        <w:t>17 au domaine d’application de cet instrument, afin de garantir que seuls des appuie-tête sûrs seront montés sur les sièges à toutes les places assises et pour toutes les catégories de véhicules relevant du domaine d’application. Les modifications qu’il est proposé d’apporter au texte actuel du Règlement ONU figurent en caractères gras pour les ajouts et biffés pour les suppressions.</w:t>
      </w:r>
    </w:p>
    <w:p w14:paraId="24D0926D" w14:textId="77777777" w:rsidR="001B1B4C" w:rsidRPr="00165972" w:rsidRDefault="001B1B4C" w:rsidP="001B1B4C">
      <w:pPr>
        <w:suppressAutoHyphens w:val="0"/>
        <w:spacing w:line="240" w:lineRule="auto"/>
        <w:rPr>
          <w:lang w:val="fr-FR"/>
        </w:rPr>
      </w:pPr>
      <w:r w:rsidRPr="00165972">
        <w:rPr>
          <w:lang w:val="fr-FR"/>
        </w:rPr>
        <w:br w:type="page"/>
      </w:r>
    </w:p>
    <w:p w14:paraId="708E1757" w14:textId="77777777" w:rsidR="001B1B4C" w:rsidRPr="00165972" w:rsidRDefault="001B1B4C" w:rsidP="001B1B4C">
      <w:pPr>
        <w:pStyle w:val="HChG"/>
        <w:rPr>
          <w:sz w:val="40"/>
          <w:lang w:val="fr-FR"/>
        </w:rPr>
      </w:pPr>
      <w:r w:rsidRPr="00702EBD">
        <w:rPr>
          <w:lang w:val="fr-FR"/>
        </w:rPr>
        <w:lastRenderedPageBreak/>
        <w:tab/>
        <w:t>I.</w:t>
      </w:r>
      <w:r w:rsidRPr="00702EBD">
        <w:rPr>
          <w:lang w:val="fr-FR"/>
        </w:rPr>
        <w:tab/>
        <w:t>Proposition</w:t>
      </w:r>
    </w:p>
    <w:p w14:paraId="16226A35" w14:textId="7C07B787" w:rsidR="001B1B4C" w:rsidRPr="00165972" w:rsidRDefault="001B1B4C" w:rsidP="001B1B4C">
      <w:pPr>
        <w:pStyle w:val="SingleTxtG"/>
        <w:rPr>
          <w:lang w:val="fr-FR"/>
        </w:rPr>
      </w:pPr>
      <w:r w:rsidRPr="001B1B4C">
        <w:rPr>
          <w:i/>
          <w:iCs/>
          <w:lang w:val="fr-FR"/>
        </w:rPr>
        <w:t>Paragraphe 1</w:t>
      </w:r>
      <w:r>
        <w:rPr>
          <w:lang w:val="fr-FR"/>
        </w:rPr>
        <w:t>, lire</w:t>
      </w:r>
      <w:r>
        <w:rPr>
          <w:lang w:val="fr-FR"/>
        </w:rPr>
        <w:t> </w:t>
      </w:r>
      <w:r>
        <w:rPr>
          <w:lang w:val="fr-FR"/>
        </w:rPr>
        <w:t>:</w:t>
      </w:r>
    </w:p>
    <w:p w14:paraId="415121A3" w14:textId="7385D105" w:rsidR="001B1B4C" w:rsidRPr="00165972" w:rsidRDefault="001B1B4C" w:rsidP="001B1B4C">
      <w:pPr>
        <w:pStyle w:val="HChG"/>
        <w:tabs>
          <w:tab w:val="left" w:pos="2268"/>
        </w:tabs>
        <w:ind w:firstLine="0"/>
        <w:rPr>
          <w:lang w:val="fr-FR"/>
        </w:rPr>
      </w:pPr>
      <w:r>
        <w:rPr>
          <w:lang w:val="fr-FR"/>
        </w:rPr>
        <w:t>« 1.</w:t>
      </w:r>
      <w:r>
        <w:rPr>
          <w:lang w:val="fr-FR"/>
        </w:rPr>
        <w:tab/>
      </w:r>
      <w:r>
        <w:rPr>
          <w:lang w:val="fr-FR"/>
        </w:rPr>
        <w:tab/>
        <w:t>Domaine d’application</w:t>
      </w:r>
    </w:p>
    <w:p w14:paraId="60842E66" w14:textId="3B8FD352" w:rsidR="001B1B4C" w:rsidRPr="00165972" w:rsidRDefault="001B1B4C" w:rsidP="001B1B4C">
      <w:pPr>
        <w:pStyle w:val="SingleTxtG"/>
        <w:keepNext/>
        <w:ind w:left="2268"/>
        <w:rPr>
          <w:lang w:val="fr-FR"/>
        </w:rPr>
      </w:pPr>
      <w:r>
        <w:rPr>
          <w:lang w:val="fr-FR"/>
        </w:rPr>
        <w:tab/>
        <w:t>Le présent Règlement ONU s’applique</w:t>
      </w:r>
      <w:r>
        <w:rPr>
          <w:lang w:val="fr-FR"/>
        </w:rPr>
        <w:t> </w:t>
      </w:r>
      <w:r>
        <w:rPr>
          <w:lang w:val="fr-FR"/>
        </w:rPr>
        <w:t>:</w:t>
      </w:r>
    </w:p>
    <w:p w14:paraId="49F4E422" w14:textId="77777777" w:rsidR="001B1B4C" w:rsidRPr="00FF0BA9" w:rsidRDefault="001B1B4C" w:rsidP="001B1B4C">
      <w:pPr>
        <w:pStyle w:val="SingleTxtG"/>
        <w:ind w:left="2835" w:hanging="567"/>
      </w:pPr>
      <w:r>
        <w:rPr>
          <w:lang w:val="fr-FR"/>
        </w:rPr>
        <w:t>a)</w:t>
      </w:r>
      <w:r>
        <w:rPr>
          <w:lang w:val="fr-FR"/>
        </w:rPr>
        <w:tab/>
        <w:t>Aux véhicules des catégories M</w:t>
      </w:r>
      <w:r>
        <w:rPr>
          <w:vertAlign w:val="subscript"/>
          <w:lang w:val="fr-FR"/>
        </w:rPr>
        <w:t>1</w:t>
      </w:r>
      <w:r>
        <w:rPr>
          <w:lang w:val="fr-FR"/>
        </w:rPr>
        <w:t xml:space="preserve"> et N</w:t>
      </w:r>
      <w:r w:rsidRPr="00FF0BA9">
        <w:rPr>
          <w:rStyle w:val="Appelnotedebasdep"/>
          <w:lang w:val="fr-FR"/>
        </w:rPr>
        <w:footnoteReference w:id="3"/>
      </w:r>
      <w:r>
        <w:rPr>
          <w:lang w:val="fr-FR"/>
        </w:rPr>
        <w:t xml:space="preserve"> en ce qui concerne la résistance des sièges, de leurs ancrages et de leurs appuie-tête ;</w:t>
      </w:r>
    </w:p>
    <w:p w14:paraId="52E0C777" w14:textId="77777777" w:rsidR="001B1B4C" w:rsidRPr="00FF0BA9" w:rsidRDefault="001B1B4C" w:rsidP="001B1B4C">
      <w:pPr>
        <w:pStyle w:val="SingleTxtG"/>
        <w:ind w:left="2835" w:hanging="567"/>
      </w:pPr>
      <w:r>
        <w:rPr>
          <w:lang w:val="fr-FR"/>
        </w:rPr>
        <w:t>b)</w:t>
      </w:r>
      <w:r>
        <w:rPr>
          <w:lang w:val="fr-FR"/>
        </w:rPr>
        <w:tab/>
        <w:t>Aux véhicules des catégories M</w:t>
      </w:r>
      <w:r>
        <w:rPr>
          <w:vertAlign w:val="subscript"/>
          <w:lang w:val="fr-FR"/>
        </w:rPr>
        <w:t>2</w:t>
      </w:r>
      <w:r>
        <w:rPr>
          <w:lang w:val="fr-FR"/>
        </w:rPr>
        <w:t xml:space="preserve"> et M</w:t>
      </w:r>
      <w:r>
        <w:rPr>
          <w:vertAlign w:val="subscript"/>
          <w:lang w:val="fr-FR"/>
        </w:rPr>
        <w:t>3</w:t>
      </w:r>
      <w:r w:rsidRPr="001B1B4C">
        <w:rPr>
          <w:sz w:val="18"/>
          <w:szCs w:val="18"/>
          <w:vertAlign w:val="superscript"/>
          <w:lang w:val="fr-FR"/>
        </w:rPr>
        <w:t>1</w:t>
      </w:r>
      <w:r>
        <w:rPr>
          <w:lang w:val="fr-FR"/>
        </w:rPr>
        <w:t xml:space="preserve"> en ce qui concerne les sièges non visés par le Règlement ONU n</w:t>
      </w:r>
      <w:r>
        <w:rPr>
          <w:vertAlign w:val="superscript"/>
          <w:lang w:val="fr-FR"/>
        </w:rPr>
        <w:t>o</w:t>
      </w:r>
      <w:r>
        <w:rPr>
          <w:lang w:val="fr-FR"/>
        </w:rPr>
        <w:t> 80, en ce qui concerne la résistance des sièges, de leurs ancrages et de leurs appuie-tête ;</w:t>
      </w:r>
    </w:p>
    <w:p w14:paraId="1450F547" w14:textId="77777777" w:rsidR="001B1B4C" w:rsidRPr="00FF0BA9" w:rsidRDefault="001B1B4C" w:rsidP="001B1B4C">
      <w:pPr>
        <w:pStyle w:val="SingleTxtG"/>
        <w:ind w:left="2835" w:hanging="567"/>
      </w:pPr>
      <w:r>
        <w:rPr>
          <w:lang w:val="fr-FR"/>
        </w:rPr>
        <w:t>c)</w:t>
      </w:r>
      <w:r>
        <w:rPr>
          <w:lang w:val="fr-FR"/>
        </w:rPr>
        <w:tab/>
        <w:t>Aux véhicules de la catégorie M</w:t>
      </w:r>
      <w:r>
        <w:rPr>
          <w:vertAlign w:val="subscript"/>
          <w:lang w:val="fr-FR"/>
        </w:rPr>
        <w:t>1</w:t>
      </w:r>
      <w:r>
        <w:rPr>
          <w:lang w:val="fr-FR"/>
        </w:rPr>
        <w:t xml:space="preserve"> en ce qui concerne l’aménagement des parties arrière de leur dossier et la conception des dispositifs destinés à protéger leurs occupants contre le danger résultant du déplacement des bagages en cas de choc avant.</w:t>
      </w:r>
    </w:p>
    <w:p w14:paraId="00DE5E7E" w14:textId="33CE4B43" w:rsidR="001B1B4C" w:rsidRPr="00165972" w:rsidRDefault="001B1B4C" w:rsidP="001B1B4C">
      <w:pPr>
        <w:pStyle w:val="SingleTxtG"/>
        <w:ind w:left="2268"/>
        <w:rPr>
          <w:lang w:val="fr-FR"/>
        </w:rPr>
      </w:pPr>
      <w:r>
        <w:rPr>
          <w:lang w:val="fr-FR"/>
        </w:rPr>
        <w:tab/>
        <w:t>Il ne s’applique pas aux véhicules en ce qui concerne les sièges faisant face vers le côté ou vers l’arrière et les appuie-tête équipant éventuellement ces sièges, à l’exception des véhicules des catégories M</w:t>
      </w:r>
      <w:r>
        <w:rPr>
          <w:vertAlign w:val="subscript"/>
          <w:lang w:val="fr-FR"/>
        </w:rPr>
        <w:t>2</w:t>
      </w:r>
      <w:r>
        <w:rPr>
          <w:lang w:val="fr-FR"/>
        </w:rPr>
        <w:t xml:space="preserve"> et M</w:t>
      </w:r>
      <w:r>
        <w:rPr>
          <w:vertAlign w:val="subscript"/>
          <w:lang w:val="fr-FR"/>
        </w:rPr>
        <w:t>3</w:t>
      </w:r>
      <w:r>
        <w:rPr>
          <w:lang w:val="fr-FR"/>
        </w:rPr>
        <w:t xml:space="preserve"> des classes A et I, sous réserve des dispositions du paragraphe</w:t>
      </w:r>
      <w:r>
        <w:rPr>
          <w:lang w:val="fr-FR"/>
        </w:rPr>
        <w:t> </w:t>
      </w:r>
      <w:r>
        <w:rPr>
          <w:lang w:val="fr-FR"/>
        </w:rPr>
        <w:t>5.1.1.</w:t>
      </w:r>
    </w:p>
    <w:p w14:paraId="6DDBB600" w14:textId="77777777" w:rsidR="001B1B4C" w:rsidRPr="00165972" w:rsidRDefault="001B1B4C" w:rsidP="001B1B4C">
      <w:pPr>
        <w:pStyle w:val="SingleTxtG"/>
        <w:ind w:left="2268"/>
        <w:rPr>
          <w:b/>
          <w:lang w:val="fr-FR"/>
        </w:rPr>
      </w:pPr>
      <w:r>
        <w:rPr>
          <w:b/>
          <w:bCs/>
          <w:lang w:val="fr-FR"/>
        </w:rPr>
        <w:t>Des véhicules d’autres catégories peuvent également être homologués au titre du présent Règlement ONU, en ce qui concerne la résistance des sièges, de leurs ancrages et de leurs appuie-tête.</w:t>
      </w:r>
      <w:r>
        <w:rPr>
          <w:lang w:val="fr-FR"/>
        </w:rPr>
        <w:t> ».</w:t>
      </w:r>
    </w:p>
    <w:p w14:paraId="20E220FA" w14:textId="77777777" w:rsidR="001B1B4C" w:rsidRPr="00165972" w:rsidRDefault="001B1B4C" w:rsidP="001B1B4C">
      <w:pPr>
        <w:pStyle w:val="SingleTxtG"/>
        <w:rPr>
          <w:lang w:val="fr-FR"/>
        </w:rPr>
      </w:pPr>
      <w:r>
        <w:rPr>
          <w:i/>
          <w:iCs/>
          <w:lang w:val="fr-FR"/>
        </w:rPr>
        <w:t>Paragraphes 5.4 à 5.4.2</w:t>
      </w:r>
      <w:r>
        <w:rPr>
          <w:lang w:val="fr-FR"/>
        </w:rPr>
        <w:t>, lire :</w:t>
      </w:r>
    </w:p>
    <w:p w14:paraId="1E17E952" w14:textId="4A55A3C6" w:rsidR="001B1B4C" w:rsidRPr="00165972" w:rsidRDefault="001B1B4C" w:rsidP="001B1B4C">
      <w:pPr>
        <w:pStyle w:val="SingleTxtG"/>
        <w:tabs>
          <w:tab w:val="left" w:pos="2268"/>
        </w:tabs>
        <w:ind w:left="2268" w:hanging="1134"/>
        <w:rPr>
          <w:lang w:val="fr-FR"/>
        </w:rPr>
      </w:pPr>
      <w:r>
        <w:rPr>
          <w:lang w:val="fr-FR"/>
        </w:rPr>
        <w:t>« 5.4</w:t>
      </w:r>
      <w:r>
        <w:rPr>
          <w:lang w:val="fr-FR"/>
        </w:rPr>
        <w:tab/>
        <w:t>Installation d’appuie-tête</w:t>
      </w:r>
    </w:p>
    <w:p w14:paraId="165EA1BE" w14:textId="0F5B1321" w:rsidR="001B1B4C" w:rsidRPr="00165972" w:rsidRDefault="001B1B4C" w:rsidP="001B1B4C">
      <w:pPr>
        <w:pStyle w:val="SingleTxtG"/>
        <w:tabs>
          <w:tab w:val="left" w:pos="2268"/>
        </w:tabs>
        <w:ind w:left="2268" w:hanging="1134"/>
        <w:rPr>
          <w:lang w:val="fr-FR"/>
        </w:rPr>
      </w:pPr>
      <w:r>
        <w:rPr>
          <w:lang w:val="fr-FR"/>
        </w:rPr>
        <w:t>5.4.1</w:t>
      </w:r>
      <w:r>
        <w:rPr>
          <w:lang w:val="fr-FR"/>
        </w:rPr>
        <w:tab/>
        <w:t>Un appuie-tête doit équiper les places avant latérales de tous les véhicules de la catégorie M</w:t>
      </w:r>
      <w:r>
        <w:rPr>
          <w:vertAlign w:val="subscript"/>
          <w:lang w:val="fr-FR"/>
        </w:rPr>
        <w:t>1</w:t>
      </w:r>
      <w:r>
        <w:rPr>
          <w:lang w:val="fr-FR"/>
        </w:rPr>
        <w:t xml:space="preserve">. </w:t>
      </w:r>
      <w:r>
        <w:rPr>
          <w:strike/>
          <w:lang w:val="fr-FR"/>
        </w:rPr>
        <w:t>Les sièges munis d’un appuie-tête conçu pour être installé à d’autres places assises ou dans d’autres catégories de véhicules peuvent aussi être homologués en application du présent Règlement.</w:t>
      </w:r>
    </w:p>
    <w:p w14:paraId="476FBD48" w14:textId="5D6ADEF6" w:rsidR="001B1B4C" w:rsidRPr="00165972" w:rsidRDefault="001B1B4C" w:rsidP="001B1B4C">
      <w:pPr>
        <w:pStyle w:val="SingleTxtG"/>
        <w:tabs>
          <w:tab w:val="left" w:pos="2268"/>
        </w:tabs>
        <w:ind w:left="2268" w:hanging="1134"/>
        <w:rPr>
          <w:strike/>
          <w:lang w:val="fr-FR"/>
        </w:rPr>
      </w:pPr>
      <w:r>
        <w:rPr>
          <w:lang w:val="fr-FR"/>
        </w:rPr>
        <w:t>5.4.2</w:t>
      </w:r>
      <w:r>
        <w:rPr>
          <w:lang w:val="fr-FR"/>
        </w:rPr>
        <w:tab/>
        <w:t>Un appuie-tête doit équiper les places avant latérales de tous les véhicules de la catégorie M</w:t>
      </w:r>
      <w:r>
        <w:rPr>
          <w:vertAlign w:val="subscript"/>
          <w:lang w:val="fr-FR"/>
        </w:rPr>
        <w:t>2</w:t>
      </w:r>
      <w:r>
        <w:rPr>
          <w:lang w:val="fr-FR"/>
        </w:rPr>
        <w:t xml:space="preserve"> ayant une masse maximale inférieure ou égale à 3 500 kg et de tous les véhicules de la catégorie N</w:t>
      </w:r>
      <w:r>
        <w:rPr>
          <w:vertAlign w:val="subscript"/>
          <w:lang w:val="fr-FR"/>
        </w:rPr>
        <w:t>1</w:t>
      </w:r>
      <w:r>
        <w:rPr>
          <w:lang w:val="fr-FR"/>
        </w:rPr>
        <w:t xml:space="preserve"> ; </w:t>
      </w:r>
      <w:r>
        <w:rPr>
          <w:strike/>
          <w:lang w:val="fr-FR"/>
        </w:rPr>
        <w:t>les appuie-tête installés dans de tels véhicules doivent satisfaire aux prescriptions du Règlement ONU n</w:t>
      </w:r>
      <w:r>
        <w:rPr>
          <w:strike/>
          <w:vertAlign w:val="superscript"/>
          <w:lang w:val="fr-FR"/>
        </w:rPr>
        <w:t>o</w:t>
      </w:r>
      <w:r>
        <w:rPr>
          <w:strike/>
          <w:lang w:val="fr-FR"/>
        </w:rPr>
        <w:t> 25, modifié par la série 04 d’amendements.</w:t>
      </w:r>
      <w:r>
        <w:rPr>
          <w:lang w:val="fr-FR"/>
        </w:rPr>
        <w:t> ».</w:t>
      </w:r>
    </w:p>
    <w:p w14:paraId="24BD4308" w14:textId="637DE099" w:rsidR="001B1B4C" w:rsidRPr="00165972" w:rsidRDefault="001B1B4C" w:rsidP="001B1B4C">
      <w:pPr>
        <w:pStyle w:val="SingleTxtG"/>
        <w:rPr>
          <w:iCs/>
          <w:lang w:val="fr-FR"/>
        </w:rPr>
      </w:pPr>
      <w:r>
        <w:rPr>
          <w:i/>
          <w:iCs/>
          <w:lang w:val="fr-FR"/>
        </w:rPr>
        <w:t>Ajouter le nouveau paragraphe 5.4.3</w:t>
      </w:r>
      <w:r>
        <w:rPr>
          <w:lang w:val="fr-FR"/>
        </w:rPr>
        <w:t>, libellé comme suit</w:t>
      </w:r>
      <w:r>
        <w:rPr>
          <w:lang w:val="fr-FR"/>
        </w:rPr>
        <w:t> </w:t>
      </w:r>
      <w:r>
        <w:rPr>
          <w:lang w:val="fr-FR"/>
        </w:rPr>
        <w:t>:</w:t>
      </w:r>
    </w:p>
    <w:p w14:paraId="0BC15583" w14:textId="3FD50F16" w:rsidR="001B1B4C" w:rsidRPr="00165972" w:rsidRDefault="001B1B4C" w:rsidP="001B1B4C">
      <w:pPr>
        <w:pStyle w:val="SingleTxtG"/>
        <w:tabs>
          <w:tab w:val="left" w:pos="2268"/>
        </w:tabs>
        <w:ind w:left="2268" w:hanging="1134"/>
        <w:rPr>
          <w:b/>
          <w:lang w:val="fr-FR"/>
        </w:rPr>
      </w:pPr>
      <w:r>
        <w:rPr>
          <w:lang w:val="fr-FR"/>
        </w:rPr>
        <w:t>« </w:t>
      </w:r>
      <w:r>
        <w:rPr>
          <w:b/>
          <w:bCs/>
          <w:lang w:val="fr-FR"/>
        </w:rPr>
        <w:t>5.4.3</w:t>
      </w:r>
      <w:r>
        <w:rPr>
          <w:lang w:val="fr-FR"/>
        </w:rPr>
        <w:tab/>
      </w:r>
      <w:r>
        <w:rPr>
          <w:b/>
          <w:bCs/>
          <w:lang w:val="fr-FR"/>
        </w:rPr>
        <w:t>Nonobstant les paragraphes</w:t>
      </w:r>
      <w:r>
        <w:rPr>
          <w:b/>
          <w:bCs/>
          <w:lang w:val="fr-FR"/>
        </w:rPr>
        <w:t> </w:t>
      </w:r>
      <w:r>
        <w:rPr>
          <w:b/>
          <w:bCs/>
          <w:lang w:val="fr-FR"/>
        </w:rPr>
        <w:t>5.4.1 et 5.4.2 ci-dessus, tous les sièges faisant face vers l’avant équipés d’un appuie-tête ou destinés à en être équipés à d’autres places assises ou pour d’autres catégories de véhicules relevant du domaine d’application du présent Règlement ONU doivent satisfaire aux prescriptions dudit Règlement ONU. »</w:t>
      </w:r>
      <w:r w:rsidRPr="001B1B4C">
        <w:rPr>
          <w:lang w:val="fr-FR"/>
        </w:rPr>
        <w:t>.</w:t>
      </w:r>
    </w:p>
    <w:p w14:paraId="12FA40A2" w14:textId="6DD3385B" w:rsidR="001B1B4C" w:rsidRPr="00165972" w:rsidRDefault="001B1B4C" w:rsidP="001B1B4C">
      <w:pPr>
        <w:pStyle w:val="SingleTxtG"/>
        <w:rPr>
          <w:iCs/>
          <w:lang w:val="fr-FR"/>
        </w:rPr>
      </w:pPr>
      <w:r>
        <w:rPr>
          <w:i/>
          <w:iCs/>
          <w:lang w:val="fr-FR"/>
        </w:rPr>
        <w:t>Paragraphe 5.7.4</w:t>
      </w:r>
      <w:r>
        <w:rPr>
          <w:lang w:val="fr-FR"/>
        </w:rPr>
        <w:t>, lire</w:t>
      </w:r>
      <w:r>
        <w:rPr>
          <w:lang w:val="fr-FR"/>
        </w:rPr>
        <w:t> </w:t>
      </w:r>
      <w:r>
        <w:rPr>
          <w:lang w:val="fr-FR"/>
        </w:rPr>
        <w:t>:</w:t>
      </w:r>
    </w:p>
    <w:p w14:paraId="258E499D" w14:textId="77777777" w:rsidR="001B1B4C" w:rsidRPr="00165972" w:rsidRDefault="001B1B4C" w:rsidP="001B1B4C">
      <w:pPr>
        <w:pStyle w:val="SingleTxtG"/>
        <w:tabs>
          <w:tab w:val="left" w:pos="2268"/>
        </w:tabs>
        <w:ind w:left="2268" w:hanging="1134"/>
        <w:rPr>
          <w:lang w:val="fr-FR"/>
        </w:rPr>
      </w:pPr>
      <w:r>
        <w:rPr>
          <w:lang w:val="fr-FR"/>
        </w:rPr>
        <w:t>« 5.7.4</w:t>
      </w:r>
      <w:r>
        <w:rPr>
          <w:lang w:val="fr-FR"/>
        </w:rPr>
        <w:tab/>
        <w:t>Maintien en hauteur d’un appuie-tête</w:t>
      </w:r>
      <w:r>
        <w:rPr>
          <w:strike/>
          <w:lang w:val="fr-FR"/>
        </w:rPr>
        <w:t xml:space="preserve"> réglable</w:t>
      </w:r>
    </w:p>
    <w:p w14:paraId="5EAADFCE" w14:textId="296182A4" w:rsidR="001B1B4C" w:rsidRPr="00165972" w:rsidRDefault="001B1B4C" w:rsidP="001B1B4C">
      <w:pPr>
        <w:pStyle w:val="SingleTxtG"/>
        <w:ind w:left="2268"/>
        <w:rPr>
          <w:strike/>
          <w:lang w:val="fr-FR"/>
        </w:rPr>
      </w:pPr>
      <w:r>
        <w:rPr>
          <w:lang w:val="fr-FR"/>
        </w:rPr>
        <w:t>Lors d’un essai exécuté conformément à l’annexe</w:t>
      </w:r>
      <w:r>
        <w:rPr>
          <w:lang w:val="fr-FR"/>
        </w:rPr>
        <w:t> </w:t>
      </w:r>
      <w:r>
        <w:rPr>
          <w:lang w:val="fr-FR"/>
        </w:rPr>
        <w:t xml:space="preserve">13, </w:t>
      </w:r>
      <w:r>
        <w:rPr>
          <w:strike/>
          <w:lang w:val="fr-FR"/>
        </w:rPr>
        <w:t xml:space="preserve">le mécanisme d’un </w:t>
      </w:r>
      <w:r>
        <w:rPr>
          <w:b/>
          <w:bCs/>
          <w:lang w:val="fr-FR"/>
        </w:rPr>
        <w:t>l’</w:t>
      </w:r>
      <w:r>
        <w:rPr>
          <w:lang w:val="fr-FR"/>
        </w:rPr>
        <w:t xml:space="preserve">appuie-tête </w:t>
      </w:r>
      <w:r>
        <w:rPr>
          <w:strike/>
          <w:lang w:val="fr-FR"/>
        </w:rPr>
        <w:t xml:space="preserve">réglable </w:t>
      </w:r>
      <w:r>
        <w:rPr>
          <w:lang w:val="fr-FR"/>
        </w:rPr>
        <w:t>ne doit pas subir de défaillance telle que l’appuie-tête puisse se déplacer vers le bas de plus de 25 mm. ».</w:t>
      </w:r>
    </w:p>
    <w:p w14:paraId="5C58BE85" w14:textId="77777777" w:rsidR="001B1B4C" w:rsidRPr="00165972" w:rsidRDefault="001B1B4C" w:rsidP="001B1B4C">
      <w:pPr>
        <w:pStyle w:val="SingleTxtG"/>
        <w:keepNext/>
        <w:rPr>
          <w:i/>
          <w:lang w:val="fr-FR"/>
        </w:rPr>
      </w:pPr>
      <w:r>
        <w:rPr>
          <w:i/>
          <w:iCs/>
          <w:lang w:val="fr-FR"/>
        </w:rPr>
        <w:lastRenderedPageBreak/>
        <w:t>Ajouter les nouveaux paragraphes 13.14 à 13.14.5</w:t>
      </w:r>
      <w:r>
        <w:rPr>
          <w:lang w:val="fr-FR"/>
        </w:rPr>
        <w:t>, libellés comme suit :</w:t>
      </w:r>
    </w:p>
    <w:p w14:paraId="5391E89B" w14:textId="1ACAA266" w:rsidR="001B1B4C" w:rsidRPr="00165972" w:rsidRDefault="001B1B4C" w:rsidP="001B1B4C">
      <w:pPr>
        <w:pStyle w:val="SingleTxtG"/>
        <w:tabs>
          <w:tab w:val="left" w:pos="2268"/>
        </w:tabs>
        <w:ind w:left="2268" w:hanging="1134"/>
        <w:rPr>
          <w:b/>
          <w:lang w:val="fr-FR"/>
        </w:rPr>
      </w:pPr>
      <w:r>
        <w:rPr>
          <w:b/>
          <w:bCs/>
          <w:lang w:val="fr-FR"/>
        </w:rPr>
        <w:t>« 13.14</w:t>
      </w:r>
      <w:r>
        <w:rPr>
          <w:lang w:val="fr-FR"/>
        </w:rPr>
        <w:tab/>
      </w:r>
      <w:r>
        <w:rPr>
          <w:b/>
          <w:bCs/>
          <w:lang w:val="fr-FR"/>
        </w:rPr>
        <w:t>À compter de la date officielle d’entrée en vigueur de la série 11 d’amendements, aucune Partie contractante appliquant le présent Règlement ONU ne pourra refuser d’accorder ou d’accepter une homologation de type ONU en vertu dudit Règlement ONU tel que modifié par la série 11 d’amendements.</w:t>
      </w:r>
    </w:p>
    <w:p w14:paraId="1F95588E" w14:textId="77777777" w:rsidR="001B1B4C" w:rsidRPr="00165972" w:rsidRDefault="001B1B4C" w:rsidP="001B1B4C">
      <w:pPr>
        <w:pStyle w:val="SingleTxtG"/>
        <w:tabs>
          <w:tab w:val="left" w:pos="2268"/>
        </w:tabs>
        <w:ind w:left="2268" w:hanging="1134"/>
        <w:rPr>
          <w:b/>
          <w:lang w:val="fr-FR"/>
        </w:rPr>
      </w:pPr>
      <w:r>
        <w:rPr>
          <w:b/>
          <w:bCs/>
          <w:lang w:val="fr-FR"/>
        </w:rPr>
        <w:t>13.14.1</w:t>
      </w:r>
      <w:r>
        <w:rPr>
          <w:lang w:val="fr-FR"/>
        </w:rPr>
        <w:tab/>
      </w:r>
      <w:r>
        <w:rPr>
          <w:b/>
          <w:bCs/>
          <w:lang w:val="fr-FR"/>
        </w:rPr>
        <w:t>À compter du 1</w:t>
      </w:r>
      <w:r>
        <w:rPr>
          <w:b/>
          <w:bCs/>
          <w:vertAlign w:val="superscript"/>
          <w:lang w:val="fr-FR"/>
        </w:rPr>
        <w:t>er</w:t>
      </w:r>
      <w:r>
        <w:rPr>
          <w:b/>
          <w:bCs/>
          <w:lang w:val="fr-FR"/>
        </w:rPr>
        <w:t xml:space="preserve"> septembre 2024, les Parties contractantes appliquant le présent Règlement ONU ne seront plus tenues d’accepter les homologations de type ONU établies conformément aux précédentes séries d’amendements, délivrées pour la première fois le 1</w:t>
      </w:r>
      <w:r>
        <w:rPr>
          <w:b/>
          <w:bCs/>
          <w:vertAlign w:val="superscript"/>
          <w:lang w:val="fr-FR"/>
        </w:rPr>
        <w:t>er</w:t>
      </w:r>
      <w:r>
        <w:rPr>
          <w:b/>
          <w:bCs/>
          <w:lang w:val="fr-FR"/>
        </w:rPr>
        <w:t xml:space="preserve"> septembre 2024 ou ultérieurement.</w:t>
      </w:r>
    </w:p>
    <w:p w14:paraId="3F72F5AF" w14:textId="77777777" w:rsidR="001B1B4C" w:rsidRPr="00165972" w:rsidRDefault="001B1B4C" w:rsidP="001B1B4C">
      <w:pPr>
        <w:pStyle w:val="SingleTxtG"/>
        <w:tabs>
          <w:tab w:val="left" w:pos="2268"/>
        </w:tabs>
        <w:ind w:left="2268" w:hanging="1134"/>
        <w:rPr>
          <w:b/>
          <w:lang w:val="fr-FR"/>
        </w:rPr>
      </w:pPr>
      <w:r>
        <w:rPr>
          <w:b/>
          <w:bCs/>
          <w:lang w:val="fr-FR"/>
        </w:rPr>
        <w:t>13.14.2</w:t>
      </w:r>
      <w:r>
        <w:rPr>
          <w:lang w:val="fr-FR"/>
        </w:rPr>
        <w:tab/>
      </w:r>
      <w:r>
        <w:rPr>
          <w:b/>
          <w:bCs/>
          <w:lang w:val="fr-FR"/>
        </w:rPr>
        <w:t>Jusqu’au 1</w:t>
      </w:r>
      <w:r>
        <w:rPr>
          <w:b/>
          <w:bCs/>
          <w:vertAlign w:val="superscript"/>
          <w:lang w:val="fr-FR"/>
        </w:rPr>
        <w:t>er</w:t>
      </w:r>
      <w:r>
        <w:rPr>
          <w:b/>
          <w:bCs/>
          <w:lang w:val="fr-FR"/>
        </w:rPr>
        <w:t xml:space="preserve"> septembre 2026, les Parties contractantes appliquant le présent Règlement ONU seront tenues d’accepter les homologations de type ONU établies conformément aux précédentes séries d’amendements, délivrées pour la première fois avant le 1</w:t>
      </w:r>
      <w:r>
        <w:rPr>
          <w:b/>
          <w:bCs/>
          <w:vertAlign w:val="superscript"/>
          <w:lang w:val="fr-FR"/>
        </w:rPr>
        <w:t>er</w:t>
      </w:r>
      <w:r>
        <w:rPr>
          <w:b/>
          <w:bCs/>
          <w:lang w:val="fr-FR"/>
        </w:rPr>
        <w:t xml:space="preserve"> septembre 2024.</w:t>
      </w:r>
    </w:p>
    <w:p w14:paraId="384819F5" w14:textId="234EA2DC" w:rsidR="001B1B4C" w:rsidRPr="00165972" w:rsidRDefault="001B1B4C" w:rsidP="001B1B4C">
      <w:pPr>
        <w:pStyle w:val="SingleTxtG"/>
        <w:tabs>
          <w:tab w:val="left" w:pos="2268"/>
        </w:tabs>
        <w:ind w:left="2268" w:hanging="1134"/>
        <w:rPr>
          <w:b/>
          <w:lang w:val="fr-FR"/>
        </w:rPr>
      </w:pPr>
      <w:r>
        <w:rPr>
          <w:b/>
          <w:bCs/>
          <w:lang w:val="fr-FR"/>
        </w:rPr>
        <w:t>13.14.3</w:t>
      </w:r>
      <w:r>
        <w:rPr>
          <w:lang w:val="fr-FR"/>
        </w:rPr>
        <w:tab/>
      </w:r>
      <w:r>
        <w:rPr>
          <w:b/>
          <w:bCs/>
          <w:lang w:val="fr-FR"/>
        </w:rPr>
        <w:t>À compter du 1</w:t>
      </w:r>
      <w:r>
        <w:rPr>
          <w:b/>
          <w:bCs/>
          <w:vertAlign w:val="superscript"/>
          <w:lang w:val="fr-FR"/>
        </w:rPr>
        <w:t>er</w:t>
      </w:r>
      <w:r>
        <w:rPr>
          <w:b/>
          <w:bCs/>
          <w:lang w:val="fr-FR"/>
        </w:rPr>
        <w:t xml:space="preserve"> septembre 2026, les Parties contractantes appliquant le présent Règlement ONU ne seront plus tenues d’accepter les homologations de type ONU délivrées en vertu des précédentes séries d’amendements audit Règlement ONU.</w:t>
      </w:r>
    </w:p>
    <w:p w14:paraId="4118AE9C" w14:textId="1CDFABA6" w:rsidR="001B1B4C" w:rsidRPr="00165972" w:rsidRDefault="001B1B4C" w:rsidP="001B1B4C">
      <w:pPr>
        <w:pStyle w:val="SingleTxtG"/>
        <w:tabs>
          <w:tab w:val="left" w:pos="2268"/>
        </w:tabs>
        <w:ind w:left="2268" w:hanging="1134"/>
        <w:rPr>
          <w:b/>
          <w:lang w:val="fr-FR"/>
        </w:rPr>
      </w:pPr>
      <w:r>
        <w:rPr>
          <w:b/>
          <w:bCs/>
          <w:lang w:val="fr-FR"/>
        </w:rPr>
        <w:t>13.14.4</w:t>
      </w:r>
      <w:r>
        <w:rPr>
          <w:lang w:val="fr-FR"/>
        </w:rPr>
        <w:tab/>
      </w:r>
      <w:r>
        <w:rPr>
          <w:b/>
          <w:bCs/>
          <w:lang w:val="fr-FR"/>
        </w:rPr>
        <w:t>Nonobstant les dispositions du paragraphe</w:t>
      </w:r>
      <w:r>
        <w:rPr>
          <w:b/>
          <w:bCs/>
          <w:lang w:val="fr-FR"/>
        </w:rPr>
        <w:t> </w:t>
      </w:r>
      <w:r>
        <w:rPr>
          <w:b/>
          <w:bCs/>
          <w:lang w:val="fr-FR"/>
        </w:rPr>
        <w:t>13.13.4, les Parties contractantes appliquant le présent Règlement ONU continueront de reconnaître les homologations de type ONU délivrées au titre des précédentes séries d’amendements audit Règlement ONU pour les véhicules non concernés par les modifications apportées par la série 11 d’amendements.</w:t>
      </w:r>
    </w:p>
    <w:p w14:paraId="6AEF7202" w14:textId="77777777" w:rsidR="001B1B4C" w:rsidRPr="00165972" w:rsidRDefault="001B1B4C" w:rsidP="001B1B4C">
      <w:pPr>
        <w:pStyle w:val="SingleTxtG"/>
        <w:tabs>
          <w:tab w:val="left" w:pos="2268"/>
        </w:tabs>
        <w:ind w:left="2268" w:hanging="1134"/>
        <w:rPr>
          <w:b/>
          <w:lang w:val="fr-FR"/>
        </w:rPr>
      </w:pPr>
      <w:r>
        <w:rPr>
          <w:b/>
          <w:bCs/>
          <w:lang w:val="fr-FR"/>
        </w:rPr>
        <w:t>13.14.5</w:t>
      </w:r>
      <w:r>
        <w:rPr>
          <w:lang w:val="fr-FR"/>
        </w:rPr>
        <w:tab/>
      </w:r>
      <w:r>
        <w:rPr>
          <w:b/>
          <w:bCs/>
          <w:lang w:val="fr-FR"/>
        </w:rPr>
        <w:t>Les Parties contractantes appliquant le présent Règlement ONU ne pourront refuser d’accorder des homologations de type ONU en vertu de l’une quelconque des précédentes séries d’amendements audit Règlement ONU, ou d’accorder des extensions pour les homologations en question. »</w:t>
      </w:r>
      <w:r w:rsidRPr="001B1B4C">
        <w:rPr>
          <w:lang w:val="fr-FR"/>
        </w:rPr>
        <w:t>.</w:t>
      </w:r>
    </w:p>
    <w:p w14:paraId="7EF5A0AC" w14:textId="560EB5AA" w:rsidR="001B1B4C" w:rsidRPr="00165972" w:rsidRDefault="001B1B4C" w:rsidP="001B1B4C">
      <w:pPr>
        <w:pStyle w:val="SingleTxtG"/>
        <w:rPr>
          <w:lang w:val="fr-FR"/>
        </w:rPr>
      </w:pPr>
      <w:r>
        <w:rPr>
          <w:i/>
          <w:iCs/>
          <w:lang w:val="fr-FR"/>
        </w:rPr>
        <w:t>Paragraphe 4.2</w:t>
      </w:r>
      <w:r>
        <w:rPr>
          <w:lang w:val="fr-FR"/>
        </w:rPr>
        <w:t>, lire</w:t>
      </w:r>
      <w:r>
        <w:rPr>
          <w:lang w:val="fr-FR"/>
        </w:rPr>
        <w:t> </w:t>
      </w:r>
      <w:r>
        <w:rPr>
          <w:lang w:val="fr-FR"/>
        </w:rPr>
        <w:t>:</w:t>
      </w:r>
    </w:p>
    <w:p w14:paraId="3021E0B2" w14:textId="619B6FE9" w:rsidR="001B1B4C" w:rsidRPr="00165972" w:rsidRDefault="001B1B4C" w:rsidP="001B1B4C">
      <w:pPr>
        <w:pStyle w:val="SingleTxtG"/>
        <w:tabs>
          <w:tab w:val="left" w:pos="2268"/>
        </w:tabs>
        <w:ind w:left="2268" w:hanging="1134"/>
        <w:rPr>
          <w:lang w:val="fr-FR"/>
        </w:rPr>
      </w:pPr>
      <w:r>
        <w:rPr>
          <w:lang w:val="fr-FR"/>
        </w:rPr>
        <w:t>« 4.2</w:t>
      </w:r>
      <w:r>
        <w:rPr>
          <w:lang w:val="fr-FR"/>
        </w:rPr>
        <w:tab/>
      </w:r>
      <w:r>
        <w:rPr>
          <w:strike/>
          <w:lang w:val="fr-FR"/>
        </w:rPr>
        <w:t>Chaque homologation comporte l’attribution d’un numéro d’homologation dont les deux premiers chiffres (actuellement 10, correspondant à la série 10 d’amendements) indiquent la série d’amendements englobant les plus récentes modifications techniques majeures apportées au Règlement à la date de la délivrance de l’homologation.</w:t>
      </w:r>
    </w:p>
    <w:p w14:paraId="1EB5CA08" w14:textId="23170E95" w:rsidR="001B1B4C" w:rsidRPr="00165972" w:rsidRDefault="001B1B4C" w:rsidP="001B1B4C">
      <w:pPr>
        <w:pStyle w:val="SingleTxtG"/>
        <w:ind w:left="2268"/>
        <w:rPr>
          <w:b/>
          <w:bCs/>
          <w:lang w:val="fr-FR"/>
        </w:rPr>
      </w:pPr>
      <w:r>
        <w:rPr>
          <w:lang w:val="fr-FR"/>
        </w:rPr>
        <w:tab/>
      </w:r>
      <w:r w:rsidRPr="006D1303">
        <w:rPr>
          <w:b/>
          <w:bCs/>
          <w:lang w:val="fr-FR"/>
        </w:rPr>
        <w:t>Un numéro d</w:t>
      </w:r>
      <w:r>
        <w:rPr>
          <w:b/>
          <w:bCs/>
          <w:lang w:val="fr-FR"/>
        </w:rPr>
        <w:t>’</w:t>
      </w:r>
      <w:r w:rsidRPr="006D1303">
        <w:rPr>
          <w:b/>
          <w:bCs/>
          <w:lang w:val="fr-FR"/>
        </w:rPr>
        <w:t>homologation de type est attribué à chaque type de véhicule homologué, conformément à l</w:t>
      </w:r>
      <w:r>
        <w:rPr>
          <w:b/>
          <w:bCs/>
          <w:lang w:val="fr-FR"/>
        </w:rPr>
        <w:t>’</w:t>
      </w:r>
      <w:r w:rsidRPr="006D1303">
        <w:rPr>
          <w:b/>
          <w:bCs/>
          <w:lang w:val="fr-FR"/>
        </w:rPr>
        <w:t>annexe</w:t>
      </w:r>
      <w:r>
        <w:rPr>
          <w:b/>
          <w:bCs/>
          <w:lang w:val="fr-FR"/>
        </w:rPr>
        <w:t> </w:t>
      </w:r>
      <w:r w:rsidRPr="006D1303">
        <w:rPr>
          <w:b/>
          <w:bCs/>
          <w:lang w:val="fr-FR"/>
        </w:rPr>
        <w:t>4 de l</w:t>
      </w:r>
      <w:r>
        <w:rPr>
          <w:b/>
          <w:bCs/>
          <w:lang w:val="fr-FR"/>
        </w:rPr>
        <w:t>’</w:t>
      </w:r>
      <w:r w:rsidRPr="006D1303">
        <w:rPr>
          <w:b/>
          <w:bCs/>
          <w:lang w:val="fr-FR"/>
        </w:rPr>
        <w:t xml:space="preserve">Accord de 1958 </w:t>
      </w:r>
      <w:r>
        <w:rPr>
          <w:b/>
          <w:bCs/>
          <w:lang w:val="fr-FR"/>
        </w:rPr>
        <w:t>(E/ECE/TRANS/505/Rev.3 et Amend.1).</w:t>
      </w:r>
    </w:p>
    <w:p w14:paraId="3F1465AE" w14:textId="0767EAA5" w:rsidR="00CB5CD4" w:rsidRDefault="001B1B4C" w:rsidP="001B1B4C">
      <w:pPr>
        <w:pStyle w:val="SingleTxtG"/>
        <w:ind w:left="2268"/>
        <w:rPr>
          <w:lang w:val="fr-FR"/>
        </w:rPr>
      </w:pPr>
      <w:r>
        <w:rPr>
          <w:lang w:val="fr-FR"/>
        </w:rPr>
        <w:t>Une même Partie contractante ne peut attribuer ce numéro ni au même type de véhicule équipé d’autres types de sièges ou d’appuie-tête ou dont les sièges sont ancrés différemment sur le véhicule (qu’ils soient munis ou non d’un appuie-tête), ni à un autre type de véhicule. ».</w:t>
      </w:r>
    </w:p>
    <w:p w14:paraId="38A15E69" w14:textId="77777777" w:rsidR="00CB5CD4" w:rsidRDefault="00CB5CD4">
      <w:pPr>
        <w:suppressAutoHyphens w:val="0"/>
        <w:kinsoku/>
        <w:overflowPunct/>
        <w:autoSpaceDE/>
        <w:autoSpaceDN/>
        <w:adjustRightInd/>
        <w:snapToGrid/>
        <w:spacing w:after="200" w:line="276" w:lineRule="auto"/>
        <w:rPr>
          <w:lang w:val="fr-FR"/>
        </w:rPr>
      </w:pPr>
      <w:r>
        <w:rPr>
          <w:lang w:val="fr-FR"/>
        </w:rPr>
        <w:br w:type="page"/>
      </w:r>
    </w:p>
    <w:p w14:paraId="0C8D96B6" w14:textId="43581098" w:rsidR="001B1B4C" w:rsidRPr="00165972" w:rsidRDefault="001B1B4C" w:rsidP="00CB5CD4">
      <w:pPr>
        <w:pStyle w:val="SingleTxtG"/>
        <w:rPr>
          <w:i/>
          <w:lang w:val="fr-FR"/>
        </w:rPr>
      </w:pPr>
      <w:r>
        <w:rPr>
          <w:i/>
          <w:iCs/>
          <w:lang w:val="fr-FR"/>
        </w:rPr>
        <w:lastRenderedPageBreak/>
        <w:t>Annexe 2</w:t>
      </w:r>
      <w:r>
        <w:rPr>
          <w:lang w:val="fr-FR"/>
        </w:rPr>
        <w:t>, lire</w:t>
      </w:r>
      <w:r w:rsidR="00CB5CD4">
        <w:rPr>
          <w:lang w:val="fr-FR"/>
        </w:rPr>
        <w:t> </w:t>
      </w:r>
      <w:r>
        <w:rPr>
          <w:lang w:val="fr-FR"/>
        </w:rPr>
        <w:t>:</w:t>
      </w:r>
    </w:p>
    <w:p w14:paraId="2EDB7712" w14:textId="4A43E248" w:rsidR="001B1B4C" w:rsidRPr="00165972" w:rsidRDefault="00CB5CD4" w:rsidP="00CB5CD4">
      <w:pPr>
        <w:pStyle w:val="HChG"/>
        <w:rPr>
          <w:lang w:val="fr-FR"/>
        </w:rPr>
      </w:pPr>
      <w:r>
        <w:rPr>
          <w:lang w:val="fr-FR"/>
        </w:rPr>
        <w:tab/>
      </w:r>
      <w:r>
        <w:rPr>
          <w:lang w:val="fr-FR"/>
        </w:rPr>
        <w:tab/>
      </w:r>
      <w:r w:rsidR="001B1B4C">
        <w:rPr>
          <w:lang w:val="fr-FR"/>
        </w:rPr>
        <w:t>« Annexe 2</w:t>
      </w:r>
    </w:p>
    <w:p w14:paraId="3473B4CC" w14:textId="358F5B02" w:rsidR="001B1B4C" w:rsidRPr="00165972" w:rsidRDefault="00CB5CD4" w:rsidP="00CB5CD4">
      <w:pPr>
        <w:pStyle w:val="HChG"/>
        <w:rPr>
          <w:lang w:val="fr-FR"/>
        </w:rPr>
      </w:pPr>
      <w:r>
        <w:rPr>
          <w:lang w:val="fr-FR"/>
        </w:rPr>
        <w:tab/>
      </w:r>
      <w:r>
        <w:rPr>
          <w:lang w:val="fr-FR"/>
        </w:rPr>
        <w:tab/>
      </w:r>
      <w:r w:rsidR="001B1B4C">
        <w:rPr>
          <w:lang w:val="fr-FR"/>
        </w:rPr>
        <w:t>Exemples de marques d’homologation</w:t>
      </w:r>
    </w:p>
    <w:p w14:paraId="55EBC5FB" w14:textId="77777777" w:rsidR="001B1B4C" w:rsidRPr="00165972" w:rsidRDefault="001B1B4C" w:rsidP="001B6E2B">
      <w:pPr>
        <w:pStyle w:val="SingleTxtG"/>
        <w:spacing w:before="240" w:after="0"/>
        <w:rPr>
          <w:lang w:val="fr-FR"/>
        </w:rPr>
      </w:pPr>
      <w:r>
        <w:rPr>
          <w:lang w:val="fr-FR"/>
        </w:rPr>
        <w:t>Modèle A</w:t>
      </w:r>
    </w:p>
    <w:p w14:paraId="51172026" w14:textId="3444D084" w:rsidR="001B1B4C" w:rsidRPr="00165972" w:rsidRDefault="001B1B4C" w:rsidP="001B6E2B">
      <w:pPr>
        <w:pStyle w:val="SingleTxtG"/>
        <w:spacing w:after="60"/>
        <w:rPr>
          <w:lang w:val="fr-FR"/>
        </w:rPr>
      </w:pPr>
      <w:r>
        <w:rPr>
          <w:lang w:val="fr-FR"/>
        </w:rPr>
        <w:t>(Voir les paragraphes 4.4, 4.4.1, 4.4.2 et 4.4.3 du présent Règlement ONU)</w:t>
      </w:r>
    </w:p>
    <w:p w14:paraId="7F393634" w14:textId="3702EC21" w:rsidR="001B1B4C" w:rsidRDefault="001B1B4C" w:rsidP="001B1B4C">
      <w:pPr>
        <w:pStyle w:val="Titre1"/>
        <w:spacing w:after="240"/>
        <w:rPr>
          <w:b/>
          <w:bCs/>
          <w:lang w:val="fr-FR"/>
        </w:rPr>
      </w:pPr>
      <w:r>
        <w:rPr>
          <w:b/>
          <w:bCs/>
          <w:lang w:val="fr-FR"/>
        </w:rPr>
        <w:t>Véhicules ayant au moins un siège muni, ou pouvant être muni, d’un appuie-tête</w:t>
      </w:r>
    </w:p>
    <w:p w14:paraId="699E5C89" w14:textId="062983EF" w:rsidR="00CB5CD4" w:rsidRDefault="00CB5CD4" w:rsidP="00CB5CD4">
      <w:pPr>
        <w:ind w:left="1134"/>
        <w:rPr>
          <w:lang w:val="fr-FR"/>
        </w:rPr>
      </w:pPr>
      <w:r w:rsidRPr="00636FE6">
        <w:rPr>
          <w:noProof/>
          <w:lang w:eastAsia="de-DE"/>
        </w:rPr>
        <mc:AlternateContent>
          <mc:Choice Requires="wps">
            <w:drawing>
              <wp:anchor distT="0" distB="0" distL="114300" distR="114300" simplePos="0" relativeHeight="251664384" behindDoc="0" locked="0" layoutInCell="1" allowOverlap="1" wp14:anchorId="665210CD" wp14:editId="542BE84C">
                <wp:simplePos x="0" y="0"/>
                <wp:positionH relativeFrom="column">
                  <wp:posOffset>2532380</wp:posOffset>
                </wp:positionH>
                <wp:positionV relativeFrom="paragraph">
                  <wp:posOffset>295386</wp:posOffset>
                </wp:positionV>
                <wp:extent cx="2305261" cy="342298"/>
                <wp:effectExtent l="0" t="0" r="0"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261" cy="342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A1DCD" w14:textId="77777777" w:rsidR="00CB5CD4" w:rsidRPr="00CB5CD4" w:rsidRDefault="00CB5CD4" w:rsidP="00CB5CD4">
                            <w:pPr>
                              <w:rPr>
                                <w:rFonts w:ascii="Arial" w:hAnsi="Arial" w:cs="Arial"/>
                                <w:b/>
                                <w:color w:val="FFFFFF" w:themeColor="background1"/>
                                <w:sz w:val="42"/>
                                <w:szCs w:val="42"/>
                              </w:rPr>
                            </w:pPr>
                            <w:r w:rsidRPr="00CB5CD4">
                              <w:rPr>
                                <w:rFonts w:ascii="Arial" w:hAnsi="Arial" w:cs="Arial"/>
                                <w:b/>
                                <w:sz w:val="42"/>
                                <w:szCs w:val="42"/>
                              </w:rPr>
                              <w:t xml:space="preserve">17RA - </w:t>
                            </w:r>
                            <w:r w:rsidRPr="00CB5CD4">
                              <w:rPr>
                                <w:rFonts w:ascii="Arial" w:hAnsi="Arial" w:cs="Arial"/>
                                <w:b/>
                                <w:strike/>
                                <w:sz w:val="42"/>
                                <w:szCs w:val="42"/>
                              </w:rPr>
                              <w:t>10</w:t>
                            </w:r>
                            <w:r w:rsidRPr="00CB5CD4">
                              <w:rPr>
                                <w:rFonts w:ascii="Arial" w:hAnsi="Arial" w:cs="Arial"/>
                                <w:b/>
                                <w:sz w:val="42"/>
                                <w:szCs w:val="42"/>
                              </w:rPr>
                              <w:t>112439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210CD" id="_x0000_t202" coordsize="21600,21600" o:spt="202" path="m,l,21600r21600,l21600,xe">
                <v:stroke joinstyle="miter"/>
                <v:path gradientshapeok="t" o:connecttype="rect"/>
              </v:shapetype>
              <v:shape id="Text Box 21" o:spid="_x0000_s1026" type="#_x0000_t202" style="position:absolute;left:0;text-align:left;margin-left:199.4pt;margin-top:23.25pt;width:181.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" stroked="f">
                <v:textbox>
                  <w:txbxContent>
                    <w:p w14:paraId="674A1DCD" w14:textId="77777777" w:rsidR="00CB5CD4" w:rsidRPr="00CB5CD4" w:rsidRDefault="00CB5CD4" w:rsidP="00CB5CD4">
                      <w:pPr>
                        <w:rPr>
                          <w:rFonts w:ascii="Arial" w:hAnsi="Arial" w:cs="Arial"/>
                          <w:b/>
                          <w:color w:val="FFFFFF" w:themeColor="background1"/>
                          <w:sz w:val="42"/>
                          <w:szCs w:val="42"/>
                        </w:rPr>
                      </w:pPr>
                      <w:r w:rsidRPr="00CB5CD4">
                        <w:rPr>
                          <w:rFonts w:ascii="Arial" w:hAnsi="Arial" w:cs="Arial"/>
                          <w:b/>
                          <w:sz w:val="42"/>
                          <w:szCs w:val="42"/>
                        </w:rPr>
                        <w:t xml:space="preserve">17RA - </w:t>
                      </w:r>
                      <w:r w:rsidRPr="00CB5CD4">
                        <w:rPr>
                          <w:rFonts w:ascii="Arial" w:hAnsi="Arial" w:cs="Arial"/>
                          <w:b/>
                          <w:strike/>
                          <w:sz w:val="42"/>
                          <w:szCs w:val="42"/>
                        </w:rPr>
                        <w:t>10</w:t>
                      </w:r>
                      <w:r w:rsidRPr="00CB5CD4">
                        <w:rPr>
                          <w:rFonts w:ascii="Arial" w:hAnsi="Arial" w:cs="Arial"/>
                          <w:b/>
                          <w:sz w:val="42"/>
                          <w:szCs w:val="42"/>
                        </w:rPr>
                        <w:t>112439</w:t>
                      </w:r>
                    </w:p>
                  </w:txbxContent>
                </v:textbox>
              </v:shape>
            </w:pict>
          </mc:Fallback>
        </mc:AlternateContent>
      </w:r>
      <w:r>
        <w:rPr>
          <w:noProof/>
          <w:lang w:val="fr-FR"/>
        </w:rPr>
        <w:drawing>
          <wp:inline distT="0" distB="0" distL="0" distR="0" wp14:anchorId="4D7E23E6" wp14:editId="633D09DA">
            <wp:extent cx="4639310" cy="956945"/>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310" cy="956945"/>
                    </a:xfrm>
                    <a:prstGeom prst="rect">
                      <a:avLst/>
                    </a:prstGeom>
                    <a:noFill/>
                  </pic:spPr>
                </pic:pic>
              </a:graphicData>
            </a:graphic>
          </wp:inline>
        </w:drawing>
      </w:r>
    </w:p>
    <w:p w14:paraId="026E0A4A" w14:textId="77777777" w:rsidR="001B1B4C" w:rsidRDefault="001B1B4C" w:rsidP="001B6E2B">
      <w:pPr>
        <w:pStyle w:val="SingleTxtG"/>
        <w:jc w:val="right"/>
        <w:rPr>
          <w:lang w:val="fr-FR"/>
        </w:rPr>
      </w:pPr>
      <w:r>
        <w:rPr>
          <w:lang w:val="fr-FR"/>
        </w:rPr>
        <w:tab/>
        <w:t>a = 8 mm min.</w:t>
      </w:r>
    </w:p>
    <w:p w14:paraId="528D5C79" w14:textId="1CB8B275" w:rsidR="001B1B4C" w:rsidRPr="00165972" w:rsidRDefault="001B1B4C" w:rsidP="001B6E2B">
      <w:pPr>
        <w:pStyle w:val="SingleTxtG"/>
        <w:ind w:firstLine="567"/>
        <w:rPr>
          <w:lang w:val="fr-FR"/>
        </w:rPr>
      </w:pPr>
      <w:r>
        <w:rPr>
          <w:lang w:val="fr-FR"/>
        </w:rPr>
        <w:tab/>
        <w:t>La marque d’homologation ci-dessus, apposée sur un véhicule, indique que le type de ce véhicule a été homologué aux Pays-Bas (E 4), en ce qui concerne la résistance des sièges munis, ou pouvant être munis, d’un appuie-tête, ainsi que les caractéristiques de ces appuie</w:t>
      </w:r>
      <w:r w:rsidR="001B6E2B">
        <w:rPr>
          <w:lang w:val="fr-FR"/>
        </w:rPr>
        <w:noBreakHyphen/>
      </w:r>
      <w:r>
        <w:rPr>
          <w:lang w:val="fr-FR"/>
        </w:rPr>
        <w:t>tête, en application du Règlement ONU n</w:t>
      </w:r>
      <w:r>
        <w:rPr>
          <w:vertAlign w:val="superscript"/>
          <w:lang w:val="fr-FR"/>
        </w:rPr>
        <w:t>o</w:t>
      </w:r>
      <w:r w:rsidR="001B6E2B">
        <w:rPr>
          <w:lang w:val="fr-FR"/>
        </w:rPr>
        <w:t> </w:t>
      </w:r>
      <w:r>
        <w:rPr>
          <w:lang w:val="fr-FR"/>
        </w:rPr>
        <w:t xml:space="preserve">17, sous le numéro d’homologation </w:t>
      </w:r>
      <w:r>
        <w:rPr>
          <w:strike/>
          <w:lang w:val="fr-FR"/>
        </w:rPr>
        <w:t>10</w:t>
      </w:r>
      <w:r>
        <w:rPr>
          <w:b/>
          <w:bCs/>
          <w:lang w:val="fr-FR"/>
        </w:rPr>
        <w:t>11</w:t>
      </w:r>
      <w:r>
        <w:rPr>
          <w:lang w:val="fr-FR"/>
        </w:rPr>
        <w:t>2439. Les deux premiers chiffres du numéro d’homologation signifient que le Règlement ONU n</w:t>
      </w:r>
      <w:r>
        <w:rPr>
          <w:vertAlign w:val="superscript"/>
          <w:lang w:val="fr-FR"/>
        </w:rPr>
        <w:t>o</w:t>
      </w:r>
      <w:r>
        <w:rPr>
          <w:lang w:val="fr-FR"/>
        </w:rPr>
        <w:t xml:space="preserve"> 17 comprenait la série </w:t>
      </w:r>
      <w:r>
        <w:rPr>
          <w:strike/>
          <w:lang w:val="fr-FR"/>
        </w:rPr>
        <w:t>10</w:t>
      </w:r>
      <w:r>
        <w:rPr>
          <w:b/>
          <w:bCs/>
          <w:lang w:val="fr-FR"/>
        </w:rPr>
        <w:t>11</w:t>
      </w:r>
      <w:r>
        <w:rPr>
          <w:lang w:val="fr-FR"/>
        </w:rPr>
        <w:t xml:space="preserve"> d’amendements lorsque l’homologation a été délivrée. La</w:t>
      </w:r>
      <w:r w:rsidR="001B6E2B">
        <w:rPr>
          <w:lang w:val="fr-FR"/>
        </w:rPr>
        <w:t xml:space="preserve"> </w:t>
      </w:r>
      <w:r>
        <w:rPr>
          <w:lang w:val="fr-FR"/>
        </w:rPr>
        <w:t>marque d’homologation ci-dessus indique aussi que le type de véhicule a été homologué en application du Règlement ONU n</w:t>
      </w:r>
      <w:r>
        <w:rPr>
          <w:vertAlign w:val="superscript"/>
          <w:lang w:val="fr-FR"/>
        </w:rPr>
        <w:t>o</w:t>
      </w:r>
      <w:r>
        <w:rPr>
          <w:lang w:val="fr-FR"/>
        </w:rPr>
        <w:t> 17 en ce qui concerne également la résistance des autres sièges du véhicule qui ne sont pas munis, ou ne peuvent être munis, d’un appuie-tête.</w:t>
      </w:r>
    </w:p>
    <w:p w14:paraId="14217284" w14:textId="77777777" w:rsidR="001B1B4C" w:rsidRPr="00165972" w:rsidRDefault="001B1B4C" w:rsidP="001B1B4C">
      <w:pPr>
        <w:pStyle w:val="SingleTxtG"/>
        <w:spacing w:before="240" w:after="0"/>
        <w:rPr>
          <w:lang w:val="fr-FR"/>
        </w:rPr>
      </w:pPr>
      <w:r>
        <w:rPr>
          <w:lang w:val="fr-FR"/>
        </w:rPr>
        <w:t>Modèle B</w:t>
      </w:r>
    </w:p>
    <w:p w14:paraId="6232F34A" w14:textId="09A3C388" w:rsidR="001B1B4C" w:rsidRPr="00165972" w:rsidRDefault="001B1B4C" w:rsidP="001B6E2B">
      <w:pPr>
        <w:pStyle w:val="SingleTxtG"/>
        <w:spacing w:after="60"/>
        <w:rPr>
          <w:lang w:val="fr-FR"/>
        </w:rPr>
      </w:pPr>
      <w:r>
        <w:rPr>
          <w:lang w:val="fr-FR"/>
        </w:rPr>
        <w:t>(Voir les paragraphes 4.4, 4.4.1 et 4.4.2 du présent Règlement ONU)</w:t>
      </w:r>
    </w:p>
    <w:p w14:paraId="57AC46B5" w14:textId="77777777" w:rsidR="001B1B4C" w:rsidRDefault="001B1B4C" w:rsidP="001B1B4C">
      <w:pPr>
        <w:pStyle w:val="Titre1"/>
        <w:spacing w:after="240"/>
        <w:rPr>
          <w:b/>
          <w:lang w:val="fr-FR"/>
        </w:rPr>
      </w:pPr>
      <w:r>
        <w:rPr>
          <w:b/>
          <w:bCs/>
          <w:lang w:val="fr-FR"/>
        </w:rPr>
        <w:t>Véhicules équipés de sièges non munis, ni ne pouvant être munis, d’un appuie-tête</w:t>
      </w:r>
    </w:p>
    <w:p w14:paraId="28399C43" w14:textId="77777777" w:rsidR="001B1B4C" w:rsidRDefault="001B1B4C" w:rsidP="001B1B4C">
      <w:pPr>
        <w:pStyle w:val="SingleTxtG"/>
      </w:pPr>
      <w:r w:rsidRPr="00636FE6">
        <w:rPr>
          <w:noProof/>
          <w:lang w:eastAsia="de-DE"/>
        </w:rPr>
        <mc:AlternateContent>
          <mc:Choice Requires="wps">
            <w:drawing>
              <wp:anchor distT="0" distB="0" distL="114300" distR="114300" simplePos="0" relativeHeight="251659264" behindDoc="0" locked="0" layoutInCell="1" allowOverlap="1" wp14:anchorId="4517CC4E" wp14:editId="3D05B516">
                <wp:simplePos x="0" y="0"/>
                <wp:positionH relativeFrom="column">
                  <wp:posOffset>2642235</wp:posOffset>
                </wp:positionH>
                <wp:positionV relativeFrom="paragraph">
                  <wp:posOffset>245745</wp:posOffset>
                </wp:positionV>
                <wp:extent cx="2227580" cy="457200"/>
                <wp:effectExtent l="0" t="0" r="127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97A1B" w14:textId="77777777" w:rsidR="001B1B4C" w:rsidRPr="000B201A" w:rsidRDefault="001B1B4C" w:rsidP="001B1B4C">
                            <w:pPr>
                              <w:rPr>
                                <w:rFonts w:ascii="Arial" w:hAnsi="Arial" w:cs="Arial"/>
                                <w:b/>
                                <w:sz w:val="160"/>
                                <w:szCs w:val="160"/>
                              </w:rPr>
                            </w:pPr>
                            <w:r w:rsidRPr="000B201A">
                              <w:rPr>
                                <w:b/>
                                <w:bCs/>
                                <w:sz w:val="44"/>
                                <w:szCs w:val="44"/>
                                <w:lang w:val="fr-FR"/>
                              </w:rPr>
                              <w:t xml:space="preserve">17R - </w:t>
                            </w:r>
                            <w:r w:rsidRPr="000B201A">
                              <w:rPr>
                                <w:b/>
                                <w:bCs/>
                                <w:strike/>
                                <w:sz w:val="44"/>
                                <w:szCs w:val="44"/>
                                <w:lang w:val="fr-FR"/>
                              </w:rPr>
                              <w:t>10</w:t>
                            </w:r>
                            <w:r w:rsidRPr="000B201A">
                              <w:rPr>
                                <w:b/>
                                <w:bCs/>
                                <w:sz w:val="44"/>
                                <w:szCs w:val="44"/>
                                <w:lang w:val="fr-FR"/>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517CC4E" id="_x0000_s1027" type="#_x0000_t202" style="position:absolute;left:0;text-align:left;margin-left:208.05pt;margin-top:19.35pt;width:175.4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" stroked="f">
                <v:textbox>
                  <w:txbxContent>
                    <w:p w14:paraId="03C97A1B" w14:textId="77777777" w:rsidR="001B1B4C" w:rsidRPr="000B201A" w:rsidRDefault="001B1B4C" w:rsidP="001B1B4C">
                      <w:pPr>
                        <w:rPr>
                          <w:rFonts w:ascii="Arial" w:hAnsi="Arial" w:cs="Arial"/>
                          <w:b/>
                          <w:sz w:val="160"/>
                          <w:szCs w:val="160"/>
                        </w:rPr>
                      </w:pPr>
                      <w:r w:rsidRPr="000B201A">
                        <w:rPr>
                          <w:b/>
                          <w:bCs/>
                          <w:sz w:val="44"/>
                          <w:szCs w:val="44"/>
                          <w:lang w:val="fr-FR"/>
                        </w:rPr>
                        <w:t xml:space="preserve">17R - </w:t>
                      </w:r>
                      <w:r w:rsidRPr="000B201A">
                        <w:rPr>
                          <w:b/>
                          <w:bCs/>
                          <w:strike/>
                          <w:sz w:val="44"/>
                          <w:szCs w:val="44"/>
                          <w:lang w:val="fr-FR"/>
                        </w:rPr>
                        <w:t>10</w:t>
                      </w:r>
                      <w:r w:rsidRPr="000B201A">
                        <w:rPr>
                          <w:b/>
                          <w:bCs/>
                          <w:sz w:val="44"/>
                          <w:szCs w:val="44"/>
                          <w:lang w:val="fr-FR"/>
                        </w:rPr>
                        <w:t>112439</w:t>
                      </w:r>
                    </w:p>
                  </w:txbxContent>
                </v:textbox>
              </v:shape>
            </w:pict>
          </mc:Fallback>
        </mc:AlternateContent>
      </w:r>
      <w:r w:rsidRPr="00636FE6">
        <w:rPr>
          <w:noProof/>
          <w:lang w:eastAsia="de-DE"/>
        </w:rPr>
        <w:drawing>
          <wp:inline distT="0" distB="0" distL="0" distR="0" wp14:anchorId="1F00E449" wp14:editId="00428F74">
            <wp:extent cx="4601210" cy="989330"/>
            <wp:effectExtent l="0" t="0" r="889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210" cy="989330"/>
                    </a:xfrm>
                    <a:prstGeom prst="rect">
                      <a:avLst/>
                    </a:prstGeom>
                    <a:noFill/>
                    <a:ln>
                      <a:noFill/>
                    </a:ln>
                  </pic:spPr>
                </pic:pic>
              </a:graphicData>
            </a:graphic>
          </wp:inline>
        </w:drawing>
      </w:r>
    </w:p>
    <w:p w14:paraId="452C82C4" w14:textId="77777777" w:rsidR="001B1B4C" w:rsidRDefault="001B1B4C" w:rsidP="001B6E2B">
      <w:pPr>
        <w:pStyle w:val="SingleTxtG"/>
        <w:jc w:val="right"/>
        <w:rPr>
          <w:lang w:val="fr-FR"/>
        </w:rPr>
      </w:pPr>
      <w:r>
        <w:rPr>
          <w:lang w:val="fr-FR"/>
        </w:rPr>
        <w:tab/>
        <w:t>a = 8 mm min.</w:t>
      </w:r>
    </w:p>
    <w:p w14:paraId="57A17D88" w14:textId="1C2512A9" w:rsidR="001B1B4C" w:rsidRPr="00165972" w:rsidRDefault="001B1B4C" w:rsidP="001B6E2B">
      <w:pPr>
        <w:pStyle w:val="SingleTxtG"/>
        <w:ind w:firstLine="567"/>
        <w:rPr>
          <w:lang w:val="fr-FR"/>
        </w:rPr>
      </w:pPr>
      <w:r>
        <w:rPr>
          <w:lang w:val="fr-FR"/>
        </w:rPr>
        <w:tab/>
        <w:t>La marque d’homologation ci-dessus, apposée sur un véhicule, indique que le type de ce véhicule a des sièges non munis, ni ne pouvant être munis, d’un appuie-tête, et qu’il a été homologué aux Pays-Bas (E 4), en ce qui concerne la résistance des sièges et de leur ancrage, en application du Règlement ONU n</w:t>
      </w:r>
      <w:r w:rsidRPr="008C477C">
        <w:rPr>
          <w:vertAlign w:val="superscript"/>
          <w:lang w:val="fr-FR"/>
        </w:rPr>
        <w:t>o</w:t>
      </w:r>
      <w:r w:rsidR="001B6E2B">
        <w:rPr>
          <w:lang w:val="fr-FR"/>
        </w:rPr>
        <w:t> </w:t>
      </w:r>
      <w:r>
        <w:rPr>
          <w:lang w:val="fr-FR"/>
        </w:rPr>
        <w:t xml:space="preserve">17, sous le numéro d’homologation </w:t>
      </w:r>
      <w:r>
        <w:rPr>
          <w:strike/>
          <w:lang w:val="fr-FR"/>
        </w:rPr>
        <w:t>10</w:t>
      </w:r>
      <w:r>
        <w:rPr>
          <w:b/>
          <w:bCs/>
          <w:lang w:val="fr-FR"/>
        </w:rPr>
        <w:t>11</w:t>
      </w:r>
      <w:r>
        <w:rPr>
          <w:lang w:val="fr-FR"/>
        </w:rPr>
        <w:t>2439. Les deux premiers chiffres du numéro d’homologation signifient que le Règlement ONU n</w:t>
      </w:r>
      <w:r w:rsidRPr="008541F0">
        <w:rPr>
          <w:vertAlign w:val="superscript"/>
          <w:lang w:val="fr-FR"/>
        </w:rPr>
        <w:t>o</w:t>
      </w:r>
      <w:r>
        <w:rPr>
          <w:lang w:val="fr-FR"/>
        </w:rPr>
        <w:t xml:space="preserve"> 17 comprenait la série </w:t>
      </w:r>
      <w:r>
        <w:rPr>
          <w:strike/>
          <w:lang w:val="fr-FR"/>
        </w:rPr>
        <w:t>10</w:t>
      </w:r>
      <w:r>
        <w:rPr>
          <w:b/>
          <w:bCs/>
          <w:lang w:val="fr-FR"/>
        </w:rPr>
        <w:t>11</w:t>
      </w:r>
      <w:r>
        <w:rPr>
          <w:lang w:val="fr-FR"/>
        </w:rPr>
        <w:t xml:space="preserve"> d’amendements lorsque l’homologation a été délivrée.</w:t>
      </w:r>
    </w:p>
    <w:p w14:paraId="6959AC8F" w14:textId="77777777" w:rsidR="001B1B4C" w:rsidRPr="00165972" w:rsidRDefault="001B1B4C" w:rsidP="001B6E2B">
      <w:pPr>
        <w:pStyle w:val="SingleTxtG"/>
        <w:keepNext/>
        <w:keepLines/>
        <w:spacing w:before="240" w:after="0"/>
        <w:rPr>
          <w:lang w:val="fr-FR"/>
        </w:rPr>
      </w:pPr>
      <w:r>
        <w:rPr>
          <w:lang w:val="fr-FR"/>
        </w:rPr>
        <w:lastRenderedPageBreak/>
        <w:t>Modèle C</w:t>
      </w:r>
    </w:p>
    <w:p w14:paraId="303DE834" w14:textId="51D27860" w:rsidR="001B1B4C" w:rsidRPr="00165972" w:rsidRDefault="001B1B4C" w:rsidP="001B6E2B">
      <w:pPr>
        <w:pStyle w:val="SingleTxtG"/>
        <w:keepNext/>
        <w:keepLines/>
        <w:spacing w:after="60"/>
        <w:rPr>
          <w:lang w:val="fr-FR"/>
        </w:rPr>
      </w:pPr>
      <w:r>
        <w:rPr>
          <w:lang w:val="fr-FR"/>
        </w:rPr>
        <w:t>(Voir le paragraphe</w:t>
      </w:r>
      <w:r w:rsidR="001B6E2B">
        <w:rPr>
          <w:lang w:val="fr-FR"/>
        </w:rPr>
        <w:t> </w:t>
      </w:r>
      <w:r>
        <w:rPr>
          <w:lang w:val="fr-FR"/>
        </w:rPr>
        <w:t>4.5 du présent Règlement ONU)</w:t>
      </w:r>
    </w:p>
    <w:p w14:paraId="5201EF34" w14:textId="77777777" w:rsidR="001B1B4C" w:rsidRDefault="001B1B4C" w:rsidP="001B6E2B">
      <w:pPr>
        <w:pStyle w:val="Titre1"/>
        <w:spacing w:after="240"/>
        <w:rPr>
          <w:b/>
          <w:lang w:val="fr-FR"/>
        </w:rPr>
      </w:pPr>
      <w:r>
        <w:rPr>
          <w:b/>
          <w:bCs/>
          <w:lang w:val="fr-FR"/>
        </w:rPr>
        <w:t>Véhicules ayant au moins un siège muni, ou pouvant être muni, d’un appuie-tête</w:t>
      </w:r>
    </w:p>
    <w:p w14:paraId="22B62118" w14:textId="77777777" w:rsidR="001B1B4C" w:rsidRDefault="001B1B4C" w:rsidP="001B1B4C">
      <w:pPr>
        <w:keepNext/>
        <w:keepLines/>
        <w:spacing w:after="240"/>
        <w:ind w:left="1134"/>
        <w:rPr>
          <w:b/>
        </w:rPr>
      </w:pPr>
      <w:r w:rsidRPr="00636FE6">
        <w:rPr>
          <w:noProof/>
          <w:lang w:eastAsia="de-DE"/>
        </w:rPr>
        <mc:AlternateContent>
          <mc:Choice Requires="wps">
            <w:drawing>
              <wp:anchor distT="0" distB="0" distL="114300" distR="114300" simplePos="0" relativeHeight="251661312" behindDoc="0" locked="0" layoutInCell="1" allowOverlap="1" wp14:anchorId="1485FAD5" wp14:editId="06E5DFD8">
                <wp:simplePos x="0" y="0"/>
                <wp:positionH relativeFrom="column">
                  <wp:posOffset>3743569</wp:posOffset>
                </wp:positionH>
                <wp:positionV relativeFrom="paragraph">
                  <wp:posOffset>148978</wp:posOffset>
                </wp:positionV>
                <wp:extent cx="1382434" cy="306070"/>
                <wp:effectExtent l="0" t="0" r="8255"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434"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09D4A" w14:textId="77777777" w:rsidR="001B1B4C" w:rsidRPr="001B6E2B" w:rsidRDefault="001B1B4C" w:rsidP="001B1B4C">
                            <w:pPr>
                              <w:rPr>
                                <w:rFonts w:ascii="Arial" w:hAnsi="Arial" w:cs="Arial"/>
                                <w:b/>
                                <w:sz w:val="36"/>
                                <w:szCs w:val="36"/>
                              </w:rPr>
                            </w:pPr>
                            <w:r w:rsidRPr="001B6E2B">
                              <w:rPr>
                                <w:rFonts w:ascii="Arial" w:hAnsi="Arial" w:cs="Arial"/>
                                <w:b/>
                                <w:bCs/>
                                <w:strike/>
                                <w:sz w:val="36"/>
                                <w:szCs w:val="36"/>
                                <w:lang w:val="fr-FR"/>
                              </w:rPr>
                              <w:t>10</w:t>
                            </w:r>
                            <w:r w:rsidRPr="001B6E2B">
                              <w:rPr>
                                <w:rFonts w:ascii="Arial" w:hAnsi="Arial" w:cs="Arial"/>
                                <w:b/>
                                <w:bCs/>
                                <w:sz w:val="36"/>
                                <w:szCs w:val="36"/>
                                <w:lang w:val="fr-FR"/>
                              </w:rPr>
                              <w:t>11 2439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5FAD5" id="_x0000_s1028" type="#_x0000_t202" style="position:absolute;left:0;text-align:left;margin-left:294.75pt;margin-top:11.75pt;width:108.8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" stroked="f">
                <v:textbox>
                  <w:txbxContent>
                    <w:p w14:paraId="29909D4A" w14:textId="77777777" w:rsidR="001B1B4C" w:rsidRPr="001B6E2B" w:rsidRDefault="001B1B4C" w:rsidP="001B1B4C">
                      <w:pPr>
                        <w:rPr>
                          <w:rFonts w:ascii="Arial" w:hAnsi="Arial" w:cs="Arial"/>
                          <w:b/>
                          <w:sz w:val="36"/>
                          <w:szCs w:val="36"/>
                        </w:rPr>
                      </w:pPr>
                      <w:r w:rsidRPr="001B6E2B">
                        <w:rPr>
                          <w:rFonts w:ascii="Arial" w:hAnsi="Arial" w:cs="Arial"/>
                          <w:b/>
                          <w:bCs/>
                          <w:strike/>
                          <w:sz w:val="36"/>
                          <w:szCs w:val="36"/>
                          <w:lang w:val="fr-FR"/>
                        </w:rPr>
                        <w:t>10</w:t>
                      </w:r>
                      <w:r w:rsidRPr="001B6E2B">
                        <w:rPr>
                          <w:rFonts w:ascii="Arial" w:hAnsi="Arial" w:cs="Arial"/>
                          <w:b/>
                          <w:bCs/>
                          <w:sz w:val="36"/>
                          <w:szCs w:val="36"/>
                          <w:lang w:val="fr-FR"/>
                        </w:rPr>
                        <w:t>11 2439</w:t>
                      </w:r>
                    </w:p>
                  </w:txbxContent>
                </v:textbox>
              </v:shape>
            </w:pict>
          </mc:Fallback>
        </mc:AlternateContent>
      </w:r>
      <w:r w:rsidRPr="00636FE6">
        <w:rPr>
          <w:noProof/>
          <w:lang w:eastAsia="de-DE"/>
        </w:rPr>
        <w:drawing>
          <wp:inline distT="0" distB="0" distL="0" distR="0" wp14:anchorId="28B3E96A" wp14:editId="017CE6D1">
            <wp:extent cx="5389200" cy="1047600"/>
            <wp:effectExtent l="0" t="0" r="254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200" cy="1047600"/>
                    </a:xfrm>
                    <a:prstGeom prst="rect">
                      <a:avLst/>
                    </a:prstGeom>
                    <a:noFill/>
                    <a:ln>
                      <a:noFill/>
                    </a:ln>
                  </pic:spPr>
                </pic:pic>
              </a:graphicData>
            </a:graphic>
          </wp:inline>
        </w:drawing>
      </w:r>
    </w:p>
    <w:p w14:paraId="402049F2" w14:textId="77777777" w:rsidR="001B1B4C" w:rsidRDefault="001B1B4C" w:rsidP="001B6E2B">
      <w:pPr>
        <w:pStyle w:val="SingleTxtG"/>
        <w:jc w:val="right"/>
        <w:rPr>
          <w:lang w:val="fr-FR"/>
        </w:rPr>
      </w:pPr>
      <w:r>
        <w:rPr>
          <w:lang w:val="fr-FR"/>
        </w:rPr>
        <w:tab/>
        <w:t>a = 8 mm min.</w:t>
      </w:r>
    </w:p>
    <w:p w14:paraId="31C1938B" w14:textId="33103BB0" w:rsidR="001B1B4C" w:rsidRPr="00165972" w:rsidRDefault="001B1B4C" w:rsidP="001B6E2B">
      <w:pPr>
        <w:pStyle w:val="SingleTxtG"/>
        <w:ind w:firstLine="567"/>
        <w:rPr>
          <w:lang w:val="fr-FR"/>
        </w:rPr>
      </w:pPr>
      <w:r>
        <w:rPr>
          <w:lang w:val="fr-FR"/>
        </w:rPr>
        <w:tab/>
        <w:t>La marque d’homologation ci-dessus, apposée sur un véhicule, indique que le type de ce véhicule a au moins un siège muni ou pouvant être muni d’un appuie-tête et qu’il a été homologué aux Pays-Bas (E 4), en application des Règlements ONU n</w:t>
      </w:r>
      <w:r>
        <w:rPr>
          <w:vertAlign w:val="superscript"/>
          <w:lang w:val="fr-FR"/>
        </w:rPr>
        <w:t>os</w:t>
      </w:r>
      <w:r>
        <w:rPr>
          <w:lang w:val="fr-FR"/>
        </w:rPr>
        <w:t> 17 et 33</w:t>
      </w:r>
      <w:r>
        <w:rPr>
          <w:rStyle w:val="Appelnotedebasdep"/>
          <w:lang w:val="fr-FR"/>
        </w:rPr>
        <w:footnoteReference w:customMarkFollows="1" w:id="4"/>
        <w:t>1</w:t>
      </w:r>
      <w:r>
        <w:rPr>
          <w:lang w:val="fr-FR"/>
        </w:rPr>
        <w:t>.</w:t>
      </w:r>
    </w:p>
    <w:p w14:paraId="6A461209" w14:textId="2EC6365E" w:rsidR="001B1B4C" w:rsidRPr="00165972" w:rsidRDefault="001B1B4C" w:rsidP="001B6E2B">
      <w:pPr>
        <w:pStyle w:val="SingleTxtG"/>
        <w:ind w:firstLine="567"/>
        <w:rPr>
          <w:lang w:val="fr-FR"/>
        </w:rPr>
      </w:pPr>
      <w:r>
        <w:rPr>
          <w:lang w:val="fr-FR"/>
        </w:rPr>
        <w:tab/>
        <w:t>Les deux premiers chiffres des numéros d’homologation signifient qu’aux dates auxquelles les homologations respectives ont été délivrées, le Règlement ONU n</w:t>
      </w:r>
      <w:r>
        <w:rPr>
          <w:vertAlign w:val="superscript"/>
          <w:lang w:val="fr-FR"/>
        </w:rPr>
        <w:t>o</w:t>
      </w:r>
      <w:r w:rsidR="001B6E2B">
        <w:rPr>
          <w:lang w:val="fr-FR"/>
        </w:rPr>
        <w:t> </w:t>
      </w:r>
      <w:r>
        <w:rPr>
          <w:lang w:val="fr-FR"/>
        </w:rPr>
        <w:t xml:space="preserve">17 comprenait la série </w:t>
      </w:r>
      <w:r>
        <w:rPr>
          <w:strike/>
          <w:lang w:val="fr-FR"/>
        </w:rPr>
        <w:t>10</w:t>
      </w:r>
      <w:r>
        <w:rPr>
          <w:b/>
          <w:bCs/>
          <w:lang w:val="fr-FR"/>
        </w:rPr>
        <w:t>11</w:t>
      </w:r>
      <w:r>
        <w:rPr>
          <w:lang w:val="fr-FR"/>
        </w:rPr>
        <w:t xml:space="preserve"> d’amendements alors que le Règlement ONU n</w:t>
      </w:r>
      <w:r w:rsidRPr="008541F0">
        <w:rPr>
          <w:vertAlign w:val="superscript"/>
          <w:lang w:val="fr-FR"/>
        </w:rPr>
        <w:t>o</w:t>
      </w:r>
      <w:r w:rsidR="001B6E2B">
        <w:rPr>
          <w:lang w:val="fr-FR"/>
        </w:rPr>
        <w:t> </w:t>
      </w:r>
      <w:r>
        <w:rPr>
          <w:lang w:val="fr-FR"/>
        </w:rPr>
        <w:t>33 était encore sous sa forme originale. La marque d’homologation ci-dessus indique aussi que le type de véhicule a été homologué en application du Règlement ONU n</w:t>
      </w:r>
      <w:r>
        <w:rPr>
          <w:vertAlign w:val="superscript"/>
          <w:lang w:val="fr-FR"/>
        </w:rPr>
        <w:t>o</w:t>
      </w:r>
      <w:r w:rsidR="001B6E2B">
        <w:rPr>
          <w:lang w:val="fr-FR"/>
        </w:rPr>
        <w:t> </w:t>
      </w:r>
      <w:r>
        <w:rPr>
          <w:lang w:val="fr-FR"/>
        </w:rPr>
        <w:t>17 en ce qui concerne également la résistance des autres sièges du véhicule qui ne sont pas munis, ou ne peuvent être munis, d’un appuie-tête.</w:t>
      </w:r>
    </w:p>
    <w:p w14:paraId="29AB9836" w14:textId="77777777" w:rsidR="001B1B4C" w:rsidRPr="00165972" w:rsidRDefault="001B1B4C" w:rsidP="001B6E2B">
      <w:pPr>
        <w:pStyle w:val="SingleTxtG"/>
        <w:keepNext/>
        <w:keepLines/>
        <w:spacing w:before="240" w:after="0"/>
        <w:rPr>
          <w:lang w:val="fr-FR"/>
        </w:rPr>
      </w:pPr>
      <w:r>
        <w:rPr>
          <w:lang w:val="fr-FR"/>
        </w:rPr>
        <w:t>Modèle D</w:t>
      </w:r>
    </w:p>
    <w:p w14:paraId="36FB0D5C" w14:textId="14CDC8CF" w:rsidR="001B1B4C" w:rsidRPr="00165972" w:rsidRDefault="001B1B4C" w:rsidP="001B6E2B">
      <w:pPr>
        <w:pStyle w:val="SingleTxtG"/>
        <w:keepNext/>
        <w:keepLines/>
        <w:spacing w:after="60"/>
        <w:rPr>
          <w:lang w:val="fr-FR"/>
        </w:rPr>
      </w:pPr>
      <w:r>
        <w:rPr>
          <w:lang w:val="fr-FR"/>
        </w:rPr>
        <w:t>(Voir le paragraphe 4.5 du présent Règlement ONU)</w:t>
      </w:r>
    </w:p>
    <w:p w14:paraId="583C4FAC" w14:textId="77777777" w:rsidR="001B1B4C" w:rsidRDefault="001B1B4C" w:rsidP="001B1B4C">
      <w:pPr>
        <w:pStyle w:val="Titre1"/>
        <w:spacing w:after="240"/>
        <w:rPr>
          <w:b/>
          <w:lang w:val="fr-FR"/>
        </w:rPr>
      </w:pPr>
      <w:r>
        <w:rPr>
          <w:b/>
          <w:bCs/>
          <w:lang w:val="fr-FR"/>
        </w:rPr>
        <w:t>Véhicules équipés de sièges non munis, ni ne pouvant être munis, d’un appuie-tête</w:t>
      </w:r>
    </w:p>
    <w:p w14:paraId="1CC95DBE" w14:textId="77777777" w:rsidR="001B1B4C" w:rsidRPr="00165972" w:rsidRDefault="001B1B4C" w:rsidP="001B1B4C">
      <w:pPr>
        <w:pStyle w:val="SingleTxtG"/>
        <w:rPr>
          <w:lang w:val="fr-FR"/>
        </w:rPr>
      </w:pPr>
    </w:p>
    <w:p w14:paraId="741DF6D8" w14:textId="77777777" w:rsidR="001B1B4C" w:rsidRDefault="001B1B4C" w:rsidP="001B1B4C">
      <w:pPr>
        <w:pStyle w:val="SingleTxtG"/>
      </w:pPr>
      <w:r w:rsidRPr="00636FE6">
        <w:rPr>
          <w:noProof/>
          <w:lang w:eastAsia="de-DE"/>
        </w:rPr>
        <mc:AlternateContent>
          <mc:Choice Requires="wps">
            <w:drawing>
              <wp:anchor distT="0" distB="0" distL="114300" distR="114300" simplePos="0" relativeHeight="251662336" behindDoc="0" locked="0" layoutInCell="1" allowOverlap="1" wp14:anchorId="579CA64C" wp14:editId="2FA48DD9">
                <wp:simplePos x="0" y="0"/>
                <wp:positionH relativeFrom="column">
                  <wp:posOffset>3770630</wp:posOffset>
                </wp:positionH>
                <wp:positionV relativeFrom="paragraph">
                  <wp:posOffset>125730</wp:posOffset>
                </wp:positionV>
                <wp:extent cx="1266825" cy="306070"/>
                <wp:effectExtent l="0" t="0" r="952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173EE" w14:textId="77777777" w:rsidR="001B1B4C" w:rsidRPr="007A1AB5" w:rsidRDefault="001B1B4C" w:rsidP="001B1B4C">
                            <w:pPr>
                              <w:rPr>
                                <w:rFonts w:ascii="Arial" w:hAnsi="Arial" w:cs="Arial"/>
                                <w:b/>
                                <w:sz w:val="56"/>
                                <w:szCs w:val="56"/>
                              </w:rPr>
                            </w:pPr>
                            <w:r w:rsidRPr="007A1AB5">
                              <w:rPr>
                                <w:rFonts w:ascii="Arial" w:hAnsi="Arial" w:cs="Arial"/>
                                <w:b/>
                                <w:bCs/>
                                <w:strike/>
                                <w:sz w:val="36"/>
                                <w:szCs w:val="36"/>
                                <w:lang w:val="fr-FR"/>
                              </w:rPr>
                              <w:t>10</w:t>
                            </w:r>
                            <w:r w:rsidRPr="007A1AB5">
                              <w:rPr>
                                <w:rFonts w:ascii="Arial" w:hAnsi="Arial" w:cs="Arial"/>
                                <w:b/>
                                <w:bCs/>
                                <w:sz w:val="36"/>
                                <w:szCs w:val="36"/>
                                <w:lang w:val="fr-FR"/>
                              </w:rPr>
                              <w:t>11 2439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CA64C" id="_x0000_s1029" type="#_x0000_t202" style="position:absolute;left:0;text-align:left;margin-left:296.9pt;margin-top:9.9pt;width:99.7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" stroked="f">
                <v:textbox>
                  <w:txbxContent>
                    <w:p w14:paraId="083173EE" w14:textId="77777777" w:rsidR="001B1B4C" w:rsidRPr="007A1AB5" w:rsidRDefault="001B1B4C" w:rsidP="001B1B4C">
                      <w:pPr>
                        <w:rPr>
                          <w:rFonts w:ascii="Arial" w:hAnsi="Arial" w:cs="Arial"/>
                          <w:b/>
                          <w:sz w:val="56"/>
                          <w:szCs w:val="56"/>
                        </w:rPr>
                      </w:pPr>
                      <w:r w:rsidRPr="007A1AB5">
                        <w:rPr>
                          <w:rFonts w:ascii="Arial" w:hAnsi="Arial" w:cs="Arial"/>
                          <w:b/>
                          <w:bCs/>
                          <w:strike/>
                          <w:sz w:val="36"/>
                          <w:szCs w:val="36"/>
                          <w:lang w:val="fr-FR"/>
                        </w:rPr>
                        <w:t>10</w:t>
                      </w:r>
                      <w:r w:rsidRPr="007A1AB5">
                        <w:rPr>
                          <w:rFonts w:ascii="Arial" w:hAnsi="Arial" w:cs="Arial"/>
                          <w:b/>
                          <w:bCs/>
                          <w:sz w:val="36"/>
                          <w:szCs w:val="36"/>
                          <w:lang w:val="fr-FR"/>
                        </w:rPr>
                        <w:t>11 2439</w:t>
                      </w:r>
                    </w:p>
                  </w:txbxContent>
                </v:textbox>
              </v:shape>
            </w:pict>
          </mc:Fallback>
        </mc:AlternateContent>
      </w:r>
      <w:r w:rsidRPr="00636FE6">
        <w:rPr>
          <w:rFonts w:cs="Courier New"/>
          <w:noProof/>
          <w:szCs w:val="18"/>
          <w:lang w:eastAsia="de-DE"/>
        </w:rPr>
        <w:drawing>
          <wp:inline distT="0" distB="0" distL="0" distR="0" wp14:anchorId="56E2884F" wp14:editId="4B942DAB">
            <wp:extent cx="5335905" cy="966470"/>
            <wp:effectExtent l="0" t="0" r="0" b="5080"/>
            <wp:docPr id="4" name="Grafik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Une image contenant tabl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5905" cy="966470"/>
                    </a:xfrm>
                    <a:prstGeom prst="rect">
                      <a:avLst/>
                    </a:prstGeom>
                    <a:noFill/>
                    <a:ln>
                      <a:noFill/>
                    </a:ln>
                  </pic:spPr>
                </pic:pic>
              </a:graphicData>
            </a:graphic>
          </wp:inline>
        </w:drawing>
      </w:r>
    </w:p>
    <w:p w14:paraId="3C93BED8" w14:textId="77777777" w:rsidR="001B1B4C" w:rsidRDefault="001B1B4C" w:rsidP="00184C8F">
      <w:pPr>
        <w:pStyle w:val="SingleTxtG"/>
        <w:jc w:val="right"/>
        <w:rPr>
          <w:lang w:val="fr-FR"/>
        </w:rPr>
      </w:pPr>
      <w:r>
        <w:rPr>
          <w:lang w:val="fr-FR"/>
        </w:rPr>
        <w:tab/>
        <w:t>a = 8 mm min.</w:t>
      </w:r>
    </w:p>
    <w:p w14:paraId="0B0D4069" w14:textId="38C24334" w:rsidR="001B1B4C" w:rsidRDefault="001B1B4C" w:rsidP="001B1B4C">
      <w:pPr>
        <w:pStyle w:val="SingleTxtG"/>
        <w:ind w:firstLine="567"/>
        <w:rPr>
          <w:lang w:val="fr-FR"/>
        </w:rPr>
      </w:pPr>
      <w:r>
        <w:rPr>
          <w:lang w:val="fr-FR"/>
        </w:rPr>
        <w:t>La marque d’homologation ci-dessus, apposée sur un véhicule, indique que le type de ce véhicule a des sièges non munis, ni ne pouvant être munis, d’un appuie-tête et qu’il a été homologué aux Pays-Bas (E 4), en application des Règlements ONU n</w:t>
      </w:r>
      <w:r>
        <w:rPr>
          <w:vertAlign w:val="superscript"/>
          <w:lang w:val="fr-FR"/>
        </w:rPr>
        <w:t>os</w:t>
      </w:r>
      <w:r w:rsidR="00184C8F">
        <w:rPr>
          <w:lang w:val="fr-FR"/>
        </w:rPr>
        <w:t> </w:t>
      </w:r>
      <w:r>
        <w:rPr>
          <w:lang w:val="fr-FR"/>
        </w:rPr>
        <w:t>17 et 33</w:t>
      </w:r>
      <w:r w:rsidRPr="00184C8F">
        <w:rPr>
          <w:sz w:val="18"/>
          <w:szCs w:val="18"/>
          <w:vertAlign w:val="superscript"/>
          <w:lang w:val="fr-FR"/>
        </w:rPr>
        <w:t>1</w:t>
      </w:r>
      <w:r>
        <w:rPr>
          <w:lang w:val="fr-FR"/>
        </w:rPr>
        <w:t>. Les numéros d’homologation signifient qu’aux dates auxquelles les homologations respectives ont été délivrées, le Règlement ONU n</w:t>
      </w:r>
      <w:r>
        <w:rPr>
          <w:vertAlign w:val="superscript"/>
          <w:lang w:val="fr-FR"/>
        </w:rPr>
        <w:t>o</w:t>
      </w:r>
      <w:r w:rsidR="00184C8F">
        <w:rPr>
          <w:lang w:val="fr-FR"/>
        </w:rPr>
        <w:t> </w:t>
      </w:r>
      <w:r>
        <w:rPr>
          <w:lang w:val="fr-FR"/>
        </w:rPr>
        <w:t xml:space="preserve">17 comprenait la série </w:t>
      </w:r>
      <w:r>
        <w:rPr>
          <w:strike/>
          <w:lang w:val="fr-FR"/>
        </w:rPr>
        <w:t>10</w:t>
      </w:r>
      <w:r>
        <w:rPr>
          <w:b/>
          <w:bCs/>
          <w:lang w:val="fr-FR"/>
        </w:rPr>
        <w:t>11</w:t>
      </w:r>
      <w:r>
        <w:rPr>
          <w:lang w:val="fr-FR"/>
        </w:rPr>
        <w:t xml:space="preserve"> d’amendements, alors que le Règlement ONU n</w:t>
      </w:r>
      <w:r>
        <w:rPr>
          <w:vertAlign w:val="superscript"/>
          <w:lang w:val="fr-FR"/>
        </w:rPr>
        <w:t>o</w:t>
      </w:r>
      <w:r w:rsidR="00184C8F">
        <w:rPr>
          <w:lang w:val="fr-FR"/>
        </w:rPr>
        <w:t> </w:t>
      </w:r>
      <w:r>
        <w:rPr>
          <w:lang w:val="fr-FR"/>
        </w:rPr>
        <w:t>33 était encore sous sa forme originale. ».</w:t>
      </w:r>
    </w:p>
    <w:p w14:paraId="166CAAC1" w14:textId="0F5944EA" w:rsidR="001B1B4C" w:rsidRPr="00165972" w:rsidRDefault="001B1B4C" w:rsidP="00184C8F">
      <w:pPr>
        <w:pStyle w:val="SingleTxtG"/>
        <w:keepNext/>
        <w:rPr>
          <w:lang w:val="fr-FR"/>
        </w:rPr>
      </w:pPr>
      <w:r w:rsidRPr="00184C8F">
        <w:rPr>
          <w:i/>
          <w:iCs/>
          <w:lang w:val="fr-FR"/>
        </w:rPr>
        <w:t>Annexe 13, paragraphe 2.1</w:t>
      </w:r>
      <w:r>
        <w:rPr>
          <w:lang w:val="fr-FR"/>
        </w:rPr>
        <w:t>, lire</w:t>
      </w:r>
      <w:r w:rsidR="00184C8F">
        <w:rPr>
          <w:lang w:val="fr-FR"/>
        </w:rPr>
        <w:t> </w:t>
      </w:r>
      <w:r>
        <w:rPr>
          <w:lang w:val="fr-FR"/>
        </w:rPr>
        <w:t>:</w:t>
      </w:r>
    </w:p>
    <w:p w14:paraId="61DF60D7" w14:textId="6EB56B98" w:rsidR="001B1B4C" w:rsidRPr="00165972" w:rsidRDefault="001B1B4C" w:rsidP="00184C8F">
      <w:pPr>
        <w:pStyle w:val="SingleTxtG"/>
        <w:tabs>
          <w:tab w:val="left" w:pos="2268"/>
        </w:tabs>
        <w:ind w:left="2268" w:hanging="1134"/>
        <w:rPr>
          <w:lang w:val="fr-FR"/>
        </w:rPr>
      </w:pPr>
      <w:r>
        <w:rPr>
          <w:lang w:val="fr-FR"/>
        </w:rPr>
        <w:t>« 2.1</w:t>
      </w:r>
      <w:r>
        <w:rPr>
          <w:lang w:val="fr-FR"/>
        </w:rPr>
        <w:tab/>
        <w:t>Mise en place du siège</w:t>
      </w:r>
    </w:p>
    <w:p w14:paraId="5192F0D2" w14:textId="77777777" w:rsidR="001B1B4C" w:rsidRPr="00184C8F" w:rsidRDefault="001B1B4C" w:rsidP="00184C8F">
      <w:pPr>
        <w:pStyle w:val="SingleTxtG"/>
        <w:ind w:left="2268"/>
      </w:pPr>
      <w:r>
        <w:rPr>
          <w:lang w:val="fr-FR"/>
        </w:rPr>
        <w:t xml:space="preserve">Régler l’appuie-tête </w:t>
      </w:r>
      <w:r>
        <w:rPr>
          <w:b/>
          <w:bCs/>
          <w:lang w:val="fr-FR"/>
        </w:rPr>
        <w:t>dans la position normale d’utilisation ou, dans le cas d’un appuie-tête</w:t>
      </w:r>
      <w:r>
        <w:rPr>
          <w:lang w:val="fr-FR"/>
        </w:rPr>
        <w:t xml:space="preserve"> réglable</w:t>
      </w:r>
      <w:r>
        <w:rPr>
          <w:b/>
          <w:bCs/>
          <w:lang w:val="fr-FR"/>
        </w:rPr>
        <w:t>,</w:t>
      </w:r>
      <w:r>
        <w:rPr>
          <w:lang w:val="fr-FR"/>
        </w:rPr>
        <w:t xml:space="preserve"> de telle manière que son sommet soit situé à l’une des valeurs de hauteur prescrites ci-après, sur l’une quelconque des positions de réglage de la distance tête/appuie-tête : ».</w:t>
      </w:r>
    </w:p>
    <w:p w14:paraId="0D2D8487" w14:textId="77777777" w:rsidR="001B1B4C" w:rsidRPr="00184C8F" w:rsidRDefault="001B1B4C" w:rsidP="00184C8F">
      <w:pPr>
        <w:pStyle w:val="HChG"/>
      </w:pPr>
      <w:r w:rsidRPr="00323DC0">
        <w:rPr>
          <w:lang w:val="fr-FR"/>
        </w:rPr>
        <w:lastRenderedPageBreak/>
        <w:tab/>
        <w:t>II.</w:t>
      </w:r>
      <w:r w:rsidRPr="00323DC0">
        <w:rPr>
          <w:lang w:val="fr-FR"/>
        </w:rPr>
        <w:tab/>
        <w:t>Justification</w:t>
      </w:r>
    </w:p>
    <w:p w14:paraId="2641F986" w14:textId="788F8850" w:rsidR="001B1B4C" w:rsidRPr="00165972" w:rsidRDefault="00184C8F" w:rsidP="00184C8F">
      <w:pPr>
        <w:pStyle w:val="SingleTxtG"/>
        <w:rPr>
          <w:lang w:val="fr-FR"/>
        </w:rPr>
      </w:pPr>
      <w:bookmarkStart w:id="0" w:name="_Hlk55299342"/>
      <w:r>
        <w:rPr>
          <w:lang w:val="fr-FR"/>
        </w:rPr>
        <w:t>1.</w:t>
      </w:r>
      <w:r>
        <w:rPr>
          <w:lang w:val="fr-FR"/>
        </w:rPr>
        <w:tab/>
      </w:r>
      <w:r w:rsidR="001B1B4C">
        <w:rPr>
          <w:lang w:val="fr-FR"/>
        </w:rPr>
        <w:t>Le texte actuel du paragraphe</w:t>
      </w:r>
      <w:r>
        <w:rPr>
          <w:lang w:val="fr-FR"/>
        </w:rPr>
        <w:t> </w:t>
      </w:r>
      <w:r w:rsidR="001B1B4C">
        <w:rPr>
          <w:lang w:val="fr-FR"/>
        </w:rPr>
        <w:t>5.7.4 (Maintien en hauteur d’un appuie-tête) concerne expressément les appuie-tête réglables. À notre avis, ce paragraphe et l’essai connexe décrit à l’annexe</w:t>
      </w:r>
      <w:r>
        <w:rPr>
          <w:lang w:val="fr-FR"/>
        </w:rPr>
        <w:t> </w:t>
      </w:r>
      <w:r w:rsidR="001B1B4C">
        <w:rPr>
          <w:lang w:val="fr-FR"/>
        </w:rPr>
        <w:t>13 visent à traduire la « prescription de haut niveau » suivante : un appuie-tête ne doit pas se déplacer vers le bas de plus de 25</w:t>
      </w:r>
      <w:r>
        <w:rPr>
          <w:lang w:val="fr-FR"/>
        </w:rPr>
        <w:t> </w:t>
      </w:r>
      <w:r w:rsidR="001B1B4C">
        <w:rPr>
          <w:lang w:val="fr-FR"/>
        </w:rPr>
        <w:t>mm lorsqu’une force de 500</w:t>
      </w:r>
      <w:r>
        <w:rPr>
          <w:lang w:val="fr-FR"/>
        </w:rPr>
        <w:t> </w:t>
      </w:r>
      <w:r w:rsidR="001B1B4C">
        <w:rPr>
          <w:lang w:val="fr-FR"/>
        </w:rPr>
        <w:t>N est appliquée à son sommet.</w:t>
      </w:r>
    </w:p>
    <w:p w14:paraId="4C0E5249" w14:textId="77777777" w:rsidR="001B1B4C" w:rsidRPr="00165972" w:rsidRDefault="001B1B4C" w:rsidP="00184C8F">
      <w:pPr>
        <w:pStyle w:val="SingleTxtG"/>
        <w:rPr>
          <w:lang w:val="fr-FR"/>
        </w:rPr>
      </w:pPr>
      <w:r>
        <w:rPr>
          <w:lang w:val="fr-FR"/>
        </w:rPr>
        <w:t>2.</w:t>
      </w:r>
      <w:r>
        <w:rPr>
          <w:lang w:val="fr-FR"/>
        </w:rPr>
        <w:tab/>
        <w:t>Par conséquent, la même prescription fonctionnelle doit être également appliquée à un appuie-tête non réglable (une seule position d’utilisation).</w:t>
      </w:r>
    </w:p>
    <w:p w14:paraId="5C7794BB" w14:textId="7AA19985" w:rsidR="001B1B4C" w:rsidRDefault="001B1B4C" w:rsidP="00184C8F">
      <w:pPr>
        <w:pStyle w:val="SingleTxtG"/>
        <w:rPr>
          <w:lang w:val="fr-FR"/>
        </w:rPr>
      </w:pPr>
      <w:r>
        <w:rPr>
          <w:lang w:val="fr-FR"/>
        </w:rPr>
        <w:t>3.</w:t>
      </w:r>
      <w:r>
        <w:rPr>
          <w:lang w:val="fr-FR"/>
        </w:rPr>
        <w:tab/>
        <w:t>La présente proposition vise à rendre le texte actuel du Règlement ONU n</w:t>
      </w:r>
      <w:r w:rsidR="00184C8F" w:rsidRPr="00184C8F">
        <w:rPr>
          <w:vertAlign w:val="superscript"/>
          <w:lang w:val="fr-FR"/>
        </w:rPr>
        <w:t>o</w:t>
      </w:r>
      <w:r w:rsidR="00184C8F">
        <w:rPr>
          <w:lang w:val="fr-FR"/>
        </w:rPr>
        <w:t> </w:t>
      </w:r>
      <w:r>
        <w:rPr>
          <w:lang w:val="fr-FR"/>
        </w:rPr>
        <w:t>17 conforme à l’objectif dudit Règlement ONU, afin de garantir que seuls des appuie-tête sûrs seront installés.</w:t>
      </w:r>
    </w:p>
    <w:p w14:paraId="248B8A1D" w14:textId="3A483A45" w:rsidR="00184C8F" w:rsidRPr="00184C8F" w:rsidRDefault="00184C8F" w:rsidP="00184C8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bookmarkEnd w:id="0"/>
    <w:sectPr w:rsidR="00184C8F" w:rsidRPr="00184C8F" w:rsidSect="002A513A">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A937" w14:textId="77777777" w:rsidR="000846F2" w:rsidRDefault="000846F2" w:rsidP="00F95C08">
      <w:pPr>
        <w:spacing w:line="240" w:lineRule="auto"/>
      </w:pPr>
    </w:p>
  </w:endnote>
  <w:endnote w:type="continuationSeparator" w:id="0">
    <w:p w14:paraId="55213F24" w14:textId="77777777" w:rsidR="000846F2" w:rsidRPr="00AC3823" w:rsidRDefault="000846F2" w:rsidP="00AC3823">
      <w:pPr>
        <w:pStyle w:val="Pieddepage"/>
      </w:pPr>
    </w:p>
  </w:endnote>
  <w:endnote w:type="continuationNotice" w:id="1">
    <w:p w14:paraId="0D2E5D2E" w14:textId="77777777" w:rsidR="000846F2" w:rsidRDefault="000846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6EFC" w14:textId="1CD0CFE7" w:rsidR="002A513A" w:rsidRPr="002A513A" w:rsidRDefault="002A513A" w:rsidP="002A513A">
    <w:pPr>
      <w:pStyle w:val="Pieddepage"/>
      <w:tabs>
        <w:tab w:val="right" w:pos="9638"/>
      </w:tabs>
    </w:pPr>
    <w:r w:rsidRPr="002A513A">
      <w:rPr>
        <w:b/>
        <w:sz w:val="18"/>
      </w:rPr>
      <w:fldChar w:fldCharType="begin"/>
    </w:r>
    <w:r w:rsidRPr="002A513A">
      <w:rPr>
        <w:b/>
        <w:sz w:val="18"/>
      </w:rPr>
      <w:instrText xml:space="preserve"> PAGE  \* MERGEFORMAT </w:instrText>
    </w:r>
    <w:r w:rsidRPr="002A513A">
      <w:rPr>
        <w:b/>
        <w:sz w:val="18"/>
      </w:rPr>
      <w:fldChar w:fldCharType="separate"/>
    </w:r>
    <w:r w:rsidRPr="002A513A">
      <w:rPr>
        <w:b/>
        <w:noProof/>
        <w:sz w:val="18"/>
      </w:rPr>
      <w:t>2</w:t>
    </w:r>
    <w:r w:rsidRPr="002A513A">
      <w:rPr>
        <w:b/>
        <w:sz w:val="18"/>
      </w:rPr>
      <w:fldChar w:fldCharType="end"/>
    </w:r>
    <w:r>
      <w:rPr>
        <w:b/>
        <w:sz w:val="18"/>
      </w:rPr>
      <w:tab/>
    </w:r>
    <w:r>
      <w:t>GE.22-14926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BA37" w14:textId="5CBC3E12" w:rsidR="002A513A" w:rsidRPr="002A513A" w:rsidRDefault="002A513A" w:rsidP="002A513A">
    <w:pPr>
      <w:pStyle w:val="Pieddepage"/>
      <w:tabs>
        <w:tab w:val="right" w:pos="9638"/>
      </w:tabs>
      <w:rPr>
        <w:b/>
        <w:sz w:val="18"/>
      </w:rPr>
    </w:pPr>
    <w:r>
      <w:t>GE.22-14926</w:t>
    </w:r>
    <w:r>
      <w:tab/>
    </w:r>
    <w:r w:rsidRPr="002A513A">
      <w:rPr>
        <w:b/>
        <w:sz w:val="18"/>
      </w:rPr>
      <w:fldChar w:fldCharType="begin"/>
    </w:r>
    <w:r w:rsidRPr="002A513A">
      <w:rPr>
        <w:b/>
        <w:sz w:val="18"/>
      </w:rPr>
      <w:instrText xml:space="preserve"> PAGE  \* MERGEFORMAT </w:instrText>
    </w:r>
    <w:r w:rsidRPr="002A513A">
      <w:rPr>
        <w:b/>
        <w:sz w:val="18"/>
      </w:rPr>
      <w:fldChar w:fldCharType="separate"/>
    </w:r>
    <w:r w:rsidRPr="002A513A">
      <w:rPr>
        <w:b/>
        <w:noProof/>
        <w:sz w:val="18"/>
      </w:rPr>
      <w:t>3</w:t>
    </w:r>
    <w:r w:rsidRPr="002A51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3D01" w14:textId="41E74E25" w:rsidR="007F20FA" w:rsidRPr="002A513A" w:rsidRDefault="002A513A" w:rsidP="002A513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DB27BE" wp14:editId="065E4D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22-14926  (F)</w:t>
    </w:r>
    <w:r>
      <w:rPr>
        <w:noProof/>
        <w:sz w:val="20"/>
      </w:rPr>
      <w:drawing>
        <wp:anchor distT="0" distB="0" distL="114300" distR="114300" simplePos="0" relativeHeight="251660288" behindDoc="0" locked="0" layoutInCell="1" allowOverlap="1" wp14:anchorId="57CDCDC3" wp14:editId="2F0A97D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191022    191022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D672" w14:textId="77777777" w:rsidR="000846F2" w:rsidRPr="00AC3823" w:rsidRDefault="000846F2" w:rsidP="00AC3823">
      <w:pPr>
        <w:pStyle w:val="Pieddepage"/>
        <w:tabs>
          <w:tab w:val="right" w:pos="2155"/>
        </w:tabs>
        <w:spacing w:after="80" w:line="240" w:lineRule="atLeast"/>
        <w:ind w:left="680"/>
        <w:rPr>
          <w:u w:val="single"/>
        </w:rPr>
      </w:pPr>
      <w:r>
        <w:rPr>
          <w:u w:val="single"/>
        </w:rPr>
        <w:tab/>
      </w:r>
    </w:p>
  </w:footnote>
  <w:footnote w:type="continuationSeparator" w:id="0">
    <w:p w14:paraId="1A2B0C27" w14:textId="77777777" w:rsidR="000846F2" w:rsidRPr="00AC3823" w:rsidRDefault="000846F2" w:rsidP="00AC3823">
      <w:pPr>
        <w:pStyle w:val="Pieddepage"/>
        <w:tabs>
          <w:tab w:val="right" w:pos="2155"/>
        </w:tabs>
        <w:spacing w:after="80" w:line="240" w:lineRule="atLeast"/>
        <w:ind w:left="680"/>
        <w:rPr>
          <w:u w:val="single"/>
        </w:rPr>
      </w:pPr>
      <w:r>
        <w:rPr>
          <w:u w:val="single"/>
        </w:rPr>
        <w:tab/>
      </w:r>
    </w:p>
  </w:footnote>
  <w:footnote w:type="continuationNotice" w:id="1">
    <w:p w14:paraId="79631427" w14:textId="77777777" w:rsidR="000846F2" w:rsidRPr="00AC3823" w:rsidRDefault="000846F2">
      <w:pPr>
        <w:spacing w:line="240" w:lineRule="auto"/>
        <w:rPr>
          <w:sz w:val="2"/>
          <w:szCs w:val="2"/>
        </w:rPr>
      </w:pPr>
    </w:p>
  </w:footnote>
  <w:footnote w:id="2">
    <w:p w14:paraId="570BDF79" w14:textId="65CF3C01" w:rsidR="001B1B4C" w:rsidRDefault="001B1B4C" w:rsidP="001B1B4C">
      <w:pPr>
        <w:pStyle w:val="Notedebasdepage"/>
        <w:rPr>
          <w:lang w:val="fr-FR"/>
        </w:rPr>
      </w:pPr>
      <w:r>
        <w:rPr>
          <w:lang w:val="fr-FR"/>
        </w:rPr>
        <w:tab/>
      </w:r>
      <w:r w:rsidRPr="001B1B4C">
        <w:rPr>
          <w:sz w:val="20"/>
          <w:szCs w:val="22"/>
          <w:lang w:val="fr-FR"/>
        </w:rPr>
        <w:t>*</w:t>
      </w:r>
      <w:r w:rsidRPr="001B1B4C">
        <w:rPr>
          <w:sz w:val="20"/>
          <w:szCs w:val="22"/>
          <w:lang w:val="fr-FR"/>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p w14:paraId="5A3DEF58" w14:textId="77777777" w:rsidR="001B1B4C" w:rsidRPr="00165972" w:rsidRDefault="001B1B4C" w:rsidP="001B1B4C">
      <w:pPr>
        <w:pStyle w:val="Notedebasdepage"/>
        <w:rPr>
          <w:lang w:val="fr-FR"/>
        </w:rPr>
      </w:pPr>
    </w:p>
  </w:footnote>
  <w:footnote w:id="3">
    <w:p w14:paraId="7D891B91" w14:textId="77777777" w:rsidR="001B1B4C" w:rsidRPr="00165972" w:rsidRDefault="001B1B4C" w:rsidP="001B1B4C">
      <w:pPr>
        <w:pStyle w:val="Notedebasdepage"/>
        <w:widowControl w:val="0"/>
        <w:rPr>
          <w:lang w:val="fr-FR"/>
        </w:rPr>
      </w:pPr>
      <w:r>
        <w:rPr>
          <w:lang w:val="fr-FR"/>
        </w:rPr>
        <w:tab/>
      </w:r>
      <w:r>
        <w:rPr>
          <w:rStyle w:val="Appelnotedebasdep"/>
          <w:lang w:val="fr-FR"/>
        </w:rPr>
        <w:footnoteRef/>
      </w:r>
      <w:r>
        <w:rPr>
          <w:lang w:val="fr-FR"/>
        </w:rPr>
        <w:tab/>
        <w:t>Selon les définitions contenues dans la Résolution d’ensemble sur la construction des véhicules (R.E.3), document ECE/TRANS/WP.29/78/Rev.6, par. 2 − www.unece.org/trans/main/wp29/ wp29wgs/wp29gen/wp29resolutions.html.</w:t>
      </w:r>
    </w:p>
  </w:footnote>
  <w:footnote w:id="4">
    <w:p w14:paraId="0FF37820" w14:textId="1A95B3A9" w:rsidR="001B1B4C" w:rsidRPr="00165972" w:rsidRDefault="001B1B4C" w:rsidP="001B1B4C">
      <w:pPr>
        <w:pStyle w:val="Notedebasdepage"/>
        <w:rPr>
          <w:lang w:val="fr-FR"/>
        </w:rPr>
      </w:pPr>
      <w:r>
        <w:rPr>
          <w:lang w:val="fr-FR"/>
        </w:rPr>
        <w:tab/>
      </w:r>
      <w:r>
        <w:rPr>
          <w:vertAlign w:val="superscript"/>
          <w:lang w:val="fr-FR"/>
        </w:rPr>
        <w:t>1</w:t>
      </w:r>
      <w:r>
        <w:rPr>
          <w:lang w:val="fr-FR"/>
        </w:rPr>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306" w14:textId="48117A48" w:rsidR="002A513A" w:rsidRPr="002A513A" w:rsidRDefault="002A513A">
    <w:pPr>
      <w:pStyle w:val="En-tte"/>
    </w:pPr>
    <w:fldSimple w:instr=" TITLE  \* MERGEFORMAT ">
      <w:r w:rsidR="00BE2C53">
        <w:t>ECE/TRANS/WP.29/GRSP/2022/21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9ACB" w14:textId="78C01E0E" w:rsidR="002A513A" w:rsidRPr="002A513A" w:rsidRDefault="002A513A" w:rsidP="002A513A">
    <w:pPr>
      <w:pStyle w:val="En-tte"/>
      <w:jc w:val="right"/>
    </w:pPr>
    <w:fldSimple w:instr=" TITLE  \* MERGEFORMAT ">
      <w:r w:rsidR="00BE2C53">
        <w:t>ECE/TRANS/WP.29/GRSP/2022/21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6F4084C"/>
    <w:multiLevelType w:val="hybridMultilevel"/>
    <w:tmpl w:val="02FA6F5E"/>
    <w:lvl w:ilvl="0" w:tplc="2E34D6E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87514380">
    <w:abstractNumId w:val="13"/>
  </w:num>
  <w:num w:numId="2" w16cid:durableId="451830018">
    <w:abstractNumId w:val="11"/>
  </w:num>
  <w:num w:numId="3" w16cid:durableId="322665511">
    <w:abstractNumId w:val="10"/>
  </w:num>
  <w:num w:numId="4" w16cid:durableId="526598663">
    <w:abstractNumId w:val="8"/>
  </w:num>
  <w:num w:numId="5" w16cid:durableId="1179202610">
    <w:abstractNumId w:val="3"/>
  </w:num>
  <w:num w:numId="6" w16cid:durableId="1872108032">
    <w:abstractNumId w:val="2"/>
  </w:num>
  <w:num w:numId="7" w16cid:durableId="144130103">
    <w:abstractNumId w:val="1"/>
  </w:num>
  <w:num w:numId="8" w16cid:durableId="1924756576">
    <w:abstractNumId w:val="0"/>
  </w:num>
  <w:num w:numId="9" w16cid:durableId="1293362630">
    <w:abstractNumId w:val="9"/>
  </w:num>
  <w:num w:numId="10" w16cid:durableId="1241527317">
    <w:abstractNumId w:val="7"/>
  </w:num>
  <w:num w:numId="11" w16cid:durableId="2106076884">
    <w:abstractNumId w:val="6"/>
  </w:num>
  <w:num w:numId="12" w16cid:durableId="119567616">
    <w:abstractNumId w:val="5"/>
  </w:num>
  <w:num w:numId="13" w16cid:durableId="430972238">
    <w:abstractNumId w:val="4"/>
  </w:num>
  <w:num w:numId="14" w16cid:durableId="1667513493">
    <w:abstractNumId w:val="13"/>
  </w:num>
  <w:num w:numId="15" w16cid:durableId="482503156">
    <w:abstractNumId w:val="11"/>
  </w:num>
  <w:num w:numId="16" w16cid:durableId="1380783455">
    <w:abstractNumId w:val="10"/>
  </w:num>
  <w:num w:numId="17" w16cid:durableId="2533189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F2"/>
    <w:rsid w:val="00017F94"/>
    <w:rsid w:val="00023842"/>
    <w:rsid w:val="000334F9"/>
    <w:rsid w:val="00045FEB"/>
    <w:rsid w:val="0007796D"/>
    <w:rsid w:val="000846F2"/>
    <w:rsid w:val="000B7790"/>
    <w:rsid w:val="00111F2F"/>
    <w:rsid w:val="0014365E"/>
    <w:rsid w:val="00143C66"/>
    <w:rsid w:val="00176178"/>
    <w:rsid w:val="00184C8F"/>
    <w:rsid w:val="001B1B4C"/>
    <w:rsid w:val="001B6E2B"/>
    <w:rsid w:val="001F525A"/>
    <w:rsid w:val="00201148"/>
    <w:rsid w:val="00223272"/>
    <w:rsid w:val="0024779E"/>
    <w:rsid w:val="00257168"/>
    <w:rsid w:val="002744B8"/>
    <w:rsid w:val="002832AC"/>
    <w:rsid w:val="002A513A"/>
    <w:rsid w:val="002D7C93"/>
    <w:rsid w:val="00305801"/>
    <w:rsid w:val="00367AF8"/>
    <w:rsid w:val="003916DE"/>
    <w:rsid w:val="00421996"/>
    <w:rsid w:val="00441C3B"/>
    <w:rsid w:val="00446FE5"/>
    <w:rsid w:val="00452396"/>
    <w:rsid w:val="00477EB2"/>
    <w:rsid w:val="004837D8"/>
    <w:rsid w:val="004E2EED"/>
    <w:rsid w:val="004E468C"/>
    <w:rsid w:val="005505B7"/>
    <w:rsid w:val="00573BE5"/>
    <w:rsid w:val="00586ED3"/>
    <w:rsid w:val="00596AA9"/>
    <w:rsid w:val="0067110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E2C53"/>
    <w:rsid w:val="00C02897"/>
    <w:rsid w:val="00C97039"/>
    <w:rsid w:val="00CB5CD4"/>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9B2C80"/>
  <w15:docId w15:val="{B60A4ADC-6F78-4F9E-9947-C461AA4F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1B1B4C"/>
    <w:rPr>
      <w:rFonts w:ascii="Times New Roman" w:eastAsiaTheme="minorHAnsi" w:hAnsi="Times New Roman" w:cs="Times New Roman"/>
      <w:b/>
      <w:sz w:val="28"/>
      <w:szCs w:val="20"/>
      <w:lang w:eastAsia="en-US"/>
    </w:rPr>
  </w:style>
  <w:style w:type="character" w:customStyle="1" w:styleId="H1GChar">
    <w:name w:val="_ H_1_G Char"/>
    <w:link w:val="H1G"/>
    <w:rsid w:val="001B1B4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1B1B4C"/>
    <w:rPr>
      <w:rFonts w:ascii="Times New Roman" w:eastAsiaTheme="minorHAnsi" w:hAnsi="Times New Roman" w:cs="Times New Roman"/>
      <w:sz w:val="20"/>
      <w:szCs w:val="20"/>
      <w:lang w:eastAsia="en-US"/>
    </w:rPr>
  </w:style>
  <w:style w:type="character" w:customStyle="1" w:styleId="paraChar">
    <w:name w:val="para Char"/>
    <w:link w:val="para"/>
    <w:locked/>
    <w:rsid w:val="001B1B4C"/>
    <w:rPr>
      <w:lang w:val="en-GB" w:eastAsia="en-US"/>
    </w:rPr>
  </w:style>
  <w:style w:type="paragraph" w:customStyle="1" w:styleId="para">
    <w:name w:val="para"/>
    <w:basedOn w:val="Normal"/>
    <w:link w:val="paraChar"/>
    <w:qFormat/>
    <w:rsid w:val="001B1B4C"/>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rPr>
  </w:style>
  <w:style w:type="paragraph" w:customStyle="1" w:styleId="a">
    <w:name w:val="a)"/>
    <w:basedOn w:val="Normal"/>
    <w:rsid w:val="001B1B4C"/>
    <w:pPr>
      <w:tabs>
        <w:tab w:val="decimal" w:pos="567"/>
      </w:tabs>
      <w:kinsoku/>
      <w:overflowPunct/>
      <w:autoSpaceDE/>
      <w:autoSpaceDN/>
      <w:adjustRightInd/>
      <w:snapToGrid/>
      <w:spacing w:after="120"/>
      <w:ind w:left="2835" w:right="1134" w:hanging="567"/>
      <w:jc w:val="both"/>
    </w:pPr>
    <w:rPr>
      <w:rFonts w:eastAsia="SimSun"/>
    </w:rPr>
  </w:style>
  <w:style w:type="paragraph" w:styleId="Paragraphedeliste">
    <w:name w:val="List Paragraph"/>
    <w:basedOn w:val="Normal"/>
    <w:uiPriority w:val="34"/>
    <w:semiHidden/>
    <w:qFormat/>
    <w:rsid w:val="001B1B4C"/>
    <w:pPr>
      <w:kinsoku/>
      <w:overflowPunct/>
      <w:autoSpaceDE/>
      <w:autoSpaceDN/>
      <w:adjustRightInd/>
      <w:snapToGrid/>
      <w:ind w:left="720"/>
      <w:contextualSpacing/>
    </w:pPr>
    <w:rPr>
      <w:rFonts w:eastAsia="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836C-BECB-4056-84BD-A9F207C4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7</TotalTime>
  <Pages>6</Pages>
  <Words>1682</Words>
  <Characters>9004</Characters>
  <Application>Microsoft Office Word</Application>
  <DocSecurity>0</DocSecurity>
  <Lines>187</Lines>
  <Paragraphs>78</Paragraphs>
  <ScaleCrop>false</ScaleCrop>
  <HeadingPairs>
    <vt:vector size="2" baseType="variant">
      <vt:variant>
        <vt:lpstr>Titre</vt:lpstr>
      </vt:variant>
      <vt:variant>
        <vt:i4>1</vt:i4>
      </vt:variant>
    </vt:vector>
  </HeadingPairs>
  <TitlesOfParts>
    <vt:vector size="1" baseType="lpstr">
      <vt:lpstr>ECE/TRANS/WP.29/GRSP/2022/21</vt:lpstr>
    </vt:vector>
  </TitlesOfParts>
  <Company>DCM</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ECE/TRANS/WP.29/GRSP/2022/21</dc:title>
  <dc:subject/>
  <dc:creator>Christine CHAUTAGNAT</dc:creator>
  <cp:keywords/>
  <cp:lastModifiedBy>Christine Chautagnat</cp:lastModifiedBy>
  <cp:revision>3</cp:revision>
  <cp:lastPrinted>2022-10-19T14:20:00Z</cp:lastPrinted>
  <dcterms:created xsi:type="dcterms:W3CDTF">2022-10-19T14:20:00Z</dcterms:created>
  <dcterms:modified xsi:type="dcterms:W3CDTF">2022-10-19T14:21:00Z</dcterms:modified>
</cp:coreProperties>
</file>