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09976B50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1D85FCD" w14:textId="77777777" w:rsidR="00F35BAF" w:rsidRPr="00DB58B5" w:rsidRDefault="00F35BAF" w:rsidP="00B04CC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4E01383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35972D7" w14:textId="06EC3330" w:rsidR="00F35BAF" w:rsidRPr="00DB58B5" w:rsidRDefault="00B04CC8" w:rsidP="00B04CC8">
            <w:pPr>
              <w:jc w:val="right"/>
            </w:pPr>
            <w:r w:rsidRPr="00B04CC8">
              <w:rPr>
                <w:sz w:val="40"/>
              </w:rPr>
              <w:t>ECE</w:t>
            </w:r>
            <w:r>
              <w:t>/TRANS/WP.29/GRSP/2022/15</w:t>
            </w:r>
          </w:p>
        </w:tc>
      </w:tr>
      <w:tr w:rsidR="00F35BAF" w:rsidRPr="00DB58B5" w14:paraId="4FA4195A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0FCA14D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9E79CEF" wp14:editId="557C668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6C4B428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D081BDA" w14:textId="77777777" w:rsidR="00F35BAF" w:rsidRDefault="00B04CC8" w:rsidP="00C97039">
            <w:pPr>
              <w:spacing w:before="240"/>
            </w:pPr>
            <w:r>
              <w:t>Distr. générale</w:t>
            </w:r>
          </w:p>
          <w:p w14:paraId="5FB921CC" w14:textId="77777777" w:rsidR="00B04CC8" w:rsidRDefault="00B04CC8" w:rsidP="00B04CC8">
            <w:pPr>
              <w:spacing w:line="240" w:lineRule="exact"/>
            </w:pPr>
            <w:r>
              <w:t>20 septembre 2022</w:t>
            </w:r>
          </w:p>
          <w:p w14:paraId="6B5EFFE3" w14:textId="77777777" w:rsidR="00B04CC8" w:rsidRDefault="00B04CC8" w:rsidP="00B04CC8">
            <w:pPr>
              <w:spacing w:line="240" w:lineRule="exact"/>
            </w:pPr>
            <w:r>
              <w:t>Français</w:t>
            </w:r>
          </w:p>
          <w:p w14:paraId="03402A51" w14:textId="22A9EB1D" w:rsidR="00B04CC8" w:rsidRPr="00DB58B5" w:rsidRDefault="00B04CC8" w:rsidP="00B04CC8">
            <w:pPr>
              <w:spacing w:line="240" w:lineRule="exact"/>
            </w:pPr>
            <w:r>
              <w:t>Original : anglais</w:t>
            </w:r>
          </w:p>
        </w:tc>
      </w:tr>
    </w:tbl>
    <w:p w14:paraId="656D66D0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310E3798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3261B3A8" w14:textId="77777777" w:rsidR="00B04CC8" w:rsidRDefault="00B04CC8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69360D45" w14:textId="77777777" w:rsidR="00B04CC8" w:rsidRDefault="00B04CC8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la sécurité passive</w:t>
      </w:r>
    </w:p>
    <w:p w14:paraId="7BA7E171" w14:textId="77777777" w:rsidR="00B04CC8" w:rsidRPr="00B04CC8" w:rsidRDefault="00B04CC8" w:rsidP="00B04CC8">
      <w:pPr>
        <w:spacing w:before="120" w:line="276" w:lineRule="auto"/>
        <w:rPr>
          <w:rFonts w:asciiTheme="majorBidi" w:hAnsiTheme="majorBidi" w:cstheme="majorBidi"/>
          <w:b/>
        </w:rPr>
      </w:pPr>
      <w:r w:rsidRPr="00B04CC8">
        <w:rPr>
          <w:rFonts w:asciiTheme="majorBidi" w:hAnsiTheme="majorBidi" w:cstheme="majorBidi"/>
          <w:b/>
          <w:bCs/>
          <w:lang w:val="fr-FR"/>
        </w:rPr>
        <w:t>Soixante-douzième session</w:t>
      </w:r>
    </w:p>
    <w:p w14:paraId="7280952C" w14:textId="77777777" w:rsidR="00B04CC8" w:rsidRPr="00B04CC8" w:rsidRDefault="00B04CC8" w:rsidP="00B04CC8">
      <w:pPr>
        <w:spacing w:line="276" w:lineRule="auto"/>
        <w:rPr>
          <w:rFonts w:asciiTheme="majorBidi" w:hAnsiTheme="majorBidi" w:cstheme="majorBidi"/>
        </w:rPr>
      </w:pPr>
      <w:r w:rsidRPr="00B04CC8">
        <w:rPr>
          <w:rFonts w:asciiTheme="majorBidi" w:hAnsiTheme="majorBidi" w:cstheme="majorBidi"/>
          <w:lang w:val="fr-FR"/>
        </w:rPr>
        <w:t>Genève, 5-9 décembre 2022</w:t>
      </w:r>
    </w:p>
    <w:p w14:paraId="49E7B331" w14:textId="77777777" w:rsidR="00B04CC8" w:rsidRPr="00B04CC8" w:rsidRDefault="00B04CC8" w:rsidP="00B04CC8">
      <w:pPr>
        <w:spacing w:line="276" w:lineRule="auto"/>
        <w:rPr>
          <w:rFonts w:asciiTheme="majorBidi" w:hAnsiTheme="majorBidi" w:cstheme="majorBidi"/>
        </w:rPr>
      </w:pPr>
      <w:r w:rsidRPr="00B04CC8">
        <w:rPr>
          <w:rFonts w:asciiTheme="majorBidi" w:hAnsiTheme="majorBidi" w:cstheme="majorBidi"/>
          <w:lang w:val="fr-FR"/>
        </w:rPr>
        <w:t>Point 11 de l’ordre du jour provisoire</w:t>
      </w:r>
    </w:p>
    <w:p w14:paraId="58D24287" w14:textId="1377B3D7" w:rsidR="00B04CC8" w:rsidRPr="00B04CC8" w:rsidRDefault="00B04CC8" w:rsidP="00B04CC8">
      <w:pPr>
        <w:spacing w:line="276" w:lineRule="auto"/>
        <w:rPr>
          <w:rFonts w:asciiTheme="majorBidi" w:hAnsiTheme="majorBidi" w:cstheme="majorBidi"/>
        </w:rPr>
      </w:pPr>
      <w:r w:rsidRPr="00B04CC8">
        <w:rPr>
          <w:rFonts w:asciiTheme="majorBidi" w:hAnsiTheme="majorBidi" w:cstheme="majorBidi"/>
          <w:b/>
          <w:bCs/>
          <w:lang w:val="fr-FR"/>
        </w:rPr>
        <w:t xml:space="preserve">Règlement ONU </w:t>
      </w:r>
      <w:r w:rsidRPr="00B04CC8">
        <w:rPr>
          <w:rFonts w:asciiTheme="majorBidi" w:eastAsia="MS Mincho" w:hAnsiTheme="majorBidi" w:cstheme="majorBidi"/>
          <w:b/>
          <w:bCs/>
          <w:lang w:val="fr-FR"/>
        </w:rPr>
        <w:t>n</w:t>
      </w:r>
      <w:r w:rsidRPr="00B04CC8">
        <w:rPr>
          <w:rFonts w:asciiTheme="majorBidi" w:eastAsia="MS Mincho" w:hAnsiTheme="majorBidi" w:cstheme="majorBidi"/>
          <w:b/>
          <w:bCs/>
          <w:vertAlign w:val="superscript"/>
          <w:lang w:val="fr-FR"/>
        </w:rPr>
        <w:t>o</w:t>
      </w:r>
      <w:r w:rsidRPr="00B04CC8">
        <w:rPr>
          <w:rFonts w:asciiTheme="majorBidi" w:hAnsiTheme="majorBidi" w:cstheme="majorBidi"/>
          <w:b/>
          <w:bCs/>
          <w:lang w:val="fr-FR"/>
        </w:rPr>
        <w:t xml:space="preserve"> 134 (Véhicules à pile à combustible à hydrogène)</w:t>
      </w:r>
    </w:p>
    <w:p w14:paraId="154F2C2F" w14:textId="1C94801E" w:rsidR="00B04CC8" w:rsidRPr="001D6813" w:rsidRDefault="00B04CC8" w:rsidP="00B04CC8">
      <w:pPr>
        <w:pStyle w:val="HChG"/>
      </w:pPr>
      <w:r w:rsidRPr="001D6813">
        <w:rPr>
          <w:sz w:val="20"/>
          <w:lang w:val="fr-FR"/>
        </w:rPr>
        <w:tab/>
      </w:r>
      <w:r w:rsidRPr="001D6813">
        <w:rPr>
          <w:sz w:val="20"/>
          <w:lang w:val="fr-FR"/>
        </w:rPr>
        <w:tab/>
      </w:r>
      <w:r w:rsidRPr="001D6813">
        <w:rPr>
          <w:sz w:val="20"/>
          <w:lang w:val="fr-FR"/>
        </w:rPr>
        <w:tab/>
      </w:r>
      <w:r w:rsidRPr="001D6813">
        <w:rPr>
          <w:lang w:val="fr-FR"/>
        </w:rPr>
        <w:t>Proposition de complément 5 à la version originale et de complément 2 à la série 01 d</w:t>
      </w:r>
      <w:r>
        <w:rPr>
          <w:lang w:val="fr-FR"/>
        </w:rPr>
        <w:t>’</w:t>
      </w:r>
      <w:r w:rsidRPr="001D6813">
        <w:rPr>
          <w:lang w:val="fr-FR"/>
        </w:rPr>
        <w:t xml:space="preserve">amendements au Règlement ONU </w:t>
      </w:r>
      <w:r w:rsidRPr="00B04CC8">
        <w:rPr>
          <w:rFonts w:eastAsia="MS Mincho"/>
          <w:lang w:val="fr-FR"/>
        </w:rPr>
        <w:t>n</w:t>
      </w:r>
      <w:r w:rsidRPr="00B04CC8">
        <w:rPr>
          <w:rFonts w:eastAsia="MS Mincho"/>
          <w:vertAlign w:val="superscript"/>
          <w:lang w:val="fr-FR"/>
        </w:rPr>
        <w:t>o</w:t>
      </w:r>
      <w:r w:rsidRPr="001D6813">
        <w:rPr>
          <w:lang w:val="fr-FR"/>
        </w:rPr>
        <w:t xml:space="preserve"> 134 (Véhicules à pile à combustible à hydrogène)</w:t>
      </w:r>
    </w:p>
    <w:p w14:paraId="195EB336" w14:textId="77777777" w:rsidR="00B04CC8" w:rsidRPr="001D6813" w:rsidRDefault="00B04CC8" w:rsidP="00B04CC8">
      <w:pPr>
        <w:pStyle w:val="H1G"/>
      </w:pPr>
      <w:r w:rsidRPr="001D6813">
        <w:rPr>
          <w:lang w:val="fr-FR"/>
        </w:rPr>
        <w:tab/>
      </w:r>
      <w:r w:rsidRPr="001D6813">
        <w:rPr>
          <w:lang w:val="fr-FR"/>
        </w:rPr>
        <w:tab/>
        <w:t>Communication de l</w:t>
      </w:r>
      <w:r>
        <w:rPr>
          <w:lang w:val="fr-FR"/>
        </w:rPr>
        <w:t>’</w:t>
      </w:r>
      <w:r w:rsidRPr="001D6813">
        <w:rPr>
          <w:lang w:val="fr-FR"/>
        </w:rPr>
        <w:t>expert de la France</w:t>
      </w:r>
      <w:r w:rsidRPr="00B04CC8">
        <w:rPr>
          <w:b w:val="0"/>
          <w:bCs/>
          <w:sz w:val="20"/>
          <w:lang w:val="fr-FR"/>
        </w:rPr>
        <w:footnoteReference w:customMarkFollows="1" w:id="2"/>
        <w:t>*</w:t>
      </w:r>
    </w:p>
    <w:p w14:paraId="610DD191" w14:textId="6C6033F4" w:rsidR="00B04CC8" w:rsidRPr="001D6813" w:rsidRDefault="00B04CC8" w:rsidP="00B04CC8">
      <w:pPr>
        <w:pStyle w:val="SingleTxtG"/>
      </w:pPr>
      <w:bookmarkStart w:id="0" w:name="_Hlk31700179"/>
      <w:r>
        <w:rPr>
          <w:lang w:val="fr-FR"/>
        </w:rPr>
        <w:tab/>
      </w:r>
      <w:r>
        <w:rPr>
          <w:lang w:val="fr-FR"/>
        </w:rPr>
        <w:tab/>
      </w:r>
      <w:r w:rsidRPr="008D154B">
        <w:rPr>
          <w:lang w:val="fr-FR"/>
        </w:rPr>
        <w:t>Le texte ci-après,</w:t>
      </w:r>
      <w:r w:rsidRPr="001D6813">
        <w:rPr>
          <w:lang w:val="fr-FR"/>
        </w:rPr>
        <w:t xml:space="preserve"> établi par l</w:t>
      </w:r>
      <w:r>
        <w:rPr>
          <w:lang w:val="fr-FR"/>
        </w:rPr>
        <w:t>’</w:t>
      </w:r>
      <w:r w:rsidRPr="001D6813">
        <w:rPr>
          <w:lang w:val="fr-FR"/>
        </w:rPr>
        <w:t>expert de la France</w:t>
      </w:r>
      <w:r>
        <w:rPr>
          <w:lang w:val="fr-FR"/>
        </w:rPr>
        <w:t xml:space="preserve">, vise à </w:t>
      </w:r>
      <w:r w:rsidRPr="00B636F6">
        <w:rPr>
          <w:lang w:val="fr-FR"/>
        </w:rPr>
        <w:t xml:space="preserve">préciser </w:t>
      </w:r>
      <w:r w:rsidRPr="001D6813">
        <w:rPr>
          <w:lang w:val="fr-FR"/>
        </w:rPr>
        <w:t>la procédure</w:t>
      </w:r>
      <w:r>
        <w:rPr>
          <w:lang w:val="fr-FR"/>
        </w:rPr>
        <w:t xml:space="preserve"> d’utilisation</w:t>
      </w:r>
      <w:r w:rsidRPr="001D6813">
        <w:rPr>
          <w:lang w:val="fr-FR"/>
        </w:rPr>
        <w:t xml:space="preserve"> et les caractéristiques de l</w:t>
      </w:r>
      <w:r>
        <w:rPr>
          <w:lang w:val="fr-FR"/>
        </w:rPr>
        <w:t>’</w:t>
      </w:r>
      <w:r w:rsidRPr="001D6813">
        <w:rPr>
          <w:lang w:val="fr-FR"/>
        </w:rPr>
        <w:t xml:space="preserve">appareil de mesure </w:t>
      </w:r>
      <w:r>
        <w:rPr>
          <w:lang w:val="fr-FR"/>
        </w:rPr>
        <w:t>servant à</w:t>
      </w:r>
      <w:r w:rsidRPr="001D6813">
        <w:rPr>
          <w:lang w:val="fr-FR"/>
        </w:rPr>
        <w:t xml:space="preserve"> l</w:t>
      </w:r>
      <w:r>
        <w:rPr>
          <w:lang w:val="fr-FR"/>
        </w:rPr>
        <w:t>’</w:t>
      </w:r>
      <w:r w:rsidRPr="001D6813">
        <w:rPr>
          <w:lang w:val="fr-FR"/>
        </w:rPr>
        <w:t>essai de conformité du système d</w:t>
      </w:r>
      <w:r>
        <w:rPr>
          <w:lang w:val="fr-FR"/>
        </w:rPr>
        <w:t>’</w:t>
      </w:r>
      <w:r w:rsidRPr="001D6813">
        <w:rPr>
          <w:lang w:val="fr-FR"/>
        </w:rPr>
        <w:t>échappement du véhicule. Les modifications qu</w:t>
      </w:r>
      <w:r>
        <w:rPr>
          <w:lang w:val="fr-FR"/>
        </w:rPr>
        <w:t>’</w:t>
      </w:r>
      <w:r w:rsidRPr="001D6813">
        <w:rPr>
          <w:lang w:val="fr-FR"/>
        </w:rPr>
        <w:t>il est proposé d</w:t>
      </w:r>
      <w:r>
        <w:rPr>
          <w:lang w:val="fr-FR"/>
        </w:rPr>
        <w:t>’</w:t>
      </w:r>
      <w:r w:rsidRPr="001D6813">
        <w:rPr>
          <w:lang w:val="fr-FR"/>
        </w:rPr>
        <w:t xml:space="preserve">apporter au texte actuel du Règlement ONU figurent en caractères gras pour les ajouts et biffés pour les suppressions. </w:t>
      </w:r>
      <w:bookmarkStart w:id="1" w:name="_Hlk32495709"/>
      <w:bookmarkEnd w:id="1"/>
    </w:p>
    <w:bookmarkEnd w:id="0"/>
    <w:p w14:paraId="6A2D954B" w14:textId="77777777" w:rsidR="00B04CC8" w:rsidRPr="001D6813" w:rsidRDefault="00B04CC8" w:rsidP="00B04CC8">
      <w:pPr>
        <w:suppressAutoHyphens w:val="0"/>
        <w:spacing w:line="276" w:lineRule="auto"/>
        <w:rPr>
          <w:rFonts w:asciiTheme="majorBidi" w:hAnsiTheme="majorBidi" w:cstheme="majorBidi"/>
        </w:rPr>
      </w:pPr>
      <w:r w:rsidRPr="001D6813">
        <w:rPr>
          <w:rFonts w:asciiTheme="majorBidi" w:hAnsiTheme="majorBidi" w:cstheme="majorBidi"/>
        </w:rPr>
        <w:br w:type="page"/>
      </w:r>
    </w:p>
    <w:p w14:paraId="71C5547B" w14:textId="77777777" w:rsidR="00B04CC8" w:rsidRPr="001D6813" w:rsidRDefault="00B04CC8" w:rsidP="00B04CC8">
      <w:pPr>
        <w:pStyle w:val="HChG"/>
      </w:pPr>
      <w:bookmarkStart w:id="2" w:name="_Hlk534364985"/>
      <w:r w:rsidRPr="001D6813">
        <w:rPr>
          <w:lang w:val="fr-FR"/>
        </w:rPr>
        <w:lastRenderedPageBreak/>
        <w:tab/>
        <w:t>I.</w:t>
      </w:r>
      <w:r w:rsidRPr="001D6813">
        <w:rPr>
          <w:lang w:val="fr-FR"/>
        </w:rPr>
        <w:tab/>
        <w:t>Proposition</w:t>
      </w:r>
    </w:p>
    <w:p w14:paraId="3A46E4A6" w14:textId="77777777" w:rsidR="00B04CC8" w:rsidRPr="00B04CC8" w:rsidRDefault="00B04CC8" w:rsidP="00B04CC8">
      <w:pPr>
        <w:pStyle w:val="SingleTxtG"/>
        <w:rPr>
          <w:i/>
          <w:iCs/>
          <w:color w:val="000000" w:themeColor="text1"/>
        </w:rPr>
      </w:pPr>
      <w:r w:rsidRPr="00B04CC8">
        <w:rPr>
          <w:i/>
          <w:iCs/>
          <w:lang w:val="fr-FR"/>
        </w:rPr>
        <w:t>Annexe 5,</w:t>
      </w:r>
    </w:p>
    <w:p w14:paraId="4CBE98C8" w14:textId="17E33173" w:rsidR="00B04CC8" w:rsidRPr="001D6813" w:rsidRDefault="00B04CC8" w:rsidP="00B04CC8">
      <w:pPr>
        <w:pStyle w:val="SingleTxtG"/>
        <w:rPr>
          <w:rFonts w:asciiTheme="majorBidi" w:hAnsiTheme="majorBidi" w:cstheme="majorBidi"/>
          <w:i/>
          <w:color w:val="000000" w:themeColor="text1"/>
        </w:rPr>
      </w:pPr>
      <w:r w:rsidRPr="001D6813">
        <w:rPr>
          <w:rFonts w:asciiTheme="majorBidi" w:hAnsiTheme="majorBidi" w:cstheme="majorBidi"/>
          <w:i/>
          <w:iCs/>
          <w:lang w:val="fr-FR"/>
        </w:rPr>
        <w:t>Paragraphes 4.4 et 4.5</w:t>
      </w:r>
      <w:r w:rsidRPr="001D6813">
        <w:rPr>
          <w:rFonts w:asciiTheme="majorBidi" w:hAnsiTheme="majorBidi" w:cstheme="majorBidi"/>
          <w:lang w:val="fr-FR"/>
        </w:rPr>
        <w:t>, lire</w:t>
      </w:r>
      <w:r>
        <w:rPr>
          <w:rFonts w:asciiTheme="majorBidi" w:hAnsiTheme="majorBidi" w:cstheme="majorBidi"/>
          <w:lang w:val="fr-FR"/>
        </w:rPr>
        <w:t> </w:t>
      </w:r>
      <w:r w:rsidRPr="001D6813">
        <w:rPr>
          <w:rFonts w:asciiTheme="majorBidi" w:hAnsiTheme="majorBidi" w:cstheme="majorBidi"/>
          <w:lang w:val="fr-FR"/>
        </w:rPr>
        <w:t>:</w:t>
      </w:r>
    </w:p>
    <w:p w14:paraId="46F820C0" w14:textId="01ECB656" w:rsidR="00B04CC8" w:rsidRPr="001D6813" w:rsidRDefault="00B04CC8" w:rsidP="00B04CC8">
      <w:pPr>
        <w:pStyle w:val="SingleTxtG"/>
        <w:ind w:left="2268" w:hanging="1134"/>
        <w:rPr>
          <w:rFonts w:asciiTheme="majorBidi" w:hAnsiTheme="majorBidi" w:cstheme="majorBidi"/>
        </w:rPr>
      </w:pPr>
      <w:r w:rsidRPr="001D6813">
        <w:rPr>
          <w:rFonts w:asciiTheme="majorBidi" w:hAnsiTheme="majorBidi" w:cstheme="majorBidi"/>
          <w:lang w:val="fr-FR"/>
        </w:rPr>
        <w:t>« 4.4</w:t>
      </w:r>
      <w:r w:rsidRPr="001D6813">
        <w:rPr>
          <w:rFonts w:asciiTheme="majorBidi" w:hAnsiTheme="majorBidi" w:cstheme="majorBidi"/>
          <w:lang w:val="fr-FR"/>
        </w:rPr>
        <w:tab/>
        <w:t>On mesure la concentration d</w:t>
      </w:r>
      <w:r>
        <w:rPr>
          <w:rFonts w:asciiTheme="majorBidi" w:hAnsiTheme="majorBidi" w:cstheme="majorBidi"/>
          <w:lang w:val="fr-FR"/>
        </w:rPr>
        <w:t>’</w:t>
      </w:r>
      <w:r w:rsidRPr="001D6813">
        <w:rPr>
          <w:rFonts w:asciiTheme="majorBidi" w:hAnsiTheme="majorBidi" w:cstheme="majorBidi"/>
          <w:lang w:val="fr-FR"/>
        </w:rPr>
        <w:t>hydrogène dans les gaz d</w:t>
      </w:r>
      <w:r>
        <w:rPr>
          <w:rFonts w:asciiTheme="majorBidi" w:hAnsiTheme="majorBidi" w:cstheme="majorBidi"/>
          <w:lang w:val="fr-FR"/>
        </w:rPr>
        <w:t>’</w:t>
      </w:r>
      <w:r w:rsidRPr="001D6813">
        <w:rPr>
          <w:rFonts w:asciiTheme="majorBidi" w:hAnsiTheme="majorBidi" w:cstheme="majorBidi"/>
          <w:lang w:val="fr-FR"/>
        </w:rPr>
        <w:t>échappement de façon continue au cours des étapes suivantes</w:t>
      </w:r>
      <w:r>
        <w:rPr>
          <w:rFonts w:asciiTheme="majorBidi" w:hAnsiTheme="majorBidi" w:cstheme="majorBidi"/>
          <w:lang w:val="fr-FR"/>
        </w:rPr>
        <w:t> </w:t>
      </w:r>
      <w:r w:rsidRPr="001D6813">
        <w:rPr>
          <w:rFonts w:asciiTheme="majorBidi" w:hAnsiTheme="majorBidi" w:cstheme="majorBidi"/>
          <w:lang w:val="fr-FR"/>
        </w:rPr>
        <w:t>:</w:t>
      </w:r>
    </w:p>
    <w:p w14:paraId="380D3566" w14:textId="711BC580" w:rsidR="00B04CC8" w:rsidRPr="001D6813" w:rsidRDefault="00B04CC8" w:rsidP="00B04CC8">
      <w:pPr>
        <w:pStyle w:val="SingleTxtG"/>
        <w:ind w:left="2835" w:hanging="567"/>
        <w:rPr>
          <w:rFonts w:asciiTheme="majorBidi" w:hAnsiTheme="majorBidi" w:cstheme="majorBidi"/>
        </w:rPr>
      </w:pPr>
      <w:r w:rsidRPr="001D6813">
        <w:rPr>
          <w:rFonts w:asciiTheme="majorBidi" w:hAnsiTheme="majorBidi" w:cstheme="majorBidi"/>
          <w:lang w:val="fr-FR"/>
        </w:rPr>
        <w:t>a)</w:t>
      </w:r>
      <w:r w:rsidRPr="001D6813">
        <w:rPr>
          <w:rFonts w:asciiTheme="majorBidi" w:hAnsiTheme="majorBidi" w:cstheme="majorBidi"/>
          <w:lang w:val="fr-FR"/>
        </w:rPr>
        <w:tab/>
        <w:t>Arrêt du système moteur</w:t>
      </w:r>
      <w:r>
        <w:rPr>
          <w:rFonts w:asciiTheme="majorBidi" w:hAnsiTheme="majorBidi" w:cstheme="majorBidi"/>
          <w:lang w:val="fr-FR"/>
        </w:rPr>
        <w:t> </w:t>
      </w:r>
      <w:r w:rsidRPr="001D6813">
        <w:rPr>
          <w:rFonts w:asciiTheme="majorBidi" w:hAnsiTheme="majorBidi" w:cstheme="majorBidi"/>
          <w:lang w:val="fr-FR"/>
        </w:rPr>
        <w:t>;</w:t>
      </w:r>
    </w:p>
    <w:p w14:paraId="6DC6671D" w14:textId="5174AB8C" w:rsidR="00B04CC8" w:rsidRPr="001D6813" w:rsidRDefault="00B04CC8" w:rsidP="00B04CC8">
      <w:pPr>
        <w:pStyle w:val="SingleTxtG"/>
        <w:ind w:left="2835" w:hanging="567"/>
        <w:rPr>
          <w:rFonts w:asciiTheme="majorBidi" w:hAnsiTheme="majorBidi" w:cstheme="majorBidi"/>
        </w:rPr>
      </w:pPr>
      <w:r w:rsidRPr="001D6813">
        <w:rPr>
          <w:rFonts w:asciiTheme="majorBidi" w:hAnsiTheme="majorBidi" w:cstheme="majorBidi"/>
          <w:lang w:val="fr-FR"/>
        </w:rPr>
        <w:t>b)</w:t>
      </w:r>
      <w:r w:rsidRPr="001D6813">
        <w:rPr>
          <w:rFonts w:asciiTheme="majorBidi" w:hAnsiTheme="majorBidi" w:cstheme="majorBidi"/>
          <w:lang w:val="fr-FR"/>
        </w:rPr>
        <w:tab/>
        <w:t>À la fin de la procédure d</w:t>
      </w:r>
      <w:r>
        <w:rPr>
          <w:rFonts w:asciiTheme="majorBidi" w:hAnsiTheme="majorBidi" w:cstheme="majorBidi"/>
          <w:lang w:val="fr-FR"/>
        </w:rPr>
        <w:t>’</w:t>
      </w:r>
      <w:r w:rsidRPr="001D6813">
        <w:rPr>
          <w:rFonts w:asciiTheme="majorBidi" w:hAnsiTheme="majorBidi" w:cstheme="majorBidi"/>
          <w:lang w:val="fr-FR"/>
        </w:rPr>
        <w:t>arrêt, redémarrage immédiat du système moteur</w:t>
      </w:r>
      <w:r>
        <w:rPr>
          <w:rFonts w:asciiTheme="majorBidi" w:hAnsiTheme="majorBidi" w:cstheme="majorBidi"/>
          <w:lang w:val="fr-FR"/>
        </w:rPr>
        <w:t> </w:t>
      </w:r>
      <w:r w:rsidRPr="001D6813">
        <w:rPr>
          <w:rFonts w:asciiTheme="majorBidi" w:hAnsiTheme="majorBidi" w:cstheme="majorBidi"/>
          <w:lang w:val="fr-FR"/>
        </w:rPr>
        <w:t>;</w:t>
      </w:r>
    </w:p>
    <w:p w14:paraId="6F6EB44D" w14:textId="77777777" w:rsidR="00B04CC8" w:rsidRPr="001D6813" w:rsidRDefault="00B04CC8" w:rsidP="00B04CC8">
      <w:pPr>
        <w:pStyle w:val="SingleTxtG"/>
        <w:ind w:left="2835" w:hanging="567"/>
        <w:rPr>
          <w:rFonts w:asciiTheme="majorBidi" w:hAnsiTheme="majorBidi" w:cstheme="majorBidi"/>
        </w:rPr>
      </w:pPr>
      <w:r w:rsidRPr="001D6813">
        <w:rPr>
          <w:rFonts w:asciiTheme="majorBidi" w:hAnsiTheme="majorBidi" w:cstheme="majorBidi"/>
          <w:lang w:val="fr-FR"/>
        </w:rPr>
        <w:t>c)</w:t>
      </w:r>
      <w:r w:rsidRPr="001D6813">
        <w:rPr>
          <w:rFonts w:asciiTheme="majorBidi" w:hAnsiTheme="majorBidi" w:cstheme="majorBidi"/>
          <w:lang w:val="fr-FR"/>
        </w:rPr>
        <w:tab/>
      </w:r>
      <w:r w:rsidRPr="001D6813">
        <w:rPr>
          <w:rFonts w:asciiTheme="majorBidi" w:hAnsiTheme="majorBidi" w:cstheme="majorBidi"/>
          <w:strike/>
          <w:lang w:val="fr-FR"/>
        </w:rPr>
        <w:t xml:space="preserve">Après un délai de 1 mn, </w:t>
      </w:r>
      <w:r w:rsidRPr="001D6813">
        <w:rPr>
          <w:rFonts w:asciiTheme="majorBidi" w:hAnsiTheme="majorBidi" w:cstheme="majorBidi"/>
          <w:b/>
          <w:bCs/>
          <w:lang w:val="fr-FR"/>
        </w:rPr>
        <w:t>Une fois la procédure de démarrage telle que définie par le fabricant achevée,</w:t>
      </w:r>
      <w:r w:rsidRPr="001D6813">
        <w:rPr>
          <w:rFonts w:asciiTheme="majorBidi" w:hAnsiTheme="majorBidi" w:cstheme="majorBidi"/>
          <w:lang w:val="fr-FR"/>
        </w:rPr>
        <w:t xml:space="preserve"> nouvel arrêt du système moteur et poursuite des mesures jusqu</w:t>
      </w:r>
      <w:r>
        <w:rPr>
          <w:rFonts w:asciiTheme="majorBidi" w:hAnsiTheme="majorBidi" w:cstheme="majorBidi"/>
          <w:lang w:val="fr-FR"/>
        </w:rPr>
        <w:t>’</w:t>
      </w:r>
      <w:r w:rsidRPr="001D6813">
        <w:rPr>
          <w:rFonts w:asciiTheme="majorBidi" w:hAnsiTheme="majorBidi" w:cstheme="majorBidi"/>
          <w:lang w:val="fr-FR"/>
        </w:rPr>
        <w:t>à la fin de la procédure d</w:t>
      </w:r>
      <w:r>
        <w:rPr>
          <w:rFonts w:asciiTheme="majorBidi" w:hAnsiTheme="majorBidi" w:cstheme="majorBidi"/>
          <w:lang w:val="fr-FR"/>
        </w:rPr>
        <w:t>’</w:t>
      </w:r>
      <w:r w:rsidRPr="001D6813">
        <w:rPr>
          <w:rFonts w:asciiTheme="majorBidi" w:hAnsiTheme="majorBidi" w:cstheme="majorBidi"/>
          <w:lang w:val="fr-FR"/>
        </w:rPr>
        <w:t>arrêt.</w:t>
      </w:r>
    </w:p>
    <w:p w14:paraId="0507D60D" w14:textId="03E607EF" w:rsidR="00B04CC8" w:rsidRPr="001D6813" w:rsidRDefault="00B04CC8" w:rsidP="00B04CC8">
      <w:pPr>
        <w:pStyle w:val="SingleTxtG"/>
        <w:ind w:left="2268" w:hanging="1134"/>
        <w:rPr>
          <w:rFonts w:asciiTheme="majorBidi" w:hAnsiTheme="majorBidi" w:cstheme="majorBidi"/>
          <w:strike/>
        </w:rPr>
      </w:pPr>
      <w:r w:rsidRPr="001D6813">
        <w:rPr>
          <w:rFonts w:asciiTheme="majorBidi" w:hAnsiTheme="majorBidi" w:cstheme="majorBidi"/>
          <w:lang w:val="fr-FR"/>
        </w:rPr>
        <w:t>4.5.</w:t>
      </w:r>
      <w:r w:rsidRPr="001D6813">
        <w:rPr>
          <w:rFonts w:asciiTheme="majorBidi" w:hAnsiTheme="majorBidi" w:cstheme="majorBidi"/>
          <w:lang w:val="fr-FR"/>
        </w:rPr>
        <w:tab/>
      </w:r>
      <w:r w:rsidRPr="001D6813">
        <w:rPr>
          <w:rFonts w:asciiTheme="majorBidi" w:hAnsiTheme="majorBidi" w:cstheme="majorBidi"/>
          <w:strike/>
          <w:lang w:val="fr-FR"/>
        </w:rPr>
        <w:t xml:space="preserve">Le temps de réponse de </w:t>
      </w:r>
      <w:proofErr w:type="spellStart"/>
      <w:r w:rsidRPr="001D6813">
        <w:rPr>
          <w:rFonts w:asciiTheme="majorBidi" w:hAnsiTheme="majorBidi" w:cstheme="majorBidi"/>
          <w:strike/>
          <w:lang w:val="fr-FR"/>
        </w:rPr>
        <w:t>l</w:t>
      </w:r>
      <w:r w:rsidRPr="001D6813">
        <w:rPr>
          <w:rFonts w:asciiTheme="majorBidi" w:hAnsiTheme="majorBidi" w:cstheme="majorBidi"/>
          <w:b/>
          <w:bCs/>
          <w:lang w:val="fr-FR"/>
        </w:rPr>
        <w:t>L</w:t>
      </w:r>
      <w:r>
        <w:rPr>
          <w:rFonts w:asciiTheme="majorBidi" w:hAnsiTheme="majorBidi" w:cstheme="majorBidi"/>
          <w:lang w:val="fr-FR"/>
        </w:rPr>
        <w:t>’</w:t>
      </w:r>
      <w:r w:rsidRPr="001D6813">
        <w:rPr>
          <w:rFonts w:asciiTheme="majorBidi" w:hAnsiTheme="majorBidi" w:cstheme="majorBidi"/>
          <w:lang w:val="fr-FR"/>
        </w:rPr>
        <w:t>appareil</w:t>
      </w:r>
      <w:proofErr w:type="spellEnd"/>
      <w:r w:rsidRPr="001D6813">
        <w:rPr>
          <w:rFonts w:asciiTheme="majorBidi" w:hAnsiTheme="majorBidi" w:cstheme="majorBidi"/>
          <w:lang w:val="fr-FR"/>
        </w:rPr>
        <w:t xml:space="preserve"> de mesure doit </w:t>
      </w:r>
      <w:r w:rsidRPr="001D6813">
        <w:rPr>
          <w:rFonts w:asciiTheme="majorBidi" w:hAnsiTheme="majorBidi" w:cstheme="majorBidi"/>
          <w:strike/>
          <w:lang w:val="fr-FR"/>
        </w:rPr>
        <w:t>être inférieur à 300 ms.</w:t>
      </w:r>
      <w:r>
        <w:rPr>
          <w:rFonts w:asciiTheme="majorBidi" w:hAnsiTheme="majorBidi" w:cstheme="majorBidi"/>
          <w:strike/>
          <w:lang w:val="fr-FR"/>
        </w:rPr>
        <w:t> </w:t>
      </w:r>
      <w:r w:rsidRPr="001D6813">
        <w:rPr>
          <w:rFonts w:asciiTheme="majorBidi" w:hAnsiTheme="majorBidi" w:cstheme="majorBidi"/>
          <w:b/>
          <w:bCs/>
          <w:lang w:val="fr-FR"/>
        </w:rPr>
        <w:t>:</w:t>
      </w:r>
      <w:r w:rsidRPr="001D6813">
        <w:rPr>
          <w:rFonts w:asciiTheme="majorBidi" w:hAnsiTheme="majorBidi" w:cstheme="majorBidi"/>
          <w:lang w:val="fr-FR"/>
        </w:rPr>
        <w:t xml:space="preserve"> </w:t>
      </w:r>
    </w:p>
    <w:p w14:paraId="18AB6FBD" w14:textId="2ACB08C8" w:rsidR="00B04CC8" w:rsidRPr="001D6813" w:rsidRDefault="00B04CC8" w:rsidP="00B04CC8">
      <w:pPr>
        <w:pStyle w:val="SingleTxtG"/>
        <w:ind w:left="2835" w:hanging="567"/>
        <w:rPr>
          <w:rFonts w:asciiTheme="majorBidi" w:hAnsiTheme="majorBidi" w:cstheme="majorBidi"/>
        </w:rPr>
      </w:pPr>
      <w:r w:rsidRPr="001D6813">
        <w:rPr>
          <w:rFonts w:asciiTheme="majorBidi" w:hAnsiTheme="majorBidi" w:cstheme="majorBidi"/>
          <w:b/>
          <w:bCs/>
          <w:lang w:val="fr-FR"/>
        </w:rPr>
        <w:t>a)</w:t>
      </w:r>
      <w:r w:rsidRPr="001D6813">
        <w:rPr>
          <w:rFonts w:asciiTheme="majorBidi" w:hAnsiTheme="majorBidi" w:cstheme="majorBidi"/>
          <w:lang w:val="fr-FR"/>
        </w:rPr>
        <w:tab/>
      </w:r>
      <w:r w:rsidRPr="001D6813">
        <w:rPr>
          <w:rFonts w:asciiTheme="majorBidi" w:hAnsiTheme="majorBidi" w:cstheme="majorBidi"/>
          <w:b/>
          <w:bCs/>
          <w:lang w:val="fr-FR"/>
        </w:rPr>
        <w:t>Avoir un temps de réponse</w:t>
      </w:r>
      <w:r>
        <w:rPr>
          <w:rFonts w:asciiTheme="majorBidi" w:hAnsiTheme="majorBidi" w:cstheme="majorBidi"/>
          <w:b/>
          <w:bCs/>
          <w:lang w:val="fr-FR"/>
        </w:rPr>
        <w:t xml:space="preserve"> </w:t>
      </w:r>
      <w:r w:rsidRPr="001D6813">
        <w:rPr>
          <w:rFonts w:asciiTheme="majorBidi" w:hAnsiTheme="majorBidi" w:cstheme="majorBidi"/>
          <w:b/>
          <w:bCs/>
          <w:lang w:val="fr-FR"/>
        </w:rPr>
        <w:t>(t</w:t>
      </w:r>
      <w:r w:rsidRPr="001D6813">
        <w:rPr>
          <w:rFonts w:asciiTheme="majorBidi" w:hAnsiTheme="majorBidi" w:cstheme="majorBidi"/>
          <w:b/>
          <w:bCs/>
          <w:vertAlign w:val="subscript"/>
          <w:lang w:val="fr-FR"/>
        </w:rPr>
        <w:t>0</w:t>
      </w:r>
      <w:r w:rsidRPr="001D6813">
        <w:rPr>
          <w:rFonts w:asciiTheme="majorBidi" w:hAnsiTheme="majorBidi" w:cstheme="majorBidi"/>
          <w:b/>
          <w:bCs/>
          <w:lang w:val="fr-FR"/>
        </w:rPr>
        <w:t xml:space="preserve"> - t</w:t>
      </w:r>
      <w:r w:rsidRPr="001D6813">
        <w:rPr>
          <w:rFonts w:asciiTheme="majorBidi" w:hAnsiTheme="majorBidi" w:cstheme="majorBidi"/>
          <w:b/>
          <w:bCs/>
          <w:vertAlign w:val="subscript"/>
          <w:lang w:val="fr-FR"/>
        </w:rPr>
        <w:t>90</w:t>
      </w:r>
      <w:r w:rsidRPr="001D6813">
        <w:rPr>
          <w:rFonts w:asciiTheme="majorBidi" w:hAnsiTheme="majorBidi" w:cstheme="majorBidi"/>
          <w:b/>
          <w:bCs/>
          <w:lang w:val="fr-FR"/>
        </w:rPr>
        <w:t>) inférieur à deux secondes, t</w:t>
      </w:r>
      <w:r w:rsidRPr="001D6813">
        <w:rPr>
          <w:rFonts w:asciiTheme="majorBidi" w:hAnsiTheme="majorBidi" w:cstheme="majorBidi"/>
          <w:b/>
          <w:bCs/>
          <w:vertAlign w:val="subscript"/>
          <w:lang w:val="fr-FR"/>
        </w:rPr>
        <w:t>0</w:t>
      </w:r>
      <w:r w:rsidRPr="001D6813">
        <w:rPr>
          <w:rFonts w:asciiTheme="majorBidi" w:hAnsiTheme="majorBidi" w:cstheme="majorBidi"/>
          <w:b/>
          <w:bCs/>
          <w:lang w:val="fr-FR"/>
        </w:rPr>
        <w:t xml:space="preserve"> </w:t>
      </w:r>
      <w:r>
        <w:rPr>
          <w:rFonts w:asciiTheme="majorBidi" w:hAnsiTheme="majorBidi" w:cstheme="majorBidi"/>
          <w:b/>
          <w:bCs/>
          <w:lang w:val="fr-FR"/>
        </w:rPr>
        <w:t>étant</w:t>
      </w:r>
      <w:r w:rsidRPr="001D6813">
        <w:rPr>
          <w:rFonts w:asciiTheme="majorBidi" w:hAnsiTheme="majorBidi" w:cstheme="majorBidi"/>
          <w:b/>
          <w:bCs/>
          <w:lang w:val="fr-FR"/>
        </w:rPr>
        <w:t xml:space="preserve"> l</w:t>
      </w:r>
      <w:r>
        <w:rPr>
          <w:rFonts w:asciiTheme="majorBidi" w:hAnsiTheme="majorBidi" w:cstheme="majorBidi"/>
          <w:b/>
          <w:bCs/>
          <w:lang w:val="fr-FR"/>
        </w:rPr>
        <w:t>’instant</w:t>
      </w:r>
      <w:r w:rsidRPr="001D6813">
        <w:rPr>
          <w:rFonts w:asciiTheme="majorBidi" w:hAnsiTheme="majorBidi" w:cstheme="majorBidi"/>
          <w:b/>
          <w:bCs/>
          <w:lang w:val="fr-FR"/>
        </w:rPr>
        <w:t xml:space="preserve"> où la concentration d</w:t>
      </w:r>
      <w:r>
        <w:rPr>
          <w:rFonts w:asciiTheme="majorBidi" w:hAnsiTheme="majorBidi" w:cstheme="majorBidi"/>
          <w:b/>
          <w:bCs/>
          <w:lang w:val="fr-FR"/>
        </w:rPr>
        <w:t>’</w:t>
      </w:r>
      <w:r w:rsidRPr="001D6813">
        <w:rPr>
          <w:rFonts w:asciiTheme="majorBidi" w:hAnsiTheme="majorBidi" w:cstheme="majorBidi"/>
          <w:b/>
          <w:bCs/>
          <w:lang w:val="fr-FR"/>
        </w:rPr>
        <w:t>hydrogène</w:t>
      </w:r>
      <w:r w:rsidRPr="00381060">
        <w:t xml:space="preserve"> </w:t>
      </w:r>
      <w:r w:rsidRPr="00C85CF7">
        <w:rPr>
          <w:rFonts w:asciiTheme="majorBidi" w:hAnsiTheme="majorBidi" w:cstheme="majorBidi"/>
          <w:b/>
          <w:bCs/>
          <w:lang w:val="fr-FR"/>
        </w:rPr>
        <w:t>commence à changer et t</w:t>
      </w:r>
      <w:r w:rsidRPr="000A50A6">
        <w:rPr>
          <w:rFonts w:asciiTheme="majorBidi" w:hAnsiTheme="majorBidi" w:cstheme="majorBidi"/>
          <w:b/>
          <w:bCs/>
          <w:vertAlign w:val="subscript"/>
          <w:lang w:val="fr-FR"/>
        </w:rPr>
        <w:t>90</w:t>
      </w:r>
      <w:r w:rsidRPr="00C85CF7">
        <w:rPr>
          <w:rFonts w:asciiTheme="majorBidi" w:hAnsiTheme="majorBidi" w:cstheme="majorBidi"/>
          <w:b/>
          <w:bCs/>
          <w:lang w:val="fr-FR"/>
        </w:rPr>
        <w:t xml:space="preserve"> celui où l</w:t>
      </w:r>
      <w:r>
        <w:rPr>
          <w:rFonts w:asciiTheme="majorBidi" w:hAnsiTheme="majorBidi" w:cstheme="majorBidi"/>
          <w:b/>
          <w:bCs/>
          <w:lang w:val="fr-FR"/>
        </w:rPr>
        <w:t>’</w:t>
      </w:r>
      <w:r w:rsidRPr="00C85CF7">
        <w:rPr>
          <w:rFonts w:asciiTheme="majorBidi" w:hAnsiTheme="majorBidi" w:cstheme="majorBidi"/>
          <w:b/>
          <w:bCs/>
          <w:lang w:val="fr-FR"/>
        </w:rPr>
        <w:t>on atteint 90</w:t>
      </w:r>
      <w:r>
        <w:rPr>
          <w:rFonts w:asciiTheme="majorBidi" w:hAnsiTheme="majorBidi" w:cstheme="majorBidi"/>
          <w:b/>
          <w:bCs/>
          <w:lang w:val="fr-FR"/>
        </w:rPr>
        <w:t> </w:t>
      </w:r>
      <w:r w:rsidRPr="00C85CF7">
        <w:rPr>
          <w:rFonts w:asciiTheme="majorBidi" w:hAnsiTheme="majorBidi" w:cstheme="majorBidi"/>
          <w:b/>
          <w:bCs/>
          <w:lang w:val="fr-FR"/>
        </w:rPr>
        <w:t>% de la valeur finale</w:t>
      </w:r>
      <w:r w:rsidRPr="001D6813">
        <w:rPr>
          <w:rFonts w:asciiTheme="majorBidi" w:hAnsiTheme="majorBidi" w:cstheme="majorBidi"/>
          <w:b/>
          <w:bCs/>
          <w:lang w:val="fr-FR"/>
        </w:rPr>
        <w:t>.</w:t>
      </w:r>
    </w:p>
    <w:p w14:paraId="03EA7649" w14:textId="3F306794" w:rsidR="00B04CC8" w:rsidRPr="001D6813" w:rsidRDefault="00B04CC8" w:rsidP="00B04CC8">
      <w:pPr>
        <w:pStyle w:val="SingleTxtG"/>
        <w:ind w:left="2835" w:hanging="567"/>
        <w:rPr>
          <w:rFonts w:asciiTheme="majorBidi" w:hAnsiTheme="majorBidi" w:cstheme="majorBidi"/>
          <w:b/>
          <w:bCs/>
        </w:rPr>
      </w:pPr>
      <w:r w:rsidRPr="001D6813">
        <w:rPr>
          <w:rFonts w:asciiTheme="majorBidi" w:hAnsiTheme="majorBidi" w:cstheme="majorBidi"/>
          <w:b/>
          <w:bCs/>
          <w:lang w:val="fr-FR"/>
        </w:rPr>
        <w:t>b)</w:t>
      </w:r>
      <w:r w:rsidRPr="001D6813">
        <w:rPr>
          <w:rFonts w:asciiTheme="majorBidi" w:hAnsiTheme="majorBidi" w:cstheme="majorBidi"/>
          <w:lang w:val="fr-FR"/>
        </w:rPr>
        <w:tab/>
      </w:r>
      <w:r w:rsidRPr="001D6813">
        <w:rPr>
          <w:rFonts w:asciiTheme="majorBidi" w:hAnsiTheme="majorBidi" w:cstheme="majorBidi"/>
          <w:b/>
          <w:bCs/>
          <w:lang w:val="fr-FR"/>
        </w:rPr>
        <w:t>Avoir un temps de résolution inférieur à 300 millisecondes (fréquence d</w:t>
      </w:r>
      <w:r>
        <w:rPr>
          <w:rFonts w:asciiTheme="majorBidi" w:hAnsiTheme="majorBidi" w:cstheme="majorBidi"/>
          <w:b/>
          <w:bCs/>
          <w:lang w:val="fr-FR"/>
        </w:rPr>
        <w:t>’</w:t>
      </w:r>
      <w:r w:rsidRPr="001D6813">
        <w:rPr>
          <w:rFonts w:asciiTheme="majorBidi" w:hAnsiTheme="majorBidi" w:cstheme="majorBidi"/>
          <w:b/>
          <w:bCs/>
          <w:lang w:val="fr-FR"/>
        </w:rPr>
        <w:t>échantillonnage &gt;3,33 Hz).</w:t>
      </w:r>
      <w:r>
        <w:rPr>
          <w:rFonts w:asciiTheme="majorBidi" w:hAnsiTheme="majorBidi" w:cstheme="majorBidi"/>
          <w:b/>
          <w:bCs/>
          <w:lang w:val="fr-FR"/>
        </w:rPr>
        <w:t> </w:t>
      </w:r>
      <w:r w:rsidRPr="00B04CC8">
        <w:rPr>
          <w:rFonts w:asciiTheme="majorBidi" w:hAnsiTheme="majorBidi" w:cstheme="majorBidi"/>
          <w:lang w:val="fr-FR"/>
        </w:rPr>
        <w:t>».</w:t>
      </w:r>
    </w:p>
    <w:p w14:paraId="54C89314" w14:textId="77777777" w:rsidR="00B04CC8" w:rsidRPr="00381060" w:rsidRDefault="00B04CC8" w:rsidP="00B04CC8">
      <w:pPr>
        <w:pStyle w:val="HChG"/>
      </w:pPr>
      <w:r w:rsidRPr="001D6813">
        <w:rPr>
          <w:lang w:val="fr-FR"/>
        </w:rPr>
        <w:tab/>
        <w:t>II.</w:t>
      </w:r>
      <w:r w:rsidRPr="001D6813">
        <w:rPr>
          <w:lang w:val="fr-FR"/>
        </w:rPr>
        <w:tab/>
        <w:t>Justification</w:t>
      </w:r>
    </w:p>
    <w:p w14:paraId="2DBF47D3" w14:textId="7F7D6D8F" w:rsidR="00B04CC8" w:rsidRPr="001D6813" w:rsidRDefault="00B04CC8" w:rsidP="00B04CC8">
      <w:pPr>
        <w:pStyle w:val="SingleTxtG"/>
        <w:rPr>
          <w:rFonts w:eastAsia="Times New Roman"/>
        </w:rPr>
      </w:pPr>
      <w:r w:rsidRPr="001D6813">
        <w:rPr>
          <w:rFonts w:eastAsia="Times New Roman"/>
        </w:rPr>
        <w:t>1.</w:t>
      </w:r>
      <w:r w:rsidRPr="001D6813">
        <w:rPr>
          <w:rFonts w:eastAsia="Times New Roman"/>
        </w:rPr>
        <w:tab/>
      </w:r>
      <w:r w:rsidRPr="001D6813">
        <w:rPr>
          <w:lang w:val="fr-FR"/>
        </w:rPr>
        <w:t xml:space="preserve">La </w:t>
      </w:r>
      <w:r>
        <w:rPr>
          <w:lang w:val="fr-FR"/>
        </w:rPr>
        <w:t xml:space="preserve">présente </w:t>
      </w:r>
      <w:r w:rsidRPr="001D6813">
        <w:rPr>
          <w:lang w:val="fr-FR"/>
        </w:rPr>
        <w:t>proposition</w:t>
      </w:r>
      <w:r>
        <w:rPr>
          <w:lang w:val="fr-FR"/>
        </w:rPr>
        <w:t>, qui</w:t>
      </w:r>
      <w:r w:rsidRPr="001D6813">
        <w:rPr>
          <w:lang w:val="fr-FR"/>
        </w:rPr>
        <w:t xml:space="preserve"> vise à </w:t>
      </w:r>
      <w:r>
        <w:rPr>
          <w:lang w:val="fr-FR"/>
        </w:rPr>
        <w:t>préciser</w:t>
      </w:r>
      <w:r w:rsidRPr="001D6813">
        <w:rPr>
          <w:lang w:val="fr-FR"/>
        </w:rPr>
        <w:t xml:space="preserve"> la procédure et les caractéristiques de l</w:t>
      </w:r>
      <w:r>
        <w:rPr>
          <w:lang w:val="fr-FR"/>
        </w:rPr>
        <w:t>’</w:t>
      </w:r>
      <w:r w:rsidRPr="001D6813">
        <w:rPr>
          <w:lang w:val="fr-FR"/>
        </w:rPr>
        <w:t>appareil de mesure utilisé pour l</w:t>
      </w:r>
      <w:r>
        <w:rPr>
          <w:lang w:val="fr-FR"/>
        </w:rPr>
        <w:t>’</w:t>
      </w:r>
      <w:r w:rsidRPr="001D6813">
        <w:rPr>
          <w:lang w:val="fr-FR"/>
        </w:rPr>
        <w:t>essai de conformité du système d</w:t>
      </w:r>
      <w:r>
        <w:rPr>
          <w:lang w:val="fr-FR"/>
        </w:rPr>
        <w:t>’</w:t>
      </w:r>
      <w:r w:rsidRPr="001D6813">
        <w:rPr>
          <w:lang w:val="fr-FR"/>
        </w:rPr>
        <w:t>échappement du véhicule</w:t>
      </w:r>
      <w:r>
        <w:rPr>
          <w:lang w:val="fr-FR"/>
        </w:rPr>
        <w:t>,</w:t>
      </w:r>
      <w:r w:rsidRPr="001D6813">
        <w:rPr>
          <w:lang w:val="fr-FR"/>
        </w:rPr>
        <w:t xml:space="preserve"> se fonde sur les travaux en cours de la phase 2 du RTM ONU </w:t>
      </w:r>
      <w:r w:rsidRPr="00B04CC8">
        <w:rPr>
          <w:rFonts w:eastAsia="MS Mincho"/>
          <w:lang w:val="fr-FR"/>
        </w:rPr>
        <w:t>n</w:t>
      </w:r>
      <w:r w:rsidRPr="00B04CC8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 xml:space="preserve"> </w:t>
      </w:r>
      <w:r w:rsidRPr="001D6813">
        <w:rPr>
          <w:lang w:val="fr-FR"/>
        </w:rPr>
        <w:t>13.</w:t>
      </w:r>
    </w:p>
    <w:p w14:paraId="1E33302A" w14:textId="433AB075" w:rsidR="00B04CC8" w:rsidRPr="001D6813" w:rsidRDefault="00B04CC8" w:rsidP="00B04CC8">
      <w:pPr>
        <w:pStyle w:val="SingleTxtG"/>
        <w:rPr>
          <w:rStyle w:val="markedcontent"/>
          <w:rFonts w:asciiTheme="majorBidi" w:hAnsiTheme="majorBidi" w:cstheme="majorBidi"/>
        </w:rPr>
      </w:pPr>
      <w:r w:rsidRPr="001D6813">
        <w:rPr>
          <w:rStyle w:val="markedcontent"/>
          <w:rFonts w:asciiTheme="majorBidi" w:hAnsiTheme="majorBidi" w:cstheme="majorBidi"/>
        </w:rPr>
        <w:t>2.</w:t>
      </w:r>
      <w:r w:rsidRPr="001D6813">
        <w:rPr>
          <w:rStyle w:val="markedcontent"/>
          <w:rFonts w:asciiTheme="majorBidi" w:hAnsiTheme="majorBidi" w:cstheme="majorBidi"/>
        </w:rPr>
        <w:tab/>
      </w:r>
      <w:r w:rsidRPr="00D004A4">
        <w:rPr>
          <w:lang w:val="fr-FR"/>
        </w:rPr>
        <w:t>Paragraphe</w:t>
      </w:r>
      <w:r w:rsidRPr="001D6813">
        <w:rPr>
          <w:lang w:val="fr-FR"/>
        </w:rPr>
        <w:t xml:space="preserve"> 4.4</w:t>
      </w:r>
      <w:r>
        <w:rPr>
          <w:lang w:val="fr-FR"/>
        </w:rPr>
        <w:t> </w:t>
      </w:r>
      <w:r w:rsidRPr="001D6813">
        <w:rPr>
          <w:lang w:val="fr-FR"/>
        </w:rPr>
        <w:t>: Pendant l</w:t>
      </w:r>
      <w:r>
        <w:rPr>
          <w:lang w:val="fr-FR"/>
        </w:rPr>
        <w:t>’</w:t>
      </w:r>
      <w:r w:rsidRPr="001D6813">
        <w:rPr>
          <w:lang w:val="fr-FR"/>
        </w:rPr>
        <w:t>essai de conformité du système d</w:t>
      </w:r>
      <w:r>
        <w:rPr>
          <w:lang w:val="fr-FR"/>
        </w:rPr>
        <w:t>’</w:t>
      </w:r>
      <w:r w:rsidRPr="001D6813">
        <w:rPr>
          <w:lang w:val="fr-FR"/>
        </w:rPr>
        <w:t xml:space="preserve">échappement du véhicule, </w:t>
      </w:r>
      <w:r>
        <w:rPr>
          <w:lang w:val="fr-FR"/>
        </w:rPr>
        <w:t xml:space="preserve">on </w:t>
      </w:r>
      <w:r w:rsidRPr="00D82626">
        <w:rPr>
          <w:lang w:val="fr-FR"/>
        </w:rPr>
        <w:t>mesure la concentration d</w:t>
      </w:r>
      <w:r>
        <w:rPr>
          <w:lang w:val="fr-FR"/>
        </w:rPr>
        <w:t>’</w:t>
      </w:r>
      <w:r w:rsidRPr="00D82626">
        <w:rPr>
          <w:lang w:val="fr-FR"/>
        </w:rPr>
        <w:t>hydrogène dans les gaz d</w:t>
      </w:r>
      <w:r>
        <w:rPr>
          <w:lang w:val="fr-FR"/>
        </w:rPr>
        <w:t>’</w:t>
      </w:r>
      <w:r w:rsidRPr="00D82626">
        <w:rPr>
          <w:lang w:val="fr-FR"/>
        </w:rPr>
        <w:t xml:space="preserve">échappement de façon continue </w:t>
      </w:r>
      <w:r w:rsidRPr="001D6813">
        <w:rPr>
          <w:lang w:val="fr-FR"/>
        </w:rPr>
        <w:t xml:space="preserve">au cours de plusieurs étapes. Le système moteur est </w:t>
      </w:r>
      <w:r>
        <w:rPr>
          <w:lang w:val="fr-FR"/>
        </w:rPr>
        <w:t xml:space="preserve">d’abord </w:t>
      </w:r>
      <w:r w:rsidRPr="001D6813">
        <w:rPr>
          <w:lang w:val="fr-FR"/>
        </w:rPr>
        <w:t>arrêté</w:t>
      </w:r>
      <w:r w:rsidRPr="00E17174">
        <w:rPr>
          <w:lang w:val="fr-FR"/>
        </w:rPr>
        <w:t xml:space="preserve">, </w:t>
      </w:r>
      <w:r>
        <w:rPr>
          <w:lang w:val="fr-FR"/>
        </w:rPr>
        <w:t>puis</w:t>
      </w:r>
      <w:r w:rsidRPr="00E17174">
        <w:rPr>
          <w:lang w:val="fr-FR"/>
        </w:rPr>
        <w:t xml:space="preserve"> remis en marche immédiatement </w:t>
      </w:r>
      <w:r w:rsidRPr="001D6813">
        <w:rPr>
          <w:lang w:val="fr-FR"/>
        </w:rPr>
        <w:t>à la fin du processus d</w:t>
      </w:r>
      <w:r>
        <w:rPr>
          <w:lang w:val="fr-FR"/>
        </w:rPr>
        <w:t>’</w:t>
      </w:r>
      <w:r w:rsidRPr="001D6813">
        <w:rPr>
          <w:lang w:val="fr-FR"/>
        </w:rPr>
        <w:t xml:space="preserve">arrêt. Après un délai de 1 mn, </w:t>
      </w:r>
      <w:r w:rsidRPr="00C337EE">
        <w:rPr>
          <w:lang w:val="fr-FR"/>
        </w:rPr>
        <w:t>on le met de nouveau à l</w:t>
      </w:r>
      <w:r>
        <w:rPr>
          <w:lang w:val="fr-FR"/>
        </w:rPr>
        <w:t>’</w:t>
      </w:r>
      <w:r w:rsidRPr="00C337EE">
        <w:rPr>
          <w:lang w:val="fr-FR"/>
        </w:rPr>
        <w:t>arrêt et l</w:t>
      </w:r>
      <w:r>
        <w:rPr>
          <w:lang w:val="fr-FR"/>
        </w:rPr>
        <w:t>’</w:t>
      </w:r>
      <w:r w:rsidRPr="00C337EE">
        <w:rPr>
          <w:lang w:val="fr-FR"/>
        </w:rPr>
        <w:t xml:space="preserve">on poursuit les </w:t>
      </w:r>
      <w:r w:rsidRPr="001D6813">
        <w:rPr>
          <w:lang w:val="fr-FR"/>
        </w:rPr>
        <w:t>mesures jusqu</w:t>
      </w:r>
      <w:r>
        <w:rPr>
          <w:lang w:val="fr-FR"/>
        </w:rPr>
        <w:t>’</w:t>
      </w:r>
      <w:r w:rsidRPr="001D6813">
        <w:rPr>
          <w:lang w:val="fr-FR"/>
        </w:rPr>
        <w:t>à la fin de la procédure d</w:t>
      </w:r>
      <w:r>
        <w:rPr>
          <w:lang w:val="fr-FR"/>
        </w:rPr>
        <w:t>’</w:t>
      </w:r>
      <w:r w:rsidRPr="001D6813">
        <w:rPr>
          <w:lang w:val="fr-FR"/>
        </w:rPr>
        <w:t>arrêt. Toutefois, le redémarrage peut durer plus d</w:t>
      </w:r>
      <w:r>
        <w:rPr>
          <w:lang w:val="fr-FR"/>
        </w:rPr>
        <w:t>’</w:t>
      </w:r>
      <w:r w:rsidRPr="001D6813">
        <w:rPr>
          <w:lang w:val="fr-FR"/>
        </w:rPr>
        <w:t>une minute</w:t>
      </w:r>
      <w:r w:rsidRPr="00000BE8">
        <w:rPr>
          <w:lang w:val="fr-FR"/>
        </w:rPr>
        <w:t xml:space="preserve">, ce qui </w:t>
      </w:r>
      <w:r>
        <w:rPr>
          <w:lang w:val="fr-FR"/>
        </w:rPr>
        <w:t>peut empêcher</w:t>
      </w:r>
      <w:r w:rsidRPr="00000BE8">
        <w:rPr>
          <w:lang w:val="fr-FR"/>
        </w:rPr>
        <w:t xml:space="preserve"> un </w:t>
      </w:r>
      <w:r>
        <w:rPr>
          <w:lang w:val="fr-FR"/>
        </w:rPr>
        <w:t>« </w:t>
      </w:r>
      <w:r w:rsidRPr="00000BE8">
        <w:rPr>
          <w:lang w:val="fr-FR"/>
        </w:rPr>
        <w:t>arrêt normal</w:t>
      </w:r>
      <w:r>
        <w:rPr>
          <w:lang w:val="fr-FR"/>
        </w:rPr>
        <w:t> »</w:t>
      </w:r>
      <w:r w:rsidRPr="00000BE8">
        <w:rPr>
          <w:lang w:val="fr-FR"/>
        </w:rPr>
        <w:t xml:space="preserve"> </w:t>
      </w:r>
      <w:r>
        <w:rPr>
          <w:lang w:val="fr-FR"/>
        </w:rPr>
        <w:t>dans les temps</w:t>
      </w:r>
      <w:r w:rsidRPr="001D6813">
        <w:rPr>
          <w:lang w:val="fr-FR"/>
        </w:rPr>
        <w:t>. Par conséquent, il serait plus approprié d</w:t>
      </w:r>
      <w:r>
        <w:rPr>
          <w:lang w:val="fr-FR"/>
        </w:rPr>
        <w:t>’</w:t>
      </w:r>
      <w:r w:rsidRPr="001D6813">
        <w:rPr>
          <w:lang w:val="fr-FR"/>
        </w:rPr>
        <w:t>éteindre le système une fois la procédure de redémarrage achevée</w:t>
      </w:r>
      <w:r>
        <w:rPr>
          <w:lang w:val="fr-FR"/>
        </w:rPr>
        <w:t>, ce qui justifie la modification proposée</w:t>
      </w:r>
      <w:r w:rsidRPr="001D6813">
        <w:rPr>
          <w:lang w:val="fr-FR"/>
        </w:rPr>
        <w:t xml:space="preserve">. </w:t>
      </w:r>
    </w:p>
    <w:p w14:paraId="2CCB6BD0" w14:textId="3D9058DD" w:rsidR="00B04CC8" w:rsidRPr="001D6813" w:rsidRDefault="00B04CC8" w:rsidP="00B04CC8">
      <w:pPr>
        <w:pStyle w:val="SingleTxtG"/>
        <w:rPr>
          <w:rStyle w:val="markedcontent"/>
          <w:rFonts w:asciiTheme="majorBidi" w:hAnsiTheme="majorBidi" w:cstheme="majorBidi"/>
        </w:rPr>
      </w:pPr>
      <w:r w:rsidRPr="001D6813">
        <w:rPr>
          <w:rStyle w:val="markedcontent"/>
          <w:rFonts w:asciiTheme="majorBidi" w:hAnsiTheme="majorBidi" w:cstheme="majorBidi"/>
        </w:rPr>
        <w:t>3.</w:t>
      </w:r>
      <w:r w:rsidRPr="001D6813">
        <w:rPr>
          <w:rStyle w:val="markedcontent"/>
          <w:rFonts w:asciiTheme="majorBidi" w:hAnsiTheme="majorBidi" w:cstheme="majorBidi"/>
        </w:rPr>
        <w:tab/>
      </w:r>
      <w:r w:rsidRPr="001D6813">
        <w:rPr>
          <w:lang w:val="fr-FR"/>
        </w:rPr>
        <w:t>Par</w:t>
      </w:r>
      <w:r>
        <w:rPr>
          <w:lang w:val="fr-FR"/>
        </w:rPr>
        <w:t>agraphe</w:t>
      </w:r>
      <w:r w:rsidRPr="001D6813">
        <w:rPr>
          <w:lang w:val="fr-FR"/>
        </w:rPr>
        <w:t xml:space="preserve"> 4.5</w:t>
      </w:r>
      <w:r>
        <w:rPr>
          <w:lang w:val="fr-FR"/>
        </w:rPr>
        <w:t> </w:t>
      </w:r>
      <w:r w:rsidRPr="001D6813">
        <w:rPr>
          <w:lang w:val="fr-FR"/>
        </w:rPr>
        <w:t>: Dans l</w:t>
      </w:r>
      <w:r>
        <w:rPr>
          <w:lang w:val="fr-FR"/>
        </w:rPr>
        <w:t>’</w:t>
      </w:r>
      <w:r w:rsidRPr="001D6813">
        <w:rPr>
          <w:lang w:val="fr-FR"/>
        </w:rPr>
        <w:t>essai de conformité du système d</w:t>
      </w:r>
      <w:r>
        <w:rPr>
          <w:lang w:val="fr-FR"/>
        </w:rPr>
        <w:t>’</w:t>
      </w:r>
      <w:r w:rsidRPr="001D6813">
        <w:rPr>
          <w:lang w:val="fr-FR"/>
        </w:rPr>
        <w:t>échappement des véhicules, l</w:t>
      </w:r>
      <w:r>
        <w:rPr>
          <w:lang w:val="fr-FR"/>
        </w:rPr>
        <w:t>’</w:t>
      </w:r>
      <w:r w:rsidRPr="001D6813">
        <w:rPr>
          <w:lang w:val="fr-FR"/>
        </w:rPr>
        <w:t xml:space="preserve">appareil de mesure doit avoir un temps de réponse inférieur à 300 millisecondes. Cependant, </w:t>
      </w:r>
      <w:r w:rsidRPr="00971554">
        <w:rPr>
          <w:lang w:val="fr-FR"/>
        </w:rPr>
        <w:t>aucun analyseur d</w:t>
      </w:r>
      <w:r>
        <w:rPr>
          <w:lang w:val="fr-FR"/>
        </w:rPr>
        <w:t>’</w:t>
      </w:r>
      <w:r w:rsidRPr="00971554">
        <w:rPr>
          <w:lang w:val="fr-FR"/>
        </w:rPr>
        <w:t>hydrogène disponible sur le marché ne satisfait à ce critère</w:t>
      </w:r>
      <w:r w:rsidRPr="001D6813">
        <w:rPr>
          <w:lang w:val="fr-FR"/>
        </w:rPr>
        <w:t>. L</w:t>
      </w:r>
      <w:r>
        <w:rPr>
          <w:lang w:val="fr-FR"/>
        </w:rPr>
        <w:t>’</w:t>
      </w:r>
      <w:r w:rsidRPr="001D6813">
        <w:rPr>
          <w:lang w:val="fr-FR"/>
        </w:rPr>
        <w:t>instrument qui peut être utilisé pour observer les émissions d</w:t>
      </w:r>
      <w:r>
        <w:rPr>
          <w:lang w:val="fr-FR"/>
        </w:rPr>
        <w:t>’</w:t>
      </w:r>
      <w:r w:rsidRPr="001D6813">
        <w:rPr>
          <w:lang w:val="fr-FR"/>
        </w:rPr>
        <w:t xml:space="preserve">hydrogène avec une résolution temporelle appropriée est </w:t>
      </w:r>
      <w:r>
        <w:rPr>
          <w:lang w:val="fr-FR"/>
        </w:rPr>
        <w:t>le</w:t>
      </w:r>
      <w:r w:rsidRPr="001D6813">
        <w:rPr>
          <w:lang w:val="fr-FR"/>
        </w:rPr>
        <w:t xml:space="preserve"> spectromètre de masse à vide. La </w:t>
      </w:r>
      <w:r>
        <w:rPr>
          <w:lang w:val="fr-FR"/>
        </w:rPr>
        <w:t>dépressurisation jusqu’</w:t>
      </w:r>
      <w:r w:rsidRPr="001D6813">
        <w:rPr>
          <w:lang w:val="fr-FR"/>
        </w:rPr>
        <w:t xml:space="preserve">à un niveau de vide approprié nécessite une longueur correspondante </w:t>
      </w:r>
      <w:r>
        <w:rPr>
          <w:lang w:val="fr-FR"/>
        </w:rPr>
        <w:t>d’</w:t>
      </w:r>
      <w:r w:rsidRPr="001D6813">
        <w:rPr>
          <w:lang w:val="fr-FR"/>
        </w:rPr>
        <w:t>un fin capillaire, ce qui entraîne un temps de propagation supérieur à 300 millisecondes. Par conséquent, le temps de réponse maximal de la mesure est actualisé à deux secondes. Des prescriptions relatives au temps de résolution de l</w:t>
      </w:r>
      <w:r>
        <w:rPr>
          <w:lang w:val="fr-FR"/>
        </w:rPr>
        <w:t>’</w:t>
      </w:r>
      <w:r w:rsidRPr="001D6813">
        <w:rPr>
          <w:lang w:val="fr-FR"/>
        </w:rPr>
        <w:t>appareil de mesure ont également été ajoutées.</w:t>
      </w:r>
    </w:p>
    <w:p w14:paraId="1454B7D5" w14:textId="21FC51B1" w:rsidR="00F9573C" w:rsidRPr="00B04CC8" w:rsidRDefault="00B04CC8" w:rsidP="00B04CC8">
      <w:pPr>
        <w:spacing w:before="240" w:line="276" w:lineRule="auto"/>
        <w:jc w:val="center"/>
        <w:rPr>
          <w:rFonts w:asciiTheme="majorBidi" w:eastAsia="SimSun" w:hAnsiTheme="majorBidi" w:cstheme="majorBidi"/>
          <w:u w:val="single"/>
        </w:rPr>
      </w:pPr>
      <w:r w:rsidRPr="001D6813">
        <w:rPr>
          <w:rStyle w:val="markedcontent"/>
          <w:rFonts w:asciiTheme="majorBidi" w:eastAsia="SimSun" w:hAnsiTheme="majorBidi" w:cstheme="majorBidi"/>
          <w:u w:val="single"/>
        </w:rPr>
        <w:tab/>
      </w:r>
      <w:r w:rsidRPr="001D6813">
        <w:rPr>
          <w:rStyle w:val="markedcontent"/>
          <w:rFonts w:asciiTheme="majorBidi" w:eastAsia="SimSun" w:hAnsiTheme="majorBidi" w:cstheme="majorBidi"/>
          <w:u w:val="single"/>
        </w:rPr>
        <w:tab/>
      </w:r>
      <w:r w:rsidRPr="001D6813">
        <w:rPr>
          <w:rStyle w:val="markedcontent"/>
          <w:rFonts w:asciiTheme="majorBidi" w:eastAsia="SimSun" w:hAnsiTheme="majorBidi" w:cstheme="majorBidi"/>
          <w:u w:val="single"/>
        </w:rPr>
        <w:tab/>
      </w:r>
      <w:bookmarkEnd w:id="2"/>
    </w:p>
    <w:sectPr w:rsidR="00F9573C" w:rsidRPr="00B04CC8" w:rsidSect="00B04CC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CF30C" w14:textId="77777777" w:rsidR="00C56B62" w:rsidRDefault="00C56B62" w:rsidP="00F95C08">
      <w:pPr>
        <w:spacing w:line="240" w:lineRule="auto"/>
      </w:pPr>
    </w:p>
  </w:endnote>
  <w:endnote w:type="continuationSeparator" w:id="0">
    <w:p w14:paraId="041CEA8D" w14:textId="77777777" w:rsidR="00C56B62" w:rsidRPr="00AC3823" w:rsidRDefault="00C56B62" w:rsidP="00AC3823">
      <w:pPr>
        <w:pStyle w:val="Pieddepage"/>
      </w:pPr>
    </w:p>
  </w:endnote>
  <w:endnote w:type="continuationNotice" w:id="1">
    <w:p w14:paraId="2370F8F2" w14:textId="77777777" w:rsidR="00C56B62" w:rsidRDefault="00C56B6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EB17" w14:textId="38BAE6B7" w:rsidR="00B04CC8" w:rsidRPr="00B04CC8" w:rsidRDefault="00B04CC8" w:rsidP="00B04CC8">
    <w:pPr>
      <w:pStyle w:val="Pieddepage"/>
      <w:tabs>
        <w:tab w:val="right" w:pos="9638"/>
      </w:tabs>
    </w:pPr>
    <w:r w:rsidRPr="00B04CC8">
      <w:rPr>
        <w:b/>
        <w:sz w:val="18"/>
      </w:rPr>
      <w:fldChar w:fldCharType="begin"/>
    </w:r>
    <w:r w:rsidRPr="00B04CC8">
      <w:rPr>
        <w:b/>
        <w:sz w:val="18"/>
      </w:rPr>
      <w:instrText xml:space="preserve"> PAGE  \* MERGEFORMAT </w:instrText>
    </w:r>
    <w:r w:rsidRPr="00B04CC8">
      <w:rPr>
        <w:b/>
        <w:sz w:val="18"/>
      </w:rPr>
      <w:fldChar w:fldCharType="separate"/>
    </w:r>
    <w:r w:rsidRPr="00B04CC8">
      <w:rPr>
        <w:b/>
        <w:noProof/>
        <w:sz w:val="18"/>
      </w:rPr>
      <w:t>2</w:t>
    </w:r>
    <w:r w:rsidRPr="00B04CC8">
      <w:rPr>
        <w:b/>
        <w:sz w:val="18"/>
      </w:rPr>
      <w:fldChar w:fldCharType="end"/>
    </w:r>
    <w:r>
      <w:rPr>
        <w:b/>
        <w:sz w:val="18"/>
      </w:rPr>
      <w:tab/>
    </w:r>
    <w:r>
      <w:t>GE.22-14845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71731" w14:textId="4117CFFC" w:rsidR="00B04CC8" w:rsidRPr="00B04CC8" w:rsidRDefault="00B04CC8" w:rsidP="00B04CC8">
    <w:pPr>
      <w:pStyle w:val="Pieddepage"/>
      <w:tabs>
        <w:tab w:val="right" w:pos="9638"/>
      </w:tabs>
      <w:rPr>
        <w:b/>
        <w:sz w:val="18"/>
      </w:rPr>
    </w:pPr>
    <w:r>
      <w:t>GE.22-14845</w:t>
    </w:r>
    <w:r>
      <w:tab/>
    </w:r>
    <w:r w:rsidRPr="00B04CC8">
      <w:rPr>
        <w:b/>
        <w:sz w:val="18"/>
      </w:rPr>
      <w:fldChar w:fldCharType="begin"/>
    </w:r>
    <w:r w:rsidRPr="00B04CC8">
      <w:rPr>
        <w:b/>
        <w:sz w:val="18"/>
      </w:rPr>
      <w:instrText xml:space="preserve"> PAGE  \* MERGEFORMAT </w:instrText>
    </w:r>
    <w:r w:rsidRPr="00B04CC8">
      <w:rPr>
        <w:b/>
        <w:sz w:val="18"/>
      </w:rPr>
      <w:fldChar w:fldCharType="separate"/>
    </w:r>
    <w:r w:rsidRPr="00B04CC8">
      <w:rPr>
        <w:b/>
        <w:noProof/>
        <w:sz w:val="18"/>
      </w:rPr>
      <w:t>3</w:t>
    </w:r>
    <w:r w:rsidRPr="00B04CC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66239" w14:textId="7E9D244F" w:rsidR="007F20FA" w:rsidRPr="00B04CC8" w:rsidRDefault="00B04CC8" w:rsidP="00B04CC8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495552A" wp14:editId="1CEB959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22-14845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17D768C" wp14:editId="337B8EC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181022    181022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6EE04" w14:textId="77777777" w:rsidR="00C56B62" w:rsidRPr="00AC3823" w:rsidRDefault="00C56B6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6A027E8" w14:textId="77777777" w:rsidR="00C56B62" w:rsidRPr="00AC3823" w:rsidRDefault="00C56B6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758708D" w14:textId="77777777" w:rsidR="00C56B62" w:rsidRPr="00AC3823" w:rsidRDefault="00C56B62">
      <w:pPr>
        <w:spacing w:line="240" w:lineRule="auto"/>
        <w:rPr>
          <w:sz w:val="2"/>
          <w:szCs w:val="2"/>
        </w:rPr>
      </w:pPr>
    </w:p>
  </w:footnote>
  <w:footnote w:id="2">
    <w:p w14:paraId="2FD928C0" w14:textId="77777777" w:rsidR="00B04CC8" w:rsidRPr="00C85D42" w:rsidRDefault="00B04CC8" w:rsidP="00B04CC8">
      <w:pPr>
        <w:pStyle w:val="Notedebasdepage"/>
      </w:pPr>
      <w:r>
        <w:rPr>
          <w:lang w:val="fr-FR"/>
        </w:rPr>
        <w:tab/>
      </w:r>
      <w:r w:rsidRPr="00B04CC8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2022 tel qu’il figure dans le projet de budget-programme pour 2022 (A/76/6 (Sect. 20), par. 20.76),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6AA9C" w14:textId="649E3742" w:rsidR="00B04CC8" w:rsidRPr="00B04CC8" w:rsidRDefault="00B04CC8">
    <w:pPr>
      <w:pStyle w:val="En-tte"/>
    </w:pPr>
    <w:fldSimple w:instr=" TITLE  \* MERGEFORMAT ">
      <w:r>
        <w:t>ECE/TRANS/WP.29/GRSP/2022/15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5CD0A" w14:textId="5B02EEAA" w:rsidR="00B04CC8" w:rsidRPr="00B04CC8" w:rsidRDefault="00B04CC8" w:rsidP="00B04CC8">
    <w:pPr>
      <w:pStyle w:val="En-tte"/>
      <w:jc w:val="right"/>
    </w:pPr>
    <w:fldSimple w:instr=" TITLE  \* MERGEFORMAT ">
      <w:r>
        <w:t>ECE/TRANS/WP.29/GRSP/2022/15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B62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04CC8"/>
    <w:rsid w:val="00B45F2E"/>
    <w:rsid w:val="00B765F7"/>
    <w:rsid w:val="00B77993"/>
    <w:rsid w:val="00BA0CA9"/>
    <w:rsid w:val="00C02897"/>
    <w:rsid w:val="00C56B62"/>
    <w:rsid w:val="00C97039"/>
    <w:rsid w:val="00D3439C"/>
    <w:rsid w:val="00D7622E"/>
    <w:rsid w:val="00DA23E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B1063"/>
  <w15:docId w15:val="{EDE0C910-1C57-4285-AA7C-5EB33B0B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5_GR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5_GR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B04CC8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B04CC8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B04CC8"/>
    <w:pPr>
      <w:suppressAutoHyphens w:val="0"/>
      <w:kinsoku/>
      <w:overflowPunct/>
      <w:autoSpaceDE/>
      <w:autoSpaceDN/>
      <w:adjustRightInd/>
      <w:snapToGrid/>
      <w:spacing w:after="200" w:line="276" w:lineRule="auto"/>
      <w:ind w:left="720"/>
      <w:contextualSpacing/>
    </w:pPr>
    <w:rPr>
      <w:rFonts w:asciiTheme="minorHAnsi" w:eastAsia="SimSun" w:hAnsiTheme="minorHAnsi" w:cstheme="minorBidi"/>
      <w:sz w:val="22"/>
      <w:szCs w:val="22"/>
      <w:lang w:val="en-GB"/>
    </w:rPr>
  </w:style>
  <w:style w:type="character" w:customStyle="1" w:styleId="SingleTxtGChar">
    <w:name w:val="_ Single Txt_G Char"/>
    <w:basedOn w:val="Policepardfaut"/>
    <w:link w:val="SingleTxtG"/>
    <w:qFormat/>
    <w:rsid w:val="00B04CC8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markedcontent">
    <w:name w:val="markedcontent"/>
    <w:basedOn w:val="Policepardfaut"/>
    <w:rsid w:val="00B04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461</Words>
  <Characters>3232</Characters>
  <Application>Microsoft Office Word</Application>
  <DocSecurity>0</DocSecurity>
  <Lines>269</Lines>
  <Paragraphs>147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ECE/TRANS/WP.29/GRSP/2022/15</dc:title>
  <dc:subject/>
  <dc:creator>Sandrine CLERE</dc:creator>
  <cp:keywords/>
  <cp:lastModifiedBy>Sandrine Clere</cp:lastModifiedBy>
  <cp:revision>2</cp:revision>
  <cp:lastPrinted>2014-05-14T10:59:00Z</cp:lastPrinted>
  <dcterms:created xsi:type="dcterms:W3CDTF">2022-10-18T14:14:00Z</dcterms:created>
  <dcterms:modified xsi:type="dcterms:W3CDTF">2022-10-18T14:14:00Z</dcterms:modified>
</cp:coreProperties>
</file>