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29B1733B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0D0B8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3FF75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BF275" w14:textId="6D4C46C8" w:rsidR="00E52109" w:rsidRDefault="00952BB3" w:rsidP="00952BB3">
            <w:pPr>
              <w:suppressAutoHyphens w:val="0"/>
              <w:jc w:val="right"/>
            </w:pPr>
            <w:r w:rsidRPr="00952BB3">
              <w:rPr>
                <w:sz w:val="40"/>
              </w:rPr>
              <w:t>ST</w:t>
            </w:r>
            <w:r>
              <w:t>/SG/AC.10/C.4/85/Add.1</w:t>
            </w:r>
          </w:p>
        </w:tc>
      </w:tr>
      <w:tr w:rsidR="00E52109" w14:paraId="6D784B7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9E7AAC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DC112E4" wp14:editId="62FE8BE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5D4E2F7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B99DA56" w14:textId="77777777" w:rsidR="00D94B05" w:rsidRDefault="00952BB3" w:rsidP="00952BB3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77CF5BA1" w14:textId="42998CE9" w:rsidR="00952BB3" w:rsidRDefault="0030363A" w:rsidP="00952BB3">
            <w:pPr>
              <w:suppressAutoHyphens w:val="0"/>
              <w:spacing w:line="240" w:lineRule="exact"/>
            </w:pPr>
            <w:r w:rsidRPr="0030363A">
              <w:t>26</w:t>
            </w:r>
            <w:r w:rsidR="00952BB3" w:rsidRPr="0030363A">
              <w:t xml:space="preserve"> September 2022</w:t>
            </w:r>
          </w:p>
          <w:p w14:paraId="08C5DB04" w14:textId="77777777" w:rsidR="00952BB3" w:rsidRDefault="00952BB3" w:rsidP="00952BB3">
            <w:pPr>
              <w:suppressAutoHyphens w:val="0"/>
              <w:spacing w:line="240" w:lineRule="exact"/>
            </w:pPr>
          </w:p>
          <w:p w14:paraId="4313E656" w14:textId="296FD629" w:rsidR="00952BB3" w:rsidRDefault="00952BB3" w:rsidP="00952BB3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3FC550F4" w14:textId="77777777" w:rsidR="00952BB3" w:rsidRPr="009F0F06" w:rsidRDefault="00952BB3" w:rsidP="004858F5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14:paraId="0FBF705E" w14:textId="77777777" w:rsidR="00952BB3" w:rsidRPr="009F0F06" w:rsidRDefault="00952BB3" w:rsidP="004858F5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14:paraId="51ADBA8F" w14:textId="77777777" w:rsidR="00686A6A" w:rsidRDefault="00686A6A" w:rsidP="00686A6A">
      <w:pPr>
        <w:spacing w:before="120"/>
        <w:rPr>
          <w:b/>
        </w:rPr>
      </w:pPr>
      <w:r>
        <w:rPr>
          <w:b/>
        </w:rPr>
        <w:t>Forty-third session</w:t>
      </w:r>
    </w:p>
    <w:p w14:paraId="10DAEB79" w14:textId="77777777" w:rsidR="00686A6A" w:rsidRDefault="00686A6A" w:rsidP="00686A6A">
      <w:r>
        <w:t xml:space="preserve">Geneva, 7-9 December 2022 </w:t>
      </w:r>
    </w:p>
    <w:p w14:paraId="39884D89" w14:textId="77777777" w:rsidR="00686A6A" w:rsidRDefault="00686A6A" w:rsidP="00686A6A">
      <w:r>
        <w:t>Item 1 of the provisional agenda</w:t>
      </w:r>
    </w:p>
    <w:p w14:paraId="65560706" w14:textId="4232F145" w:rsidR="00AF5DE1" w:rsidRDefault="00686A6A" w:rsidP="004858F5">
      <w:pPr>
        <w:rPr>
          <w:b/>
          <w:bCs/>
        </w:rPr>
      </w:pPr>
      <w:r w:rsidRPr="00686A6A">
        <w:rPr>
          <w:b/>
          <w:bCs/>
        </w:rPr>
        <w:t>Adoption of the agenda</w:t>
      </w:r>
    </w:p>
    <w:p w14:paraId="730A0EFF" w14:textId="0E08D0A4" w:rsidR="009C4B43" w:rsidRPr="00C305F0" w:rsidRDefault="009C4B43" w:rsidP="009C4B43">
      <w:pPr>
        <w:pStyle w:val="HChG"/>
      </w:pPr>
      <w:r>
        <w:tab/>
      </w:r>
      <w:r>
        <w:tab/>
      </w:r>
      <w:r w:rsidRPr="00C305F0">
        <w:t>Provisional agenda for the forty-</w:t>
      </w:r>
      <w:r w:rsidR="00CF41CC">
        <w:t>third</w:t>
      </w:r>
      <w:r w:rsidRPr="00C305F0">
        <w:t xml:space="preserve"> session</w:t>
      </w:r>
    </w:p>
    <w:p w14:paraId="63EE328A" w14:textId="77777777" w:rsidR="009C4B43" w:rsidRPr="00C305F0" w:rsidRDefault="009C4B43" w:rsidP="009C4B43">
      <w:pPr>
        <w:pStyle w:val="H23G"/>
      </w:pPr>
      <w:r w:rsidRPr="00C305F0">
        <w:tab/>
      </w:r>
      <w:r w:rsidRPr="00C305F0">
        <w:tab/>
        <w:t xml:space="preserve">Addendum </w:t>
      </w:r>
    </w:p>
    <w:p w14:paraId="4415B32C" w14:textId="77777777" w:rsidR="009C4B43" w:rsidRPr="00C305F0" w:rsidRDefault="009C4B43" w:rsidP="009C4B43">
      <w:pPr>
        <w:pStyle w:val="HChG"/>
      </w:pPr>
      <w:r w:rsidRPr="00C305F0">
        <w:tab/>
      </w:r>
      <w:r w:rsidRPr="00C305F0">
        <w:tab/>
      </w:r>
      <w:r w:rsidRPr="00C305F0">
        <w:tab/>
        <w:t>List of documents and annotations</w:t>
      </w:r>
    </w:p>
    <w:p w14:paraId="0F876D10" w14:textId="77777777" w:rsidR="009C4B43" w:rsidRPr="00C305F0" w:rsidRDefault="009C4B43" w:rsidP="009C4B43">
      <w:pPr>
        <w:pStyle w:val="SingleTxtG"/>
        <w:rPr>
          <w:b/>
          <w:bCs/>
        </w:rPr>
      </w:pPr>
      <w:r w:rsidRPr="00C305F0">
        <w:rPr>
          <w:b/>
          <w:bCs/>
        </w:rPr>
        <w:t>Note by the secretariat</w:t>
      </w:r>
    </w:p>
    <w:p w14:paraId="596FBCA1" w14:textId="37CD8DCA" w:rsidR="009C4B43" w:rsidRPr="00962852" w:rsidRDefault="009C4B43" w:rsidP="009C4B43">
      <w:pPr>
        <w:pStyle w:val="SingleTxtG"/>
      </w:pPr>
      <w:r w:rsidRPr="00962852">
        <w:t>The forty-</w:t>
      </w:r>
      <w:r w:rsidR="0041652A" w:rsidRPr="00962852">
        <w:t xml:space="preserve">third </w:t>
      </w:r>
      <w:r w:rsidRPr="00962852">
        <w:t>session of the Sub-Committee will be held as a hybrid meeting (allowing for in-person and remote participation) with interpretation. Further details on the working arrangements for the session will be circulated in due time.</w:t>
      </w:r>
    </w:p>
    <w:p w14:paraId="2EA440B6" w14:textId="77777777" w:rsidR="009C4B43" w:rsidRPr="00962852" w:rsidRDefault="009C4B43" w:rsidP="009C4B43">
      <w:pPr>
        <w:pStyle w:val="HChG"/>
      </w:pPr>
      <w:r w:rsidRPr="00962852">
        <w:tab/>
        <w:t>1.</w:t>
      </w:r>
      <w:r w:rsidRPr="00962852">
        <w:tab/>
        <w:t>Adoption of the agenda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381"/>
      </w:tblGrid>
      <w:tr w:rsidR="009C4B43" w:rsidRPr="00962852" w14:paraId="0634BC30" w14:textId="77777777" w:rsidTr="00B0244F">
        <w:tc>
          <w:tcPr>
            <w:tcW w:w="2840" w:type="dxa"/>
          </w:tcPr>
          <w:p w14:paraId="6E533FE2" w14:textId="13ACE875" w:rsidR="009C4B43" w:rsidRPr="00962852" w:rsidRDefault="009C4B43" w:rsidP="00DB6D9E">
            <w:pPr>
              <w:spacing w:before="40" w:after="40"/>
            </w:pPr>
            <w:r w:rsidRPr="00962852">
              <w:t>ST/SG/AC.10/C.4/8</w:t>
            </w:r>
            <w:r w:rsidR="0041652A" w:rsidRPr="00962852">
              <w:t>5</w:t>
            </w:r>
            <w:r w:rsidRPr="00962852">
              <w:t xml:space="preserve"> and ST/SG/AC.10/C.4/8</w:t>
            </w:r>
            <w:r w:rsidR="0041652A" w:rsidRPr="00962852">
              <w:t>5</w:t>
            </w:r>
            <w:r w:rsidRPr="00962852">
              <w:t>/Add.1</w:t>
            </w:r>
          </w:p>
        </w:tc>
        <w:tc>
          <w:tcPr>
            <w:tcW w:w="5381" w:type="dxa"/>
          </w:tcPr>
          <w:p w14:paraId="0AC6C308" w14:textId="0B951F76" w:rsidR="009C4B43" w:rsidRPr="00962852" w:rsidRDefault="009C4B43" w:rsidP="00DB6D9E">
            <w:pPr>
              <w:spacing w:before="40" w:after="40"/>
            </w:pPr>
            <w:r w:rsidRPr="00962852">
              <w:t>Provisional agenda for the forty-</w:t>
            </w:r>
            <w:r w:rsidR="0041652A" w:rsidRPr="00962852">
              <w:t xml:space="preserve">third </w:t>
            </w:r>
            <w:r w:rsidRPr="00962852">
              <w:t>session</w:t>
            </w:r>
          </w:p>
        </w:tc>
      </w:tr>
    </w:tbl>
    <w:p w14:paraId="30242C58" w14:textId="77777777" w:rsidR="009C4B43" w:rsidRPr="00962852" w:rsidRDefault="009C4B43" w:rsidP="009C4B43">
      <w:pPr>
        <w:pStyle w:val="H1G"/>
      </w:pPr>
      <w:r w:rsidRPr="00962852">
        <w:tab/>
      </w:r>
      <w:r w:rsidRPr="00962852">
        <w:tab/>
      </w:r>
      <w:r w:rsidRPr="00962852">
        <w:tab/>
        <w:t>Background documents (Secretariat)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C4B43" w:rsidRPr="00962852" w14:paraId="0CC7E3CE" w14:textId="77777777" w:rsidTr="00DB6D9E">
        <w:tc>
          <w:tcPr>
            <w:tcW w:w="2766" w:type="dxa"/>
          </w:tcPr>
          <w:p w14:paraId="76C5FA91" w14:textId="77777777" w:rsidR="009C4B43" w:rsidRPr="00962852" w:rsidRDefault="009C4B43" w:rsidP="00DB6D9E">
            <w:pPr>
              <w:spacing w:before="40" w:after="40"/>
            </w:pPr>
            <w:r w:rsidRPr="00962852">
              <w:t>ST/SG/AC.10/30/Rev.9</w:t>
            </w:r>
          </w:p>
        </w:tc>
        <w:tc>
          <w:tcPr>
            <w:tcW w:w="4604" w:type="dxa"/>
          </w:tcPr>
          <w:p w14:paraId="242A7B46" w14:textId="77777777" w:rsidR="009C4B43" w:rsidRPr="00962852" w:rsidRDefault="009C4B43" w:rsidP="00DB6D9E">
            <w:pPr>
              <w:spacing w:before="40" w:after="40"/>
            </w:pPr>
            <w:r w:rsidRPr="00962852">
              <w:t>Globally Harmonized System of Classification and Labelling of Chemicals (GHS), ninth revised edition</w:t>
            </w:r>
          </w:p>
        </w:tc>
      </w:tr>
      <w:tr w:rsidR="009C4B43" w:rsidRPr="00962852" w14:paraId="54BA25C0" w14:textId="77777777" w:rsidTr="00DB6D9E">
        <w:tc>
          <w:tcPr>
            <w:tcW w:w="2766" w:type="dxa"/>
          </w:tcPr>
          <w:p w14:paraId="6B7B123A" w14:textId="77777777" w:rsidR="009C4B43" w:rsidRPr="00962852" w:rsidRDefault="009C4B43" w:rsidP="00DB6D9E">
            <w:pPr>
              <w:spacing w:before="40" w:after="40"/>
            </w:pPr>
            <w:r w:rsidRPr="00962852">
              <w:t>ST/SG/AC.10/1/Rev.22</w:t>
            </w:r>
          </w:p>
        </w:tc>
        <w:tc>
          <w:tcPr>
            <w:tcW w:w="4604" w:type="dxa"/>
          </w:tcPr>
          <w:p w14:paraId="6B772458" w14:textId="77777777" w:rsidR="009C4B43" w:rsidRPr="00962852" w:rsidRDefault="009C4B43" w:rsidP="00DB6D9E">
            <w:pPr>
              <w:spacing w:before="40" w:after="40"/>
            </w:pPr>
            <w:r w:rsidRPr="00962852">
              <w:t>Recommendations on the Transport of Dangerous Goods, Model Regulations (twenty-second revised edition)</w:t>
            </w:r>
          </w:p>
        </w:tc>
      </w:tr>
      <w:tr w:rsidR="009C4B43" w:rsidRPr="00962852" w14:paraId="76962806" w14:textId="77777777" w:rsidTr="00DB6D9E">
        <w:tc>
          <w:tcPr>
            <w:tcW w:w="2766" w:type="dxa"/>
          </w:tcPr>
          <w:p w14:paraId="0447123E" w14:textId="77777777" w:rsidR="009C4B43" w:rsidRPr="00962852" w:rsidRDefault="009C4B43" w:rsidP="00DB6D9E">
            <w:pPr>
              <w:spacing w:before="40" w:after="40"/>
            </w:pPr>
            <w:r w:rsidRPr="00962852">
              <w:t>ST/SG/AC.10/11/Rev.7 and amendment 1</w:t>
            </w:r>
          </w:p>
        </w:tc>
        <w:tc>
          <w:tcPr>
            <w:tcW w:w="4604" w:type="dxa"/>
          </w:tcPr>
          <w:p w14:paraId="35937FAF" w14:textId="77777777" w:rsidR="009C4B43" w:rsidRPr="00962852" w:rsidRDefault="009C4B43" w:rsidP="00DB6D9E">
            <w:pPr>
              <w:spacing w:before="40" w:after="40"/>
            </w:pPr>
            <w:r w:rsidRPr="00962852">
              <w:t>Manual of Tests and Criteria, seventh revised edition and amendment 1</w:t>
            </w:r>
          </w:p>
        </w:tc>
      </w:tr>
      <w:tr w:rsidR="009C4B43" w:rsidRPr="00962852" w14:paraId="59C6B48E" w14:textId="77777777" w:rsidTr="00DB6D9E">
        <w:tc>
          <w:tcPr>
            <w:tcW w:w="2766" w:type="dxa"/>
          </w:tcPr>
          <w:p w14:paraId="798A6B02" w14:textId="6C0FFC51" w:rsidR="009C4B43" w:rsidRPr="00962852" w:rsidRDefault="009C4B43" w:rsidP="00DB6D9E">
            <w:pPr>
              <w:spacing w:before="40" w:after="40"/>
            </w:pPr>
            <w:r w:rsidRPr="00962852">
              <w:t>ST/SG/AC.10/C.4/8</w:t>
            </w:r>
            <w:r w:rsidR="0043053E" w:rsidRPr="00962852">
              <w:t>4</w:t>
            </w:r>
          </w:p>
        </w:tc>
        <w:tc>
          <w:tcPr>
            <w:tcW w:w="4604" w:type="dxa"/>
          </w:tcPr>
          <w:p w14:paraId="4E381D3E" w14:textId="630FE218" w:rsidR="009C4B43" w:rsidRPr="00962852" w:rsidRDefault="009C4B43" w:rsidP="00DB6D9E">
            <w:pPr>
              <w:spacing w:before="40" w:after="40"/>
            </w:pPr>
            <w:r w:rsidRPr="00962852">
              <w:t>Report of the Sub-Committee of Experts on the Globally Harmonized System of Classification and Labelling of Chemicals on its forty-</w:t>
            </w:r>
            <w:r w:rsidR="0043053E" w:rsidRPr="00962852">
              <w:t>second</w:t>
            </w:r>
            <w:r w:rsidRPr="00962852">
              <w:t xml:space="preserve"> session</w:t>
            </w:r>
          </w:p>
        </w:tc>
      </w:tr>
      <w:tr w:rsidR="009C4B43" w:rsidRPr="00962852" w14:paraId="4AC459E2" w14:textId="77777777" w:rsidTr="00DB6D9E">
        <w:tc>
          <w:tcPr>
            <w:tcW w:w="2766" w:type="dxa"/>
          </w:tcPr>
          <w:p w14:paraId="37098E0B" w14:textId="4102488D" w:rsidR="009C4B43" w:rsidRPr="00962852" w:rsidRDefault="009C4B43" w:rsidP="00DB6D9E">
            <w:pPr>
              <w:spacing w:before="40" w:after="40"/>
            </w:pPr>
            <w:r w:rsidRPr="00962852">
              <w:t>ST/SG/AC.10/C.3/</w:t>
            </w:r>
            <w:r w:rsidR="0043053E" w:rsidRPr="00962852">
              <w:t>120</w:t>
            </w:r>
            <w:r w:rsidRPr="00962852">
              <w:t xml:space="preserve"> </w:t>
            </w:r>
            <w:r w:rsidRPr="00962852">
              <w:br/>
              <w:t>and -/Add.1 </w:t>
            </w:r>
          </w:p>
        </w:tc>
        <w:tc>
          <w:tcPr>
            <w:tcW w:w="4604" w:type="dxa"/>
          </w:tcPr>
          <w:p w14:paraId="049B0967" w14:textId="2D608F7C" w:rsidR="009C4B43" w:rsidRPr="00962852" w:rsidRDefault="009C4B43" w:rsidP="00DB6D9E">
            <w:pPr>
              <w:spacing w:before="40" w:after="40"/>
            </w:pPr>
            <w:r w:rsidRPr="00962852">
              <w:t xml:space="preserve">Report of the Sub-Committee of Experts on the Transport of Dangerous Goods on its </w:t>
            </w:r>
            <w:r w:rsidR="00374E5C" w:rsidRPr="00962852">
              <w:t>sixtieth</w:t>
            </w:r>
            <w:r w:rsidRPr="00962852">
              <w:t xml:space="preserve"> session</w:t>
            </w:r>
          </w:p>
        </w:tc>
      </w:tr>
    </w:tbl>
    <w:p w14:paraId="517B9F29" w14:textId="014D1106" w:rsidR="00941EA1" w:rsidRPr="003A57D5" w:rsidRDefault="00941EA1" w:rsidP="00941EA1">
      <w:pPr>
        <w:pStyle w:val="HChG"/>
      </w:pPr>
      <w:r w:rsidRPr="003A57D5">
        <w:lastRenderedPageBreak/>
        <w:tab/>
        <w:t>2.</w:t>
      </w:r>
      <w:r w:rsidRPr="003A57D5">
        <w:tab/>
        <w:t>Recommendations made by the Sub-Committee at its fortieth, forty-first and forty-second sessions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3A57D5" w:rsidRPr="009C4B43" w14:paraId="46319717" w14:textId="77777777" w:rsidTr="00DB6D9E">
        <w:tc>
          <w:tcPr>
            <w:tcW w:w="2766" w:type="dxa"/>
          </w:tcPr>
          <w:p w14:paraId="40D4F006" w14:textId="40CD4089" w:rsidR="003A57D5" w:rsidRPr="009C4B43" w:rsidRDefault="003A57D5" w:rsidP="00DB6D9E">
            <w:pPr>
              <w:spacing w:before="40" w:after="40"/>
              <w:rPr>
                <w:highlight w:val="yellow"/>
              </w:rPr>
            </w:pPr>
            <w:r w:rsidRPr="003A57D5">
              <w:t xml:space="preserve">ST/SG/AC.10/C.4/2022/13 </w:t>
            </w:r>
            <w:r w:rsidRPr="003A57D5">
              <w:br/>
              <w:t>(Secretariat)</w:t>
            </w:r>
          </w:p>
        </w:tc>
        <w:tc>
          <w:tcPr>
            <w:tcW w:w="4604" w:type="dxa"/>
          </w:tcPr>
          <w:p w14:paraId="23887D09" w14:textId="3544293C" w:rsidR="003A57D5" w:rsidRPr="009C4B43" w:rsidRDefault="00764939" w:rsidP="00DB6D9E">
            <w:pPr>
              <w:spacing w:before="40" w:after="40"/>
              <w:rPr>
                <w:highlight w:val="yellow"/>
              </w:rPr>
            </w:pPr>
            <w:r w:rsidRPr="006F3C08">
              <w:t>Consolidated list of draft amendments adopted by the Sub-Committee at its fortieth and forty-second session</w:t>
            </w:r>
            <w:r w:rsidR="00C815EB">
              <w:t>s</w:t>
            </w:r>
            <w:r w:rsidRPr="009C4B43">
              <w:rPr>
                <w:highlight w:val="yellow"/>
              </w:rPr>
              <w:t xml:space="preserve"> </w:t>
            </w:r>
          </w:p>
        </w:tc>
      </w:tr>
    </w:tbl>
    <w:p w14:paraId="69B9060C" w14:textId="0F09BF21" w:rsidR="009C4B43" w:rsidRPr="007E0830" w:rsidRDefault="009C4B43" w:rsidP="009C4B43">
      <w:pPr>
        <w:pStyle w:val="HChG"/>
      </w:pPr>
      <w:r w:rsidRPr="007E0830">
        <w:tab/>
      </w:r>
      <w:r w:rsidR="00941EA1" w:rsidRPr="007E0830">
        <w:t>3</w:t>
      </w:r>
      <w:r w:rsidRPr="007E0830">
        <w:t>.</w:t>
      </w:r>
      <w:r w:rsidRPr="007E0830">
        <w:tab/>
        <w:t>Work on the Globally Harmonized System of Classification and Labelling of Chemicals</w:t>
      </w:r>
    </w:p>
    <w:p w14:paraId="7A29D71E" w14:textId="4A30936F" w:rsidR="009C4B43" w:rsidRPr="007E0830" w:rsidRDefault="009C4B43" w:rsidP="009C4B43">
      <w:pPr>
        <w:pStyle w:val="H1G"/>
      </w:pPr>
      <w:r w:rsidRPr="007E0830">
        <w:tab/>
        <w:t>(a)</w:t>
      </w:r>
      <w:r w:rsidRPr="007E0830">
        <w:tab/>
        <w:t>Work of the Sub-Committee of Experts on the Transport of Dangerous Goods on matters of interest to the Sub-Committee</w:t>
      </w:r>
      <w:r w:rsidRPr="007E0830">
        <w:rPr>
          <w:rStyle w:val="FootnoteReference"/>
        </w:rPr>
        <w:footnoteReference w:id="2"/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C4B43" w:rsidRPr="00B91A84" w14:paraId="09824A9F" w14:textId="77777777" w:rsidTr="00DB6D9E">
        <w:tc>
          <w:tcPr>
            <w:tcW w:w="2766" w:type="dxa"/>
          </w:tcPr>
          <w:p w14:paraId="322E9528" w14:textId="0C50A424" w:rsidR="009C4B43" w:rsidRPr="00B91A84" w:rsidRDefault="009C4B43" w:rsidP="00DB6D9E">
            <w:pPr>
              <w:spacing w:before="40" w:after="40"/>
            </w:pPr>
            <w:r w:rsidRPr="00B91A84">
              <w:t>ST/SG/AC.10/C.4/2022/</w:t>
            </w:r>
            <w:r w:rsidR="00B91A84" w:rsidRPr="00B91A84">
              <w:t>8</w:t>
            </w:r>
            <w:r w:rsidRPr="00B91A84">
              <w:t xml:space="preserve"> </w:t>
            </w:r>
            <w:r w:rsidRPr="00B91A84">
              <w:br/>
              <w:t>(</w:t>
            </w:r>
            <w:r w:rsidR="00B91A84" w:rsidRPr="00B91A84">
              <w:t>Sweden</w:t>
            </w:r>
            <w:r w:rsidRPr="00B91A84">
              <w:t>)</w:t>
            </w:r>
          </w:p>
        </w:tc>
        <w:tc>
          <w:tcPr>
            <w:tcW w:w="4604" w:type="dxa"/>
          </w:tcPr>
          <w:p w14:paraId="31725060" w14:textId="6F637403" w:rsidR="009C4B43" w:rsidRPr="00B91A84" w:rsidRDefault="00B91A84" w:rsidP="00DB6D9E">
            <w:pPr>
              <w:spacing w:before="40" w:after="40"/>
            </w:pPr>
            <w:r w:rsidRPr="00B91A84">
              <w:rPr>
                <w:rFonts w:eastAsia="MS Mincho"/>
                <w:lang w:eastAsia="ja-JP"/>
              </w:rPr>
              <w:t>Amendment of definition “pyrotechnic substance” and introduction of definition “explosive or pyrotechnic effect”</w:t>
            </w:r>
          </w:p>
        </w:tc>
      </w:tr>
      <w:tr w:rsidR="00536D05" w:rsidRPr="00B91A84" w14:paraId="6436DE5A" w14:textId="77777777" w:rsidTr="00DB6D9E">
        <w:tc>
          <w:tcPr>
            <w:tcW w:w="2766" w:type="dxa"/>
          </w:tcPr>
          <w:p w14:paraId="0D786AF5" w14:textId="79A50915" w:rsidR="00536D05" w:rsidRPr="00B91A84" w:rsidRDefault="00536D05" w:rsidP="00DB6D9E">
            <w:pPr>
              <w:spacing w:before="40" w:after="40"/>
            </w:pPr>
            <w:r w:rsidRPr="00B91A84">
              <w:t>ST/SG/AC.10/C.4/2022/</w:t>
            </w:r>
            <w:r>
              <w:t>12</w:t>
            </w:r>
            <w:r w:rsidRPr="00B91A84">
              <w:t xml:space="preserve"> </w:t>
            </w:r>
            <w:r w:rsidRPr="00B91A84">
              <w:br/>
              <w:t>(</w:t>
            </w:r>
            <w:proofErr w:type="spellStart"/>
            <w:r>
              <w:t>Cefic</w:t>
            </w:r>
            <w:proofErr w:type="spellEnd"/>
            <w:r w:rsidRPr="00B91A84">
              <w:t>)</w:t>
            </w:r>
          </w:p>
        </w:tc>
        <w:tc>
          <w:tcPr>
            <w:tcW w:w="4604" w:type="dxa"/>
          </w:tcPr>
          <w:p w14:paraId="5FABFDDD" w14:textId="27FCFF15" w:rsidR="00536D05" w:rsidRPr="00B91A84" w:rsidRDefault="00536D05" w:rsidP="00DB6D9E">
            <w:pPr>
              <w:spacing w:before="40" w:after="4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 xml:space="preserve">Manual of Tests and Criteria, </w:t>
            </w:r>
            <w:r>
              <w:t>section 1 (paragraph 1.2.1.4.3) and section 20 (paragraph 20.2.5) on self-heating test N.4 for organic peroxides and polymerizing substances</w:t>
            </w:r>
          </w:p>
        </w:tc>
      </w:tr>
      <w:tr w:rsidR="00252AFF" w:rsidRPr="00B91A84" w14:paraId="3C3D215F" w14:textId="77777777" w:rsidTr="00DB6D9E">
        <w:tc>
          <w:tcPr>
            <w:tcW w:w="2766" w:type="dxa"/>
          </w:tcPr>
          <w:p w14:paraId="78ABA219" w14:textId="54A59F7E" w:rsidR="00252AFF" w:rsidRPr="00B91A84" w:rsidRDefault="00252AFF" w:rsidP="00DB6D9E">
            <w:pPr>
              <w:spacing w:before="40" w:after="40"/>
            </w:pPr>
            <w:r w:rsidRPr="00B91A84">
              <w:t>ST/SG/AC.10/C.4/2022/</w:t>
            </w:r>
            <w:r>
              <w:t>17</w:t>
            </w:r>
            <w:r w:rsidRPr="00B91A84">
              <w:t xml:space="preserve"> </w:t>
            </w:r>
            <w:r w:rsidRPr="00B91A84">
              <w:br/>
              <w:t>(</w:t>
            </w:r>
            <w:r w:rsidR="005D337F">
              <w:t>China</w:t>
            </w:r>
            <w:r w:rsidRPr="00B91A84">
              <w:t>)</w:t>
            </w:r>
          </w:p>
        </w:tc>
        <w:tc>
          <w:tcPr>
            <w:tcW w:w="4604" w:type="dxa"/>
          </w:tcPr>
          <w:p w14:paraId="6B7680EE" w14:textId="028EBEC4" w:rsidR="00252AFF" w:rsidRDefault="005D337F" w:rsidP="00DB6D9E">
            <w:pPr>
              <w:spacing w:before="40" w:after="40"/>
              <w:rPr>
                <w:rFonts w:eastAsia="MS Mincho"/>
                <w:lang w:eastAsia="ja-JP"/>
              </w:rPr>
            </w:pPr>
            <w:r>
              <w:t>Metal powders and powders of metals or metal alloys in Test N.1</w:t>
            </w:r>
          </w:p>
        </w:tc>
      </w:tr>
    </w:tbl>
    <w:p w14:paraId="66755DC5" w14:textId="77777777" w:rsidR="009C4B43" w:rsidRDefault="009C4B43" w:rsidP="009C4B43">
      <w:pPr>
        <w:pStyle w:val="H1G"/>
      </w:pPr>
      <w:r w:rsidRPr="007E0830">
        <w:tab/>
        <w:t>(b)</w:t>
      </w:r>
      <w:r w:rsidRPr="007E0830">
        <w:tab/>
        <w:t>Simultaneous classification in physical hazard classes and precedence of hazards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7E0830" w:rsidRPr="003B117E" w14:paraId="24A192D8" w14:textId="77777777" w:rsidTr="00DB6D9E">
        <w:tc>
          <w:tcPr>
            <w:tcW w:w="2766" w:type="dxa"/>
          </w:tcPr>
          <w:p w14:paraId="5B5BD9EB" w14:textId="59620478" w:rsidR="007E0830" w:rsidRPr="003B117E" w:rsidRDefault="007E0830" w:rsidP="00DB6D9E">
            <w:pPr>
              <w:spacing w:before="40" w:after="40"/>
            </w:pPr>
            <w:r w:rsidRPr="003B117E">
              <w:t>ST/SG/AC.10/C.4/2022/</w:t>
            </w:r>
            <w:r w:rsidR="00121BE8" w:rsidRPr="003B117E">
              <w:t>9</w:t>
            </w:r>
            <w:r w:rsidRPr="003B117E">
              <w:t xml:space="preserve"> </w:t>
            </w:r>
            <w:r w:rsidRPr="003B117E">
              <w:br/>
              <w:t>(</w:t>
            </w:r>
            <w:r w:rsidR="003B117E" w:rsidRPr="003B117E">
              <w:t>Germany</w:t>
            </w:r>
            <w:r w:rsidRPr="003B117E">
              <w:t>)</w:t>
            </w:r>
          </w:p>
        </w:tc>
        <w:tc>
          <w:tcPr>
            <w:tcW w:w="4604" w:type="dxa"/>
          </w:tcPr>
          <w:p w14:paraId="12857336" w14:textId="33896E90" w:rsidR="007E0830" w:rsidRPr="003B117E" w:rsidRDefault="003B117E" w:rsidP="003B117E">
            <w:pPr>
              <w:spacing w:before="40" w:after="40"/>
            </w:pPr>
            <w:r w:rsidRPr="003B117E">
              <w:rPr>
                <w:rFonts w:eastAsia="MS Mincho"/>
                <w:lang w:eastAsia="ja-JP"/>
              </w:rPr>
              <w:t>Some issues arising from the GHS work on combinations of physical hazards</w:t>
            </w:r>
          </w:p>
        </w:tc>
      </w:tr>
    </w:tbl>
    <w:p w14:paraId="4423ED7F" w14:textId="77777777" w:rsidR="009C4B43" w:rsidRPr="007E0830" w:rsidRDefault="009C4B43" w:rsidP="009C4B43">
      <w:pPr>
        <w:pStyle w:val="SingleTxtG"/>
        <w:spacing w:before="120"/>
        <w:ind w:left="0" w:firstLine="567"/>
        <w:rPr>
          <w:b/>
          <w:sz w:val="24"/>
        </w:rPr>
      </w:pPr>
      <w:r w:rsidRPr="007E0830">
        <w:rPr>
          <w:b/>
          <w:sz w:val="24"/>
        </w:rPr>
        <w:t>(c)</w:t>
      </w:r>
      <w:r w:rsidRPr="007E0830">
        <w:rPr>
          <w:b/>
          <w:sz w:val="24"/>
        </w:rPr>
        <w:tab/>
        <w:t>Use of non-animal testing methods for classification of health hazards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D5376F" w:rsidRPr="009714D1" w14:paraId="349C9691" w14:textId="77777777" w:rsidTr="00DB6D9E">
        <w:tc>
          <w:tcPr>
            <w:tcW w:w="2766" w:type="dxa"/>
          </w:tcPr>
          <w:p w14:paraId="73B86607" w14:textId="051A91FF" w:rsidR="00D5376F" w:rsidRPr="009714D1" w:rsidRDefault="00D5376F" w:rsidP="00DB6D9E">
            <w:pPr>
              <w:spacing w:before="40" w:after="40"/>
            </w:pPr>
            <w:r w:rsidRPr="009714D1">
              <w:t>ST/SG/AC.10/C.4/2022/</w:t>
            </w:r>
            <w:r w:rsidR="000759F6" w:rsidRPr="009714D1">
              <w:t>1</w:t>
            </w:r>
            <w:r w:rsidRPr="009714D1">
              <w:t xml:space="preserve">4 </w:t>
            </w:r>
            <w:r w:rsidR="0079173C">
              <w:t>and informal document INF.3</w:t>
            </w:r>
            <w:r w:rsidRPr="009714D1">
              <w:br/>
              <w:t>(</w:t>
            </w:r>
            <w:r w:rsidR="000759F6" w:rsidRPr="009714D1">
              <w:t>United Kingdom</w:t>
            </w:r>
            <w:r w:rsidR="00384639">
              <w:t>, Netherlands</w:t>
            </w:r>
            <w:r w:rsidRPr="009714D1">
              <w:t>)</w:t>
            </w:r>
          </w:p>
        </w:tc>
        <w:tc>
          <w:tcPr>
            <w:tcW w:w="4604" w:type="dxa"/>
          </w:tcPr>
          <w:p w14:paraId="1E080460" w14:textId="1D5FE1D9" w:rsidR="00D5376F" w:rsidRPr="009714D1" w:rsidRDefault="009714D1" w:rsidP="00DB6D9E">
            <w:pPr>
              <w:spacing w:before="40" w:after="40"/>
            </w:pPr>
            <w:r w:rsidRPr="009714D1">
              <w:rPr>
                <w:rFonts w:eastAsia="MS Mincho"/>
                <w:lang w:eastAsia="ja-JP"/>
              </w:rPr>
              <w:t>Revision of Chapter 3.4 to fully</w:t>
            </w:r>
            <w:r w:rsidRPr="009714D1" w:rsidDel="00DA6B99">
              <w:rPr>
                <w:rFonts w:eastAsia="MS Mincho"/>
                <w:lang w:eastAsia="ja-JP"/>
              </w:rPr>
              <w:t xml:space="preserve"> </w:t>
            </w:r>
            <w:r w:rsidRPr="009714D1">
              <w:rPr>
                <w:rFonts w:eastAsia="MS Mincho"/>
                <w:lang w:eastAsia="ja-JP"/>
              </w:rPr>
              <w:t xml:space="preserve">incorporate non-animal testing methods </w:t>
            </w:r>
            <w:r w:rsidRPr="009714D1">
              <w:t xml:space="preserve">for skin sensitization </w:t>
            </w:r>
          </w:p>
        </w:tc>
      </w:tr>
      <w:tr w:rsidR="006E08AB" w:rsidRPr="009714D1" w14:paraId="6FDA902B" w14:textId="77777777" w:rsidTr="00DB6D9E">
        <w:tc>
          <w:tcPr>
            <w:tcW w:w="2766" w:type="dxa"/>
          </w:tcPr>
          <w:p w14:paraId="7B6F176F" w14:textId="3BBA3C6C" w:rsidR="006E08AB" w:rsidRPr="009714D1" w:rsidRDefault="006E08AB" w:rsidP="00DB6D9E">
            <w:pPr>
              <w:spacing w:before="40" w:after="40"/>
            </w:pPr>
            <w:r w:rsidRPr="009714D1">
              <w:t>ST/SG/AC.10/C.4/2022/1</w:t>
            </w:r>
            <w:r>
              <w:t>5</w:t>
            </w:r>
            <w:r w:rsidRPr="009714D1">
              <w:t xml:space="preserve"> </w:t>
            </w:r>
            <w:r w:rsidRPr="009714D1">
              <w:br/>
              <w:t>(United Kingdom</w:t>
            </w:r>
            <w:r w:rsidR="00FE165C">
              <w:t>, Netherlands</w:t>
            </w:r>
            <w:r w:rsidRPr="009714D1">
              <w:t>)</w:t>
            </w:r>
          </w:p>
        </w:tc>
        <w:tc>
          <w:tcPr>
            <w:tcW w:w="4604" w:type="dxa"/>
          </w:tcPr>
          <w:p w14:paraId="6FE2EE3D" w14:textId="46C5F999" w:rsidR="006E08AB" w:rsidRPr="009714D1" w:rsidRDefault="00FE165C" w:rsidP="00DB6D9E">
            <w:pPr>
              <w:spacing w:before="40" w:after="40"/>
              <w:rPr>
                <w:rFonts w:eastAsia="MS Mincho"/>
                <w:lang w:eastAsia="ja-JP"/>
              </w:rPr>
            </w:pPr>
            <w:r w:rsidRPr="008D21C4">
              <w:t xml:space="preserve">Consequential amendments to </w:t>
            </w:r>
            <w:r>
              <w:t>c</w:t>
            </w:r>
            <w:r w:rsidRPr="008D21C4">
              <w:t>hapters 1.2</w:t>
            </w:r>
            <w:r>
              <w:t>,</w:t>
            </w:r>
            <w:r w:rsidRPr="008D21C4">
              <w:t xml:space="preserve"> 3.2 and </w:t>
            </w:r>
            <w:r>
              <w:t xml:space="preserve">3.3 </w:t>
            </w:r>
            <w:r w:rsidRPr="008D21C4">
              <w:t>due to the revision of Chapter 3.</w:t>
            </w:r>
            <w:r>
              <w:t>4</w:t>
            </w:r>
            <w:r w:rsidRPr="008D21C4">
              <w:t xml:space="preserve"> to fully</w:t>
            </w:r>
            <w:r w:rsidRPr="008D21C4" w:rsidDel="00DA6B99">
              <w:t xml:space="preserve"> </w:t>
            </w:r>
            <w:r w:rsidRPr="008D21C4">
              <w:t>incorporate non-animal test methods</w:t>
            </w:r>
            <w:r>
              <w:t xml:space="preserve"> for skin sensitization</w:t>
            </w:r>
          </w:p>
        </w:tc>
      </w:tr>
    </w:tbl>
    <w:p w14:paraId="0B860D0C" w14:textId="77777777" w:rsidR="009C4B43" w:rsidRPr="006D3ABF" w:rsidRDefault="009C4B43" w:rsidP="009C4B43">
      <w:pPr>
        <w:pStyle w:val="H1G"/>
      </w:pPr>
      <w:r w:rsidRPr="006D3ABF">
        <w:tab/>
        <w:t>(d)</w:t>
      </w:r>
      <w:r w:rsidRPr="006D3ABF">
        <w:tab/>
        <w:t>Classification of skin sensitizers using the results of local lymph node assays test methods in accordance with OECD Test Guideline 442B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C4B43" w:rsidRPr="001D0478" w14:paraId="042D492E" w14:textId="77777777" w:rsidTr="00DB6D9E">
        <w:tc>
          <w:tcPr>
            <w:tcW w:w="2766" w:type="dxa"/>
          </w:tcPr>
          <w:p w14:paraId="30AF31CB" w14:textId="6E95D504" w:rsidR="009C4B43" w:rsidRPr="001D0478" w:rsidRDefault="009C4B43" w:rsidP="00DB6D9E">
            <w:pPr>
              <w:spacing w:before="40" w:after="40"/>
            </w:pPr>
            <w:r w:rsidRPr="001D0478">
              <w:t>ST/SG/AC.10/C.4/2022/</w:t>
            </w:r>
            <w:r w:rsidR="001D0478" w:rsidRPr="001D0478">
              <w:t>19</w:t>
            </w:r>
            <w:r w:rsidRPr="001D0478">
              <w:t xml:space="preserve"> </w:t>
            </w:r>
            <w:r w:rsidRPr="001D0478">
              <w:br/>
              <w:t>(Japan)</w:t>
            </w:r>
          </w:p>
        </w:tc>
        <w:tc>
          <w:tcPr>
            <w:tcW w:w="4604" w:type="dxa"/>
          </w:tcPr>
          <w:p w14:paraId="4C160792" w14:textId="17188301" w:rsidR="009C4B43" w:rsidRPr="001D0478" w:rsidRDefault="001D0478" w:rsidP="00DB6D9E">
            <w:pPr>
              <w:spacing w:before="40" w:after="40"/>
            </w:pPr>
            <w:r w:rsidRPr="001D0478">
              <w:rPr>
                <w:rFonts w:eastAsia="MS Mincho"/>
                <w:lang w:eastAsia="ja-JP"/>
              </w:rPr>
              <w:t>Clarification of the criteria for classification for skin sensitization using animal studies</w:t>
            </w:r>
          </w:p>
        </w:tc>
      </w:tr>
    </w:tbl>
    <w:p w14:paraId="78AF7A5E" w14:textId="77777777" w:rsidR="009C4B43" w:rsidRDefault="009C4B43" w:rsidP="009C4B43">
      <w:pPr>
        <w:pStyle w:val="H1G"/>
      </w:pPr>
      <w:r w:rsidRPr="006D3ABF">
        <w:tab/>
        <w:t>(e)</w:t>
      </w:r>
      <w:r w:rsidRPr="006D3ABF">
        <w:tab/>
        <w:t>Classification criteria for germ cell mutagenicity</w:t>
      </w:r>
    </w:p>
    <w:p w14:paraId="42594EBF" w14:textId="5175FB24" w:rsidR="008E3301" w:rsidRPr="00546A4C" w:rsidRDefault="00820988" w:rsidP="008E3301">
      <w:pPr>
        <w:pStyle w:val="SingleTxtG"/>
      </w:pPr>
      <w:r>
        <w:tab/>
      </w:r>
      <w:r w:rsidR="00B74C3B" w:rsidRPr="00546A4C">
        <w:t xml:space="preserve">At the time of writing no document has been submitted under this agenda sub-item. </w:t>
      </w:r>
      <w:r w:rsidR="0058509E" w:rsidRPr="00546A4C">
        <w:t xml:space="preserve">The representative of the European Union may wish to update the </w:t>
      </w:r>
      <w:r w:rsidR="008E3301" w:rsidRPr="00546A4C">
        <w:t>Sub-Committee about the progress on the work on this matter since its forty-</w:t>
      </w:r>
      <w:r w:rsidR="00546A4C">
        <w:t>second</w:t>
      </w:r>
      <w:r w:rsidR="008E3301" w:rsidRPr="00546A4C">
        <w:t xml:space="preserve"> session. For reference see ST/SG/AC.10/C.4/8</w:t>
      </w:r>
      <w:r w:rsidR="00C613A5" w:rsidRPr="00546A4C">
        <w:t>4</w:t>
      </w:r>
      <w:r w:rsidR="008E3301" w:rsidRPr="00546A4C">
        <w:t>, paras.</w:t>
      </w:r>
      <w:r w:rsidR="00C613A5" w:rsidRPr="00546A4C">
        <w:t>34 to 36.</w:t>
      </w:r>
    </w:p>
    <w:p w14:paraId="4C8A07D3" w14:textId="2DAD856A" w:rsidR="009C4B43" w:rsidRPr="006D3ABF" w:rsidRDefault="009C4B43" w:rsidP="009C4B43">
      <w:pPr>
        <w:pStyle w:val="H1G"/>
      </w:pPr>
      <w:r w:rsidRPr="006D3ABF">
        <w:tab/>
        <w:t>(f)</w:t>
      </w:r>
      <w:r w:rsidRPr="006D3ABF">
        <w:tab/>
        <w:t xml:space="preserve">Practical classification issues (proposed amendments to the Globally Harmonized System) 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C4B43" w:rsidRPr="00FD1229" w14:paraId="03308D41" w14:textId="77777777" w:rsidTr="00DB6D9E">
        <w:tc>
          <w:tcPr>
            <w:tcW w:w="2766" w:type="dxa"/>
          </w:tcPr>
          <w:p w14:paraId="665B165F" w14:textId="172EC639" w:rsidR="009C4B43" w:rsidRPr="00FD1229" w:rsidRDefault="009C4B43" w:rsidP="00DB6D9E">
            <w:pPr>
              <w:spacing w:before="40" w:after="40"/>
            </w:pPr>
            <w:r w:rsidRPr="00FD1229">
              <w:t>ST/SG/AC.10/C.4/2022/</w:t>
            </w:r>
            <w:r w:rsidR="00FD1229" w:rsidRPr="00FD1229">
              <w:t>21</w:t>
            </w:r>
            <w:r w:rsidRPr="00FD1229">
              <w:t xml:space="preserve"> </w:t>
            </w:r>
            <w:r w:rsidRPr="00FD1229">
              <w:br/>
              <w:t>(United States of America)</w:t>
            </w:r>
          </w:p>
        </w:tc>
        <w:tc>
          <w:tcPr>
            <w:tcW w:w="4604" w:type="dxa"/>
          </w:tcPr>
          <w:p w14:paraId="4F7629DB" w14:textId="0E1F574B" w:rsidR="009C4B43" w:rsidRPr="00FD1229" w:rsidRDefault="00FD1229" w:rsidP="00DB6D9E">
            <w:pPr>
              <w:spacing w:before="40" w:after="40"/>
            </w:pPr>
            <w:r w:rsidRPr="00FD1229">
              <w:rPr>
                <w:rFonts w:eastAsia="MS Mincho"/>
                <w:lang w:eastAsia="ja-JP"/>
              </w:rPr>
              <w:t>P</w:t>
            </w:r>
            <w:r w:rsidRPr="00FD1229">
              <w:t xml:space="preserve">roposal to address </w:t>
            </w:r>
            <w:r w:rsidRPr="00FD1229">
              <w:rPr>
                <w:rFonts w:eastAsia="MS Mincho"/>
              </w:rPr>
              <w:t xml:space="preserve">issues from the </w:t>
            </w:r>
            <w:proofErr w:type="spellStart"/>
            <w:r w:rsidRPr="00FD1229">
              <w:rPr>
                <w:rFonts w:eastAsia="MS Mincho"/>
              </w:rPr>
              <w:t>program</w:t>
            </w:r>
            <w:r w:rsidR="00906BEB">
              <w:rPr>
                <w:rFonts w:eastAsia="MS Mincho"/>
              </w:rPr>
              <w:t>me</w:t>
            </w:r>
            <w:proofErr w:type="spellEnd"/>
            <w:r w:rsidRPr="00FD1229">
              <w:rPr>
                <w:rFonts w:eastAsia="MS Mincho"/>
              </w:rPr>
              <w:t xml:space="preserve"> of work for the practical classification issues informal correspondence group</w:t>
            </w:r>
          </w:p>
        </w:tc>
      </w:tr>
    </w:tbl>
    <w:p w14:paraId="78A7B028" w14:textId="77777777" w:rsidR="009C4B43" w:rsidRPr="0037699D" w:rsidRDefault="009C4B43" w:rsidP="009C4B43">
      <w:pPr>
        <w:pStyle w:val="H1G"/>
      </w:pPr>
      <w:r w:rsidRPr="006D3ABF">
        <w:tab/>
      </w:r>
      <w:r w:rsidRPr="0037699D">
        <w:t>(g)</w:t>
      </w:r>
      <w:r w:rsidRPr="0037699D">
        <w:tab/>
        <w:t>Nanomaterials</w:t>
      </w:r>
    </w:p>
    <w:p w14:paraId="541DDB8E" w14:textId="315AD0A5" w:rsidR="009C4B43" w:rsidRPr="00144AEF" w:rsidRDefault="009C4B43" w:rsidP="009C4B43">
      <w:pPr>
        <w:pStyle w:val="SingleTxtG"/>
      </w:pPr>
      <w:r w:rsidRPr="0037699D">
        <w:t xml:space="preserve">At the time of writing no document has been submitted under this agenda sub-item. </w:t>
      </w:r>
      <w:r w:rsidR="00B74C3B" w:rsidRPr="0037699D">
        <w:t xml:space="preserve">The Sub-Committee may wish to consider </w:t>
      </w:r>
      <w:r w:rsidR="006567BB">
        <w:t>it</w:t>
      </w:r>
      <w:r w:rsidR="005F06B2" w:rsidRPr="0037699D">
        <w:t xml:space="preserve"> when discussing its programme of work for </w:t>
      </w:r>
      <w:r w:rsidR="002444A4" w:rsidRPr="0037699D">
        <w:t>2023-2024 (agenda item 7).</w:t>
      </w:r>
    </w:p>
    <w:p w14:paraId="187CAC15" w14:textId="77777777" w:rsidR="009C4B43" w:rsidRPr="006D3ABF" w:rsidRDefault="009C4B43" w:rsidP="009C4B43">
      <w:pPr>
        <w:pStyle w:val="H1G"/>
      </w:pPr>
      <w:r w:rsidRPr="006D3ABF">
        <w:tab/>
        <w:t>(h)</w:t>
      </w:r>
      <w:r w:rsidRPr="006D3ABF">
        <w:tab/>
      </w:r>
      <w:r w:rsidRPr="006D3ABF">
        <w:tab/>
        <w:t>Improvement of annexes 1 to 3 and further rationalization of precautionary statements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C4B43" w:rsidRPr="00D972FB" w14:paraId="00FEA9FA" w14:textId="77777777" w:rsidTr="00DB6D9E">
        <w:tc>
          <w:tcPr>
            <w:tcW w:w="2766" w:type="dxa"/>
          </w:tcPr>
          <w:p w14:paraId="01E25EC6" w14:textId="3C535D7F" w:rsidR="009C4B43" w:rsidRPr="00D972FB" w:rsidRDefault="009C4B43" w:rsidP="00DB6D9E">
            <w:pPr>
              <w:spacing w:before="40" w:after="40"/>
            </w:pPr>
            <w:r w:rsidRPr="00D972FB">
              <w:t>ST/SG/AC.10/C.4/2022/</w:t>
            </w:r>
            <w:r w:rsidR="00E47B5D" w:rsidRPr="00D972FB">
              <w:t>16</w:t>
            </w:r>
            <w:r w:rsidRPr="00D972FB">
              <w:t xml:space="preserve"> </w:t>
            </w:r>
            <w:r w:rsidRPr="00D972FB">
              <w:br/>
              <w:t>and informal document INF.</w:t>
            </w:r>
            <w:r w:rsidR="00E47B5D" w:rsidRPr="00D972FB">
              <w:t>4</w:t>
            </w:r>
            <w:r w:rsidRPr="00D972FB">
              <w:t xml:space="preserve"> (United Kingdom)</w:t>
            </w:r>
          </w:p>
        </w:tc>
        <w:tc>
          <w:tcPr>
            <w:tcW w:w="4604" w:type="dxa"/>
          </w:tcPr>
          <w:p w14:paraId="645A8DCC" w14:textId="2817E2E8" w:rsidR="009C4B43" w:rsidRPr="00D972FB" w:rsidRDefault="00E47B5D" w:rsidP="00DB6D9E">
            <w:pPr>
              <w:spacing w:before="40" w:after="40"/>
            </w:pPr>
            <w:r w:rsidRPr="00D972FB">
              <w:t>Proposed amendments to precautionary statements in Annex 3 due to the respiratory sensitization hazard class</w:t>
            </w:r>
          </w:p>
        </w:tc>
      </w:tr>
    </w:tbl>
    <w:p w14:paraId="44CB7E4A" w14:textId="77777777" w:rsidR="009C4B43" w:rsidRPr="006D3ABF" w:rsidRDefault="009C4B43" w:rsidP="009C4B43">
      <w:pPr>
        <w:pStyle w:val="H1G"/>
        <w:ind w:left="1080" w:hanging="720"/>
      </w:pPr>
      <w:r w:rsidRPr="006D3ABF">
        <w:tab/>
        <w:t>(</w:t>
      </w:r>
      <w:proofErr w:type="spellStart"/>
      <w:r w:rsidRPr="006D3ABF">
        <w:t>i</w:t>
      </w:r>
      <w:proofErr w:type="spellEnd"/>
      <w:r w:rsidRPr="006D3ABF">
        <w:t>)</w:t>
      </w:r>
      <w:r w:rsidRPr="006D3ABF">
        <w:tab/>
        <w:t>Other matters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C4B43" w:rsidRPr="00E31BED" w14:paraId="76CB1644" w14:textId="77777777" w:rsidTr="00DB6D9E">
        <w:tc>
          <w:tcPr>
            <w:tcW w:w="2766" w:type="dxa"/>
          </w:tcPr>
          <w:p w14:paraId="4DB8A5A4" w14:textId="3100B9A6" w:rsidR="009C4B43" w:rsidRPr="00E31BED" w:rsidRDefault="009C4B43" w:rsidP="00DB6D9E">
            <w:pPr>
              <w:spacing w:before="40" w:after="40"/>
            </w:pPr>
            <w:r w:rsidRPr="00E31BED">
              <w:t>ST/SG/AC.10/C.4/2022/</w:t>
            </w:r>
            <w:r w:rsidR="00E31BED" w:rsidRPr="00E31BED">
              <w:t>10</w:t>
            </w:r>
            <w:r w:rsidRPr="00E31BED">
              <w:t xml:space="preserve"> </w:t>
            </w:r>
            <w:r w:rsidR="00B3637B">
              <w:t xml:space="preserve">and informal document INF.5 </w:t>
            </w:r>
            <w:r w:rsidRPr="00E31BED">
              <w:t>(Germany</w:t>
            </w:r>
            <w:r w:rsidR="00E31BED" w:rsidRPr="00E31BED">
              <w:t>, United States of America</w:t>
            </w:r>
            <w:r w:rsidRPr="00E31BED">
              <w:t>)</w:t>
            </w:r>
          </w:p>
        </w:tc>
        <w:tc>
          <w:tcPr>
            <w:tcW w:w="4604" w:type="dxa"/>
          </w:tcPr>
          <w:p w14:paraId="3FB751D4" w14:textId="4572088D" w:rsidR="009C4B43" w:rsidRPr="00E31BED" w:rsidRDefault="00E31BED" w:rsidP="00DB6D9E">
            <w:pPr>
              <w:spacing w:before="40" w:after="40"/>
            </w:pPr>
            <w:r w:rsidRPr="00E31BED">
              <w:rPr>
                <w:rFonts w:eastAsia="MS Mincho"/>
                <w:lang w:eastAsia="ja-JP"/>
              </w:rPr>
              <w:t>Amendments to the classification of desensitized explosives according to the GHS</w:t>
            </w:r>
          </w:p>
        </w:tc>
      </w:tr>
      <w:tr w:rsidR="00C03950" w:rsidRPr="00E31BED" w14:paraId="0BDAFF13" w14:textId="77777777" w:rsidTr="00DB6D9E">
        <w:tc>
          <w:tcPr>
            <w:tcW w:w="2766" w:type="dxa"/>
          </w:tcPr>
          <w:p w14:paraId="24D6D7BE" w14:textId="441DA78F" w:rsidR="00C03950" w:rsidRPr="00E31BED" w:rsidRDefault="00C03950" w:rsidP="00DB6D9E">
            <w:pPr>
              <w:spacing w:before="40" w:after="40"/>
            </w:pPr>
            <w:r w:rsidRPr="00E31BED">
              <w:t>ST/SG/AC.10/C.4/2022/1</w:t>
            </w:r>
            <w:r>
              <w:t>1 (Germany, Chair of the working group on explosives)</w:t>
            </w:r>
          </w:p>
        </w:tc>
        <w:tc>
          <w:tcPr>
            <w:tcW w:w="4604" w:type="dxa"/>
          </w:tcPr>
          <w:p w14:paraId="611F610C" w14:textId="3DE41C11" w:rsidR="00C03950" w:rsidRPr="00E31BED" w:rsidRDefault="00945A7A" w:rsidP="00DB6D9E">
            <w:pPr>
              <w:spacing w:before="40" w:after="40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Flammable liquids: Open-cup and closed-cup testing for the flash point</w:t>
            </w:r>
          </w:p>
        </w:tc>
      </w:tr>
    </w:tbl>
    <w:p w14:paraId="02A209B4" w14:textId="41473D16" w:rsidR="009C4B43" w:rsidRPr="009D2584" w:rsidRDefault="009C4B43" w:rsidP="009C4B43">
      <w:pPr>
        <w:pStyle w:val="HChG"/>
      </w:pPr>
      <w:r w:rsidRPr="009D2584">
        <w:tab/>
      </w:r>
      <w:r w:rsidR="006D3ABF" w:rsidRPr="009D2584">
        <w:t>4</w:t>
      </w:r>
      <w:r w:rsidRPr="009D2584">
        <w:t>.</w:t>
      </w:r>
      <w:r w:rsidRPr="009D2584">
        <w:tab/>
        <w:t xml:space="preserve">Implementation </w:t>
      </w:r>
    </w:p>
    <w:p w14:paraId="1D5AFAEF" w14:textId="6A13E017" w:rsidR="009C4B43" w:rsidRPr="009D2584" w:rsidRDefault="009C4B43" w:rsidP="009C4B43">
      <w:pPr>
        <w:pStyle w:val="H1G"/>
      </w:pPr>
      <w:r w:rsidRPr="009D2584">
        <w:tab/>
        <w:t>(a)</w:t>
      </w:r>
      <w:r w:rsidRPr="009D2584">
        <w:tab/>
        <w:t xml:space="preserve">Possible development of a list of chemicals classified in accordance with the Globally Harmonized System </w:t>
      </w:r>
    </w:p>
    <w:p w14:paraId="465973AD" w14:textId="508D9525" w:rsidR="009C4B43" w:rsidRPr="00BF5B21" w:rsidRDefault="009C4B43" w:rsidP="009C4B43">
      <w:pPr>
        <w:pStyle w:val="SingleTxtG"/>
      </w:pPr>
      <w:r w:rsidRPr="00BF5B21">
        <w:t xml:space="preserve">The experts from Canada and the United States of America may wish to inform the </w:t>
      </w:r>
      <w:r w:rsidRPr="00BF5B21">
        <w:br/>
        <w:t>Sub-Committee about the progress on the work on this matter since its forty-</w:t>
      </w:r>
      <w:r w:rsidR="00BF5B21" w:rsidRPr="00BF5B21">
        <w:t>second</w:t>
      </w:r>
      <w:r w:rsidRPr="00BF5B21">
        <w:t xml:space="preserve"> session. For reference, see ST/SG/AC.10/C.4/8</w:t>
      </w:r>
      <w:r w:rsidR="00650665" w:rsidRPr="00BF5B21">
        <w:t>4</w:t>
      </w:r>
      <w:r w:rsidRPr="00BF5B21">
        <w:t>, paras.</w:t>
      </w:r>
      <w:r w:rsidR="00BF5B21" w:rsidRPr="00BF5B21">
        <w:t>48 to 52</w:t>
      </w:r>
      <w:r w:rsidRPr="00BF5B21">
        <w:t>.</w:t>
      </w:r>
    </w:p>
    <w:p w14:paraId="70B77DF3" w14:textId="77777777" w:rsidR="009C4B43" w:rsidRPr="009D2584" w:rsidRDefault="009C4B43" w:rsidP="009C4B43">
      <w:pPr>
        <w:pStyle w:val="H1G"/>
      </w:pPr>
      <w:r w:rsidRPr="009D2584">
        <w:tab/>
        <w:t>(b)</w:t>
      </w:r>
      <w:r w:rsidRPr="009D2584">
        <w:tab/>
        <w:t>Reports on the status of implementation</w:t>
      </w:r>
    </w:p>
    <w:p w14:paraId="4A67C5C4" w14:textId="1392B4B6" w:rsidR="009C4B43" w:rsidRPr="00BF5B21" w:rsidRDefault="009C4B43" w:rsidP="009C4B43">
      <w:pPr>
        <w:pStyle w:val="SingleTxtG"/>
      </w:pPr>
      <w:r w:rsidRPr="00BF5B21">
        <w:t xml:space="preserve">At the time of writing no document has been submitted under this agenda sub-item. Experts, </w:t>
      </w:r>
      <w:proofErr w:type="gramStart"/>
      <w:r w:rsidRPr="00BF5B21">
        <w:t>observers</w:t>
      </w:r>
      <w:proofErr w:type="gramEnd"/>
      <w:r w:rsidRPr="00BF5B21">
        <w:t xml:space="preserve"> and international organizations may wish to inform the Sub-Committee about the progress in the GHS implementation in their respective countries or areas of work.</w:t>
      </w:r>
      <w:r w:rsidR="00BF5B21">
        <w:t xml:space="preserve"> </w:t>
      </w:r>
    </w:p>
    <w:p w14:paraId="0A1ADF07" w14:textId="77777777" w:rsidR="009C4B43" w:rsidRPr="009D2584" w:rsidRDefault="009C4B43" w:rsidP="009C4B43">
      <w:pPr>
        <w:pStyle w:val="H1G"/>
      </w:pPr>
      <w:r w:rsidRPr="009D2584">
        <w:tab/>
        <w:t>(c)</w:t>
      </w:r>
      <w:r w:rsidRPr="009D2584">
        <w:tab/>
      </w:r>
      <w:r w:rsidRPr="009D2584">
        <w:tab/>
        <w:t>Cooperation with other bodies or international organizations</w:t>
      </w:r>
    </w:p>
    <w:p w14:paraId="43EAB575" w14:textId="77777777" w:rsidR="009C4B43" w:rsidRPr="00BF5B21" w:rsidRDefault="009C4B43" w:rsidP="009C4B43">
      <w:pPr>
        <w:pStyle w:val="SingleTxtG"/>
      </w:pPr>
      <w:r w:rsidRPr="00BF5B21">
        <w:t xml:space="preserve">At the time of writing no document has been submitted under this agenda sub-item. </w:t>
      </w:r>
    </w:p>
    <w:p w14:paraId="1E401FE6" w14:textId="77777777" w:rsidR="009C4B43" w:rsidRDefault="009C4B43" w:rsidP="009C4B43">
      <w:pPr>
        <w:pStyle w:val="H1G"/>
      </w:pPr>
      <w:r w:rsidRPr="009D2584">
        <w:tab/>
        <w:t>(d)</w:t>
      </w:r>
      <w:r w:rsidRPr="009D2584">
        <w:tab/>
      </w:r>
      <w:r w:rsidRPr="009D2584">
        <w:tab/>
        <w:t>Miscellaneous</w:t>
      </w:r>
    </w:p>
    <w:p w14:paraId="3DD47B43" w14:textId="7EBA2E51" w:rsidR="00BF5B21" w:rsidRPr="00BF5B21" w:rsidRDefault="00BF5B21" w:rsidP="00BF5B21">
      <w:pPr>
        <w:pStyle w:val="SingleTxtG"/>
      </w:pPr>
      <w:r w:rsidRPr="00BF5B21">
        <w:t xml:space="preserve">At the time of writing no document has been submitted under this agenda sub-item. </w:t>
      </w:r>
    </w:p>
    <w:p w14:paraId="4702DE91" w14:textId="711BAB3F" w:rsidR="009C4B43" w:rsidRPr="009D2584" w:rsidRDefault="009C4B43" w:rsidP="009D2584">
      <w:pPr>
        <w:pStyle w:val="HChG"/>
      </w:pPr>
      <w:r w:rsidRPr="009D2584">
        <w:tab/>
      </w:r>
      <w:r w:rsidR="009D2584" w:rsidRPr="009D2584">
        <w:t>5</w:t>
      </w:r>
      <w:r w:rsidRPr="009D2584">
        <w:t>.</w:t>
      </w:r>
      <w:r w:rsidRPr="009D2584">
        <w:tab/>
        <w:t xml:space="preserve">Development of guidance </w:t>
      </w:r>
    </w:p>
    <w:p w14:paraId="542147C7" w14:textId="77777777" w:rsidR="009C4B43" w:rsidRPr="009D2584" w:rsidRDefault="009C4B43" w:rsidP="009C4B43">
      <w:pPr>
        <w:pStyle w:val="H1G"/>
      </w:pPr>
      <w:r w:rsidRPr="009D2584">
        <w:tab/>
        <w:t>(a)</w:t>
      </w:r>
      <w:r w:rsidRPr="009D2584">
        <w:tab/>
        <w:t>Alignment of Annex 9 (section A9.7) and Annex 10 with the criteria in Chapter 4.1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9D2584" w:rsidRPr="00E26B3E" w14:paraId="753989AB" w14:textId="77777777" w:rsidTr="00DB6D9E">
        <w:tc>
          <w:tcPr>
            <w:tcW w:w="2766" w:type="dxa"/>
          </w:tcPr>
          <w:p w14:paraId="2B9B8AA0" w14:textId="56AACEBD" w:rsidR="009D2584" w:rsidRPr="00E26B3E" w:rsidRDefault="009D2584" w:rsidP="00DB6D9E">
            <w:pPr>
              <w:spacing w:before="40" w:after="40"/>
            </w:pPr>
            <w:r w:rsidRPr="00E26B3E">
              <w:t>ST/SG/AC.10/C.4/2022/</w:t>
            </w:r>
            <w:r w:rsidR="001060BF" w:rsidRPr="00E26B3E">
              <w:t>20</w:t>
            </w:r>
            <w:r w:rsidRPr="00E26B3E">
              <w:t xml:space="preserve"> </w:t>
            </w:r>
            <w:r w:rsidR="00521640">
              <w:t xml:space="preserve">and informal document INF.6 </w:t>
            </w:r>
            <w:r w:rsidRPr="00E26B3E">
              <w:t>(</w:t>
            </w:r>
            <w:r w:rsidR="00A96FFE" w:rsidRPr="00E26B3E">
              <w:t>ICMM</w:t>
            </w:r>
            <w:r w:rsidRPr="00E26B3E">
              <w:t>)</w:t>
            </w:r>
          </w:p>
        </w:tc>
        <w:tc>
          <w:tcPr>
            <w:tcW w:w="4604" w:type="dxa"/>
          </w:tcPr>
          <w:p w14:paraId="0921EACE" w14:textId="14414614" w:rsidR="009D2584" w:rsidRPr="00E26B3E" w:rsidRDefault="00E26B3E" w:rsidP="00DB6D9E">
            <w:pPr>
              <w:spacing w:before="40" w:after="40"/>
            </w:pPr>
            <w:r w:rsidRPr="00E26B3E">
              <w:rPr>
                <w:rFonts w:eastAsia="MS Mincho"/>
                <w:lang w:eastAsia="ja-JP"/>
              </w:rPr>
              <w:t>Revision of GHS Annex 9 (section 9.7) and Annex 10 to align them with the criteria in Chapter 4.1 and the generic environmental hazard guidance</w:t>
            </w:r>
          </w:p>
        </w:tc>
      </w:tr>
    </w:tbl>
    <w:p w14:paraId="674A2929" w14:textId="77777777" w:rsidR="009C4B43" w:rsidRPr="009D2584" w:rsidRDefault="009C4B43" w:rsidP="009C4B43">
      <w:pPr>
        <w:pStyle w:val="H1G"/>
      </w:pPr>
      <w:r w:rsidRPr="009D2584">
        <w:tab/>
        <w:t>(b)</w:t>
      </w:r>
      <w:r w:rsidRPr="009D2584">
        <w:tab/>
        <w:t>Practical classification issues</w:t>
      </w:r>
    </w:p>
    <w:p w14:paraId="18BC7B0E" w14:textId="46E3F3CD" w:rsidR="0006579D" w:rsidRPr="00326A61" w:rsidRDefault="00A47FDE" w:rsidP="006F28E9">
      <w:pPr>
        <w:pStyle w:val="SingleTxtG"/>
      </w:pPr>
      <w:r w:rsidRPr="00326A61">
        <w:t>Proposals for amendment to the GHS</w:t>
      </w:r>
      <w:r w:rsidR="00D567B2" w:rsidRPr="00326A61">
        <w:t xml:space="preserve"> to address </w:t>
      </w:r>
      <w:r w:rsidR="001C2752" w:rsidRPr="00326A61">
        <w:t xml:space="preserve">items </w:t>
      </w:r>
      <w:r w:rsidR="00B0138C" w:rsidRPr="00326A61">
        <w:t xml:space="preserve">1, 2 </w:t>
      </w:r>
      <w:r w:rsidR="00FF665A" w:rsidRPr="00326A61">
        <w:t xml:space="preserve">and </w:t>
      </w:r>
      <w:r w:rsidR="00B0138C" w:rsidRPr="00326A61">
        <w:t>4</w:t>
      </w:r>
      <w:r w:rsidR="00FF665A" w:rsidRPr="00326A61">
        <w:t xml:space="preserve"> to 9</w:t>
      </w:r>
      <w:r w:rsidR="00B0138C" w:rsidRPr="00326A61">
        <w:t xml:space="preserve"> </w:t>
      </w:r>
      <w:r w:rsidR="00D567B2" w:rsidRPr="00326A61">
        <w:t xml:space="preserve">of the </w:t>
      </w:r>
      <w:r w:rsidR="00572A9B" w:rsidRPr="00326A61">
        <w:t xml:space="preserve">informal correspondence </w:t>
      </w:r>
      <w:r w:rsidR="00D567B2" w:rsidRPr="00326A61">
        <w:t>group</w:t>
      </w:r>
      <w:r w:rsidR="00761318" w:rsidRPr="00326A61">
        <w:t xml:space="preserve"> on practical classification issue</w:t>
      </w:r>
      <w:r w:rsidR="00D567B2" w:rsidRPr="00326A61">
        <w:t xml:space="preserve">’s work </w:t>
      </w:r>
      <w:r w:rsidR="00572A9B" w:rsidRPr="00326A61">
        <w:t xml:space="preserve">programme </w:t>
      </w:r>
      <w:r w:rsidRPr="00326A61">
        <w:t xml:space="preserve">will be considered by the Sub-Committee under </w:t>
      </w:r>
      <w:r w:rsidR="00D567B2" w:rsidRPr="00326A61">
        <w:t xml:space="preserve">agenda item </w:t>
      </w:r>
      <w:r w:rsidR="006F28E9" w:rsidRPr="00326A61">
        <w:t>3 (f)</w:t>
      </w:r>
      <w:r w:rsidR="00572A9B" w:rsidRPr="00326A61">
        <w:t xml:space="preserve"> (see document ST/SG/AC.10/C.4/2022/2</w:t>
      </w:r>
      <w:r w:rsidR="009E7E15">
        <w:t>1</w:t>
      </w:r>
      <w:r w:rsidR="00572A9B" w:rsidRPr="00326A61">
        <w:t>).</w:t>
      </w:r>
      <w:r w:rsidR="00761318" w:rsidRPr="00326A61">
        <w:t xml:space="preserve"> </w:t>
      </w:r>
    </w:p>
    <w:p w14:paraId="14B73540" w14:textId="4D1C4646" w:rsidR="00761318" w:rsidRDefault="00761318" w:rsidP="00FC5541">
      <w:pPr>
        <w:pStyle w:val="SingleTxtG"/>
      </w:pPr>
      <w:r w:rsidRPr="00326A61">
        <w:t xml:space="preserve">The expert from the United States of America may wish to update the Sub-Committee about the progress on the work </w:t>
      </w:r>
      <w:r w:rsidR="00A41AD1" w:rsidRPr="00326A61">
        <w:t xml:space="preserve">of the group on </w:t>
      </w:r>
      <w:r w:rsidR="00FC5541" w:rsidRPr="00326A61">
        <w:t>the remaining items on its programme of work.</w:t>
      </w:r>
      <w:r w:rsidR="00FC5541">
        <w:t xml:space="preserve"> </w:t>
      </w:r>
    </w:p>
    <w:p w14:paraId="35B518C7" w14:textId="77777777" w:rsidR="009C4B43" w:rsidRPr="009D2584" w:rsidRDefault="009C4B43" w:rsidP="009C4B43">
      <w:pPr>
        <w:pStyle w:val="H1G"/>
      </w:pPr>
      <w:r w:rsidRPr="009D2584">
        <w:tab/>
        <w:t>(c)</w:t>
      </w:r>
      <w:r w:rsidRPr="009D2584">
        <w:tab/>
        <w:t>Practical labelling issues</w:t>
      </w:r>
    </w:p>
    <w:p w14:paraId="7F8453A5" w14:textId="1C5E4C00" w:rsidR="009C4B43" w:rsidRPr="00193905" w:rsidRDefault="009C4B43" w:rsidP="009C4B43">
      <w:pPr>
        <w:pStyle w:val="SingleTxtG"/>
      </w:pPr>
      <w:r w:rsidRPr="008935C9">
        <w:t>At the time of writing no document has been submitted under this agenda sub-item. The representative of the European Chemical Industry Council (</w:t>
      </w:r>
      <w:proofErr w:type="spellStart"/>
      <w:r w:rsidRPr="008935C9">
        <w:t>Cefic</w:t>
      </w:r>
      <w:proofErr w:type="spellEnd"/>
      <w:r w:rsidRPr="008935C9">
        <w:t xml:space="preserve">) may wish to inform the Sub-Committee about the progress on the work on this matter. </w:t>
      </w:r>
      <w:r w:rsidRPr="00193905">
        <w:t>For reference, see ST/SG/AC.10/C.4/82, paras.47 to 49.</w:t>
      </w:r>
    </w:p>
    <w:p w14:paraId="1289DA7A" w14:textId="77777777" w:rsidR="009C4B43" w:rsidRPr="00155C3B" w:rsidRDefault="009C4B43" w:rsidP="009C4B43">
      <w:pPr>
        <w:pStyle w:val="H1G"/>
      </w:pPr>
      <w:r w:rsidRPr="00155C3B">
        <w:tab/>
        <w:t>(d)</w:t>
      </w:r>
      <w:r w:rsidRPr="00155C3B">
        <w:tab/>
      </w:r>
      <w:r w:rsidRPr="00155C3B">
        <w:tab/>
        <w:t>Miscellaneous</w:t>
      </w:r>
    </w:p>
    <w:p w14:paraId="4D8F45C6" w14:textId="77777777" w:rsidR="009C4B43" w:rsidRPr="00FE6899" w:rsidRDefault="009C4B43" w:rsidP="009C4B43">
      <w:pPr>
        <w:pStyle w:val="SingleTxtG"/>
      </w:pPr>
      <w:r w:rsidRPr="00FE6899">
        <w:t xml:space="preserve">At the time of writing no document has been submitted under this agenda sub-item. </w:t>
      </w:r>
    </w:p>
    <w:p w14:paraId="0C749367" w14:textId="7F95E7D4" w:rsidR="009C4B43" w:rsidRPr="00155C3B" w:rsidRDefault="009C4B43" w:rsidP="009C4B43">
      <w:pPr>
        <w:pStyle w:val="HChG"/>
      </w:pPr>
      <w:r w:rsidRPr="00155C3B">
        <w:tab/>
      </w:r>
      <w:r w:rsidR="00155C3B" w:rsidRPr="00155C3B">
        <w:t>6</w:t>
      </w:r>
      <w:r w:rsidRPr="00155C3B">
        <w:t>.</w:t>
      </w:r>
      <w:r w:rsidRPr="00155C3B">
        <w:tab/>
        <w:t>Capacity building</w:t>
      </w:r>
    </w:p>
    <w:p w14:paraId="6F477B0E" w14:textId="77777777" w:rsidR="009C4B43" w:rsidRPr="00FE6899" w:rsidRDefault="009C4B43" w:rsidP="009C4B43">
      <w:pPr>
        <w:pStyle w:val="SingleTxtG"/>
      </w:pPr>
      <w:r w:rsidRPr="00FE6899">
        <w:t xml:space="preserve">Experts, </w:t>
      </w:r>
      <w:proofErr w:type="gramStart"/>
      <w:r w:rsidRPr="00FE6899">
        <w:t>observers</w:t>
      </w:r>
      <w:proofErr w:type="gramEnd"/>
      <w:r w:rsidRPr="00FE6899">
        <w:t xml:space="preserve"> and international organizations may wish to inform the Sub-Committee of any capacity-building activities or projects undertaken in relation to the GHS.</w:t>
      </w:r>
    </w:p>
    <w:p w14:paraId="1A0CD930" w14:textId="50B25522" w:rsidR="00155C3B" w:rsidRDefault="00155C3B" w:rsidP="00F95BD7">
      <w:pPr>
        <w:pStyle w:val="HChG"/>
        <w:keepNext w:val="0"/>
        <w:keepLines w:val="0"/>
      </w:pPr>
      <w:r>
        <w:tab/>
        <w:t>7.</w:t>
      </w:r>
      <w:r>
        <w:tab/>
        <w:t>Programme of work for the biennium 2023</w:t>
      </w:r>
      <w:r>
        <w:softHyphen/>
        <w:t>-2024</w:t>
      </w:r>
    </w:p>
    <w:p w14:paraId="65E492B2" w14:textId="542706F8" w:rsidR="00732398" w:rsidRPr="00732398" w:rsidRDefault="00732398" w:rsidP="00436A30">
      <w:pPr>
        <w:pStyle w:val="SingleTxtG"/>
      </w:pPr>
      <w:r w:rsidRPr="00436A30">
        <w:rPr>
          <w:b/>
          <w:bCs/>
          <w:i/>
          <w:iCs/>
        </w:rPr>
        <w:t>Background document</w:t>
      </w:r>
      <w:r>
        <w:t>: ST/SG/AC.10/C.4/78, Annex II</w:t>
      </w:r>
      <w:r w:rsidR="00C23150">
        <w:rPr>
          <w:rStyle w:val="FootnoteReference"/>
        </w:rPr>
        <w:footnoteReference w:id="3"/>
      </w:r>
      <w:r w:rsidR="00C23150">
        <w:t xml:space="preserve"> (Programme of work </w:t>
      </w:r>
      <w:r w:rsidR="001230F6">
        <w:t xml:space="preserve">of the Sub-Committee </w:t>
      </w:r>
      <w:r w:rsidR="00C23150">
        <w:t>for 2021-2022)</w:t>
      </w:r>
    </w:p>
    <w:p w14:paraId="2F7E1426" w14:textId="016A9E49" w:rsidR="0074676B" w:rsidRDefault="0074676B" w:rsidP="00BE1373">
      <w:pPr>
        <w:pStyle w:val="SingleTxtG"/>
      </w:pPr>
      <w:r>
        <w:t xml:space="preserve">The Sub-Committee will review the </w:t>
      </w:r>
      <w:r w:rsidR="00CD66BD">
        <w:t>stat</w:t>
      </w:r>
      <w:r w:rsidR="00EF3FAD">
        <w:t xml:space="preserve">us </w:t>
      </w:r>
      <w:r>
        <w:t xml:space="preserve">of the activities listed on its programme of work for 2021-2022 and consider proposals for </w:t>
      </w:r>
      <w:r w:rsidR="00BE1373">
        <w:t xml:space="preserve">the period </w:t>
      </w:r>
      <w:r>
        <w:t>2023-2024.</w:t>
      </w:r>
    </w:p>
    <w:p w14:paraId="5A7DA2CD" w14:textId="648E2804" w:rsidR="006167AB" w:rsidRDefault="00F95BD7" w:rsidP="00F95BD7">
      <w:pPr>
        <w:pStyle w:val="SingleTxtG"/>
      </w:pPr>
      <w:r>
        <w:t xml:space="preserve">References to activities that may need to be carried over during the biennium 2023-2024 were made at the forty-second session of the Sub-Committee in relation to germ cell mutagenicity (see ST/SG/AC.10/C.4/84, paras. 34-36) and </w:t>
      </w:r>
      <w:r w:rsidR="00095ECE">
        <w:t xml:space="preserve">the </w:t>
      </w:r>
      <w:r>
        <w:t>use of non-animal testing methods for classification of health hazards (see ST/SG/AC.10/C.4/84, paras. 31-33).</w:t>
      </w:r>
      <w:r w:rsidR="00BC4E99">
        <w:t xml:space="preserve"> </w:t>
      </w:r>
    </w:p>
    <w:p w14:paraId="21CA0776" w14:textId="7E0A1B38" w:rsidR="00F95BD7" w:rsidRDefault="000C3986" w:rsidP="00F95BD7">
      <w:pPr>
        <w:pStyle w:val="SingleTxtG"/>
      </w:pPr>
      <w:r>
        <w:t>It is expected that updated proposals addressing the</w:t>
      </w:r>
      <w:r w:rsidR="00A47C46">
        <w:t xml:space="preserve"> above</w:t>
      </w:r>
      <w:r>
        <w:t xml:space="preserve"> </w:t>
      </w:r>
      <w:r w:rsidR="004473A4">
        <w:t xml:space="preserve">or any other </w:t>
      </w:r>
      <w:r w:rsidR="007B437C">
        <w:t xml:space="preserve">items </w:t>
      </w:r>
      <w:r w:rsidR="005608EF">
        <w:t xml:space="preserve">for which work </w:t>
      </w:r>
      <w:r w:rsidR="007B437C">
        <w:t xml:space="preserve">could not be completed </w:t>
      </w:r>
      <w:r w:rsidR="006167AB">
        <w:t xml:space="preserve">in 2021-2022 </w:t>
      </w:r>
      <w:r>
        <w:t>be submitted for consideration by the Sub-Committee.</w:t>
      </w:r>
    </w:p>
    <w:p w14:paraId="41C39D8B" w14:textId="0FEDC3D2" w:rsidR="0044132B" w:rsidRDefault="00160C5E" w:rsidP="001D1FD8">
      <w:pPr>
        <w:pStyle w:val="SingleTxtG"/>
      </w:pPr>
      <w:r>
        <w:t xml:space="preserve">At the time of writing, </w:t>
      </w:r>
      <w:r w:rsidR="00043FA9">
        <w:t xml:space="preserve">the following document </w:t>
      </w:r>
      <w:r w:rsidR="00E35667">
        <w:t xml:space="preserve">has been submitted with a proposal for </w:t>
      </w:r>
      <w:r w:rsidR="001266B8">
        <w:t>a new item to be included in the programme of work:</w:t>
      </w:r>
      <w:r w:rsidR="000B0140">
        <w:t xml:space="preserve"> </w:t>
      </w:r>
    </w:p>
    <w:tbl>
      <w:tblPr>
        <w:tblStyle w:val="TableGrid"/>
        <w:tblW w:w="737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4604"/>
      </w:tblGrid>
      <w:tr w:rsidR="00B81F4F" w:rsidRPr="00F80D5A" w14:paraId="5F483883" w14:textId="77777777" w:rsidTr="00DB6D9E">
        <w:tc>
          <w:tcPr>
            <w:tcW w:w="2766" w:type="dxa"/>
          </w:tcPr>
          <w:p w14:paraId="4A907D9E" w14:textId="4D214BEC" w:rsidR="00B81F4F" w:rsidRPr="00F80D5A" w:rsidRDefault="00B81F4F" w:rsidP="00DB6D9E">
            <w:pPr>
              <w:spacing w:before="40" w:after="40"/>
            </w:pPr>
            <w:r w:rsidRPr="00F80D5A">
              <w:t>ST/SG/AC.10/C.4/2022/</w:t>
            </w:r>
            <w:r w:rsidR="001B43AE" w:rsidRPr="00F80D5A">
              <w:t>18</w:t>
            </w:r>
            <w:r w:rsidRPr="00F80D5A">
              <w:t xml:space="preserve"> (</w:t>
            </w:r>
            <w:r w:rsidR="001B43AE" w:rsidRPr="00F80D5A">
              <w:t>European Union</w:t>
            </w:r>
            <w:r w:rsidRPr="00F80D5A">
              <w:t>)</w:t>
            </w:r>
          </w:p>
        </w:tc>
        <w:tc>
          <w:tcPr>
            <w:tcW w:w="4604" w:type="dxa"/>
          </w:tcPr>
          <w:p w14:paraId="242FF7F5" w14:textId="26E4B421" w:rsidR="00B81F4F" w:rsidRPr="00F80D5A" w:rsidRDefault="00F80D5A" w:rsidP="00DB6D9E">
            <w:pPr>
              <w:spacing w:before="40" w:after="40"/>
            </w:pPr>
            <w:r w:rsidRPr="00F80D5A">
              <w:t xml:space="preserve">Proposal for new work on unaddressed hazard classes in the </w:t>
            </w:r>
            <w:proofErr w:type="spellStart"/>
            <w:r w:rsidRPr="00F80D5A">
              <w:t>programme</w:t>
            </w:r>
            <w:proofErr w:type="spellEnd"/>
            <w:r w:rsidRPr="00F80D5A">
              <w:t xml:space="preserve"> of work for the biennium 2023-2024</w:t>
            </w:r>
          </w:p>
        </w:tc>
      </w:tr>
    </w:tbl>
    <w:p w14:paraId="24E94529" w14:textId="059D9665" w:rsidR="00744E41" w:rsidRDefault="00744E41" w:rsidP="00744E41">
      <w:pPr>
        <w:pStyle w:val="HChG"/>
      </w:pPr>
      <w:r>
        <w:tab/>
        <w:t>8.</w:t>
      </w:r>
      <w:r>
        <w:tab/>
        <w:t>Draft Resolution 2023/… of the Economic and Social Council</w:t>
      </w:r>
    </w:p>
    <w:p w14:paraId="6C669267" w14:textId="20D9B80F" w:rsidR="00744E41" w:rsidRPr="00744E41" w:rsidRDefault="00310199" w:rsidP="00310199">
      <w:pPr>
        <w:pStyle w:val="SingleTxtG"/>
      </w:pPr>
      <w:r w:rsidRPr="002672C9">
        <w:rPr>
          <w:rStyle w:val="SingleTxtGCar"/>
        </w:rPr>
        <w:t>The Sub-Committee may wish to consider a draft resolution to be submitted to the Economic</w:t>
      </w:r>
      <w:r>
        <w:t xml:space="preserve"> and Social Council </w:t>
      </w:r>
      <w:r w:rsidR="00CA1F23">
        <w:t xml:space="preserve">(ECOSOC) </w:t>
      </w:r>
      <w:r>
        <w:t xml:space="preserve">for adoption at its 2023 session </w:t>
      </w:r>
      <w:proofErr w:type="gramStart"/>
      <w:r>
        <w:t>on the basis of</w:t>
      </w:r>
      <w:proofErr w:type="gramEnd"/>
      <w:r>
        <w:t xml:space="preserve"> a draft prepared by the secretariat.</w:t>
      </w:r>
    </w:p>
    <w:p w14:paraId="6CAA2E3C" w14:textId="74D2C9BE" w:rsidR="00744E41" w:rsidRDefault="00744E41" w:rsidP="00744E41">
      <w:pPr>
        <w:pStyle w:val="HChG"/>
      </w:pPr>
      <w:r>
        <w:tab/>
        <w:t>9.</w:t>
      </w:r>
      <w:r>
        <w:tab/>
        <w:t>Election of officers for the biennium 2023-2024</w:t>
      </w:r>
    </w:p>
    <w:p w14:paraId="4E2AE4D1" w14:textId="732F9653" w:rsidR="00155C3B" w:rsidRDefault="00D42C19" w:rsidP="00D42C19">
      <w:pPr>
        <w:pStyle w:val="SingleTxtG"/>
        <w:rPr>
          <w:highlight w:val="yellow"/>
        </w:rPr>
      </w:pPr>
      <w:r w:rsidRPr="002672C9">
        <w:rPr>
          <w:rStyle w:val="SingleTxtGCar"/>
        </w:rPr>
        <w:t xml:space="preserve">In accordance with the established practice, the Sub-Committee will be invited to elect officers for the biennium </w:t>
      </w:r>
      <w:r>
        <w:rPr>
          <w:rStyle w:val="SingleTxtGCar"/>
        </w:rPr>
        <w:t>2023-2024</w:t>
      </w:r>
      <w:r w:rsidRPr="002672C9">
        <w:rPr>
          <w:rStyle w:val="SingleTxtGCar"/>
        </w:rPr>
        <w:t xml:space="preserve"> among the representatives of its member countries.</w:t>
      </w:r>
    </w:p>
    <w:p w14:paraId="2448C179" w14:textId="78E704BF" w:rsidR="009C4B43" w:rsidRDefault="009C4B43" w:rsidP="009C4B43">
      <w:pPr>
        <w:pStyle w:val="HChG"/>
      </w:pPr>
      <w:r w:rsidRPr="00744E41">
        <w:tab/>
      </w:r>
      <w:r w:rsidR="00744E41" w:rsidRPr="00744E41">
        <w:t>10</w:t>
      </w:r>
      <w:r w:rsidRPr="00744E41">
        <w:t>.</w:t>
      </w:r>
      <w:r w:rsidRPr="00744E41">
        <w:tab/>
        <w:t>Other business</w:t>
      </w:r>
    </w:p>
    <w:p w14:paraId="11BC18EF" w14:textId="04480EEC" w:rsidR="003518A0" w:rsidRPr="003518A0" w:rsidRDefault="003518A0" w:rsidP="00A55165">
      <w:pPr>
        <w:pStyle w:val="SingleTxtG"/>
        <w:keepNext/>
        <w:keepLines/>
      </w:pPr>
      <w:r w:rsidRPr="00A55165">
        <w:t>As a follow-up to the review of ECOSOC subsidiary bodies conducted during 2022</w:t>
      </w:r>
      <w:r w:rsidR="00B40D6C" w:rsidRPr="00A55165">
        <w:t xml:space="preserve"> and the discussions held on this matter at the forty-second session (see ST/SG/AC.10/</w:t>
      </w:r>
      <w:r w:rsidR="00A55165" w:rsidRPr="00A55165">
        <w:t xml:space="preserve">C.4/84, </w:t>
      </w:r>
      <w:r w:rsidR="00B40D6C" w:rsidRPr="00A55165">
        <w:t>paras 74 and 75)</w:t>
      </w:r>
      <w:r w:rsidRPr="00A55165">
        <w:t xml:space="preserve">, the Sub-Committee will be invited to consider how to further align its work to best support the implementation of the 2030 Agenda and the work of the Council. As a first step, the Sub-Committee may wish to consider including </w:t>
      </w:r>
      <w:r w:rsidR="00A731CA" w:rsidRPr="00A55165">
        <w:t xml:space="preserve">a standing item </w:t>
      </w:r>
      <w:r w:rsidR="00A731CA">
        <w:t xml:space="preserve">on its agenda for 2023-2024 </w:t>
      </w:r>
      <w:r w:rsidR="00A731CA" w:rsidRPr="00A55165">
        <w:t>to address this topic</w:t>
      </w:r>
      <w:r w:rsidRPr="00A55165">
        <w:t xml:space="preserve">. </w:t>
      </w:r>
    </w:p>
    <w:p w14:paraId="4B690A88" w14:textId="3C3B7C8C" w:rsidR="009C4B43" w:rsidRPr="00744E41" w:rsidRDefault="009C4B43" w:rsidP="009C4B43">
      <w:pPr>
        <w:pStyle w:val="HChG"/>
      </w:pPr>
      <w:r w:rsidRPr="00744E41">
        <w:tab/>
      </w:r>
      <w:r w:rsidR="00744E41" w:rsidRPr="00744E41">
        <w:t>11</w:t>
      </w:r>
      <w:r w:rsidRPr="00744E41">
        <w:t>.</w:t>
      </w:r>
      <w:r w:rsidRPr="00744E41">
        <w:tab/>
        <w:t>Adoption of the report</w:t>
      </w:r>
    </w:p>
    <w:p w14:paraId="17C5F107" w14:textId="50BD2EE5" w:rsidR="009C4B43" w:rsidRDefault="009C4B43" w:rsidP="009C4B43">
      <w:pPr>
        <w:pStyle w:val="SingleTxtG"/>
      </w:pPr>
      <w:r w:rsidRPr="00744E41">
        <w:t>In accordance with the established practice, the Sub-Committee may wish to adopt the report on its forty-</w:t>
      </w:r>
      <w:r w:rsidR="00744E41" w:rsidRPr="00744E41">
        <w:t>third</w:t>
      </w:r>
      <w:r w:rsidRPr="00744E41">
        <w:t xml:space="preserve"> session </w:t>
      </w:r>
      <w:proofErr w:type="gramStart"/>
      <w:r w:rsidRPr="00744E41">
        <w:t>on the basis of</w:t>
      </w:r>
      <w:proofErr w:type="gramEnd"/>
      <w:r w:rsidRPr="00744E41">
        <w:t xml:space="preserve"> a draft prepared by the secretariat.</w:t>
      </w:r>
    </w:p>
    <w:p w14:paraId="40A70DD1" w14:textId="63C9F2A0" w:rsidR="009C4B43" w:rsidRPr="009C4B43" w:rsidRDefault="009C4B43" w:rsidP="009C4B4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493D4A" w14:textId="77777777" w:rsidR="00F16F88" w:rsidRPr="00686A6A" w:rsidRDefault="00F16F88" w:rsidP="004858F5">
      <w:pPr>
        <w:rPr>
          <w:b/>
          <w:bCs/>
        </w:rPr>
      </w:pPr>
    </w:p>
    <w:sectPr w:rsidR="00F16F88" w:rsidRPr="00686A6A" w:rsidSect="00952BB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E8A8" w14:textId="77777777" w:rsidR="00077376" w:rsidRPr="00C47B2E" w:rsidRDefault="00077376" w:rsidP="00C47B2E">
      <w:pPr>
        <w:pStyle w:val="Footer"/>
      </w:pPr>
    </w:p>
  </w:endnote>
  <w:endnote w:type="continuationSeparator" w:id="0">
    <w:p w14:paraId="1FB8569F" w14:textId="77777777" w:rsidR="00077376" w:rsidRPr="00C47B2E" w:rsidRDefault="00077376" w:rsidP="00C47B2E">
      <w:pPr>
        <w:pStyle w:val="Footer"/>
      </w:pPr>
    </w:p>
  </w:endnote>
  <w:endnote w:type="continuationNotice" w:id="1">
    <w:p w14:paraId="1083F9F6" w14:textId="77777777" w:rsidR="00077376" w:rsidRPr="00C47B2E" w:rsidRDefault="00077376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9EA0" w14:textId="55701F46" w:rsidR="00D94B05" w:rsidRPr="00952BB3" w:rsidRDefault="00952BB3" w:rsidP="00952BB3">
    <w:pPr>
      <w:pStyle w:val="Footer"/>
      <w:tabs>
        <w:tab w:val="right" w:pos="9598"/>
        <w:tab w:val="right" w:pos="9638"/>
      </w:tabs>
      <w:rPr>
        <w:sz w:val="18"/>
      </w:rPr>
    </w:pPr>
    <w:r w:rsidRPr="00952BB3">
      <w:rPr>
        <w:b/>
        <w:sz w:val="18"/>
      </w:rPr>
      <w:fldChar w:fldCharType="begin"/>
    </w:r>
    <w:r w:rsidRPr="00952BB3">
      <w:rPr>
        <w:b/>
        <w:sz w:val="18"/>
      </w:rPr>
      <w:instrText xml:space="preserve"> PAGE  \* MERGEFORMAT </w:instrText>
    </w:r>
    <w:r w:rsidRPr="00952BB3">
      <w:rPr>
        <w:b/>
        <w:sz w:val="18"/>
      </w:rPr>
      <w:fldChar w:fldCharType="separate"/>
    </w:r>
    <w:r w:rsidRPr="00952BB3">
      <w:rPr>
        <w:b/>
        <w:noProof/>
        <w:sz w:val="18"/>
      </w:rPr>
      <w:t>2</w:t>
    </w:r>
    <w:r w:rsidRPr="00952BB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46EE" w14:textId="2F5EB067" w:rsidR="00D94B05" w:rsidRPr="00201794" w:rsidRDefault="00952BB3" w:rsidP="00201794">
    <w:pPr>
      <w:pStyle w:val="Footer"/>
      <w:tabs>
        <w:tab w:val="left" w:pos="5775"/>
        <w:tab w:val="right" w:pos="9598"/>
        <w:tab w:val="right" w:pos="9638"/>
      </w:tabs>
      <w:jc w:val="right"/>
      <w:rPr>
        <w:b/>
        <w:bCs/>
        <w:sz w:val="18"/>
      </w:rPr>
    </w:pPr>
    <w:r>
      <w:rPr>
        <w:b/>
        <w:sz w:val="18"/>
      </w:rPr>
      <w:tab/>
    </w:r>
    <w:r w:rsidRPr="00201794">
      <w:rPr>
        <w:b/>
        <w:bCs/>
        <w:sz w:val="18"/>
      </w:rPr>
      <w:fldChar w:fldCharType="begin"/>
    </w:r>
    <w:r w:rsidRPr="00201794">
      <w:rPr>
        <w:b/>
        <w:bCs/>
        <w:sz w:val="18"/>
      </w:rPr>
      <w:instrText xml:space="preserve"> PAGE  \* MERGEFORMAT </w:instrText>
    </w:r>
    <w:r w:rsidRPr="00201794">
      <w:rPr>
        <w:b/>
        <w:bCs/>
        <w:sz w:val="18"/>
      </w:rPr>
      <w:fldChar w:fldCharType="separate"/>
    </w:r>
    <w:r w:rsidRPr="00201794">
      <w:rPr>
        <w:b/>
        <w:bCs/>
        <w:noProof/>
        <w:sz w:val="18"/>
      </w:rPr>
      <w:t>3</w:t>
    </w:r>
    <w:r w:rsidRPr="00201794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B688" w14:textId="77777777" w:rsidR="00D94B05" w:rsidRPr="00952BB3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2720193C" wp14:editId="1574C766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CAC6" w14:textId="77777777" w:rsidR="00077376" w:rsidRPr="00C47B2E" w:rsidRDefault="00077376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AE8A6B4" w14:textId="77777777" w:rsidR="00077376" w:rsidRPr="00C47B2E" w:rsidRDefault="00077376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6755159" w14:textId="77777777" w:rsidR="00077376" w:rsidRPr="00C47B2E" w:rsidRDefault="00077376" w:rsidP="00C47B2E">
      <w:pPr>
        <w:pStyle w:val="Footer"/>
      </w:pPr>
    </w:p>
  </w:footnote>
  <w:footnote w:id="2">
    <w:p w14:paraId="1FBC696B" w14:textId="4AAFD88C" w:rsidR="009C4B43" w:rsidRPr="00283442" w:rsidRDefault="009C4B43" w:rsidP="001B5FE8">
      <w:pPr>
        <w:pStyle w:val="FootnoteText"/>
        <w:spacing w:line="200" w:lineRule="exact"/>
      </w:pPr>
      <w:r>
        <w:tab/>
      </w:r>
      <w:r w:rsidRPr="00553330">
        <w:rPr>
          <w:rStyle w:val="FootnoteReference"/>
          <w:sz w:val="20"/>
        </w:rPr>
        <w:footnoteRef/>
      </w:r>
      <w:r>
        <w:t xml:space="preserve"> </w:t>
      </w:r>
      <w:r>
        <w:tab/>
      </w:r>
      <w:r w:rsidRPr="002C3C8E">
        <w:t xml:space="preserve">Delegates participating in the work of the GHS Sub-Committee who are not normally involved in the work of the TDG Sub-Committee are invited to participate in sessions of the TDG Sub-Committee when the TDG Sub-Committee is acting as GHS focal point on physical hazards (see ST/SG/AC.10/C.4/2, paragraph 43 (b)). At its </w:t>
      </w:r>
      <w:r w:rsidR="002B4333">
        <w:t>sixty-first</w:t>
      </w:r>
      <w:r w:rsidRPr="002C3C8E">
        <w:t xml:space="preserve"> session (2</w:t>
      </w:r>
      <w:r w:rsidR="008F366C">
        <w:t>8</w:t>
      </w:r>
      <w:r w:rsidRPr="002C3C8E">
        <w:t xml:space="preserve"> </w:t>
      </w:r>
      <w:r w:rsidR="008F366C">
        <w:t xml:space="preserve">November </w:t>
      </w:r>
      <w:r w:rsidRPr="002C3C8E">
        <w:t xml:space="preserve">to 6 </w:t>
      </w:r>
      <w:r w:rsidR="00973B98">
        <w:t xml:space="preserve">December </w:t>
      </w:r>
      <w:r w:rsidRPr="002C3C8E">
        <w:t xml:space="preserve">2022) the TDG Sub-Committee </w:t>
      </w:r>
      <w:r w:rsidR="00973B98">
        <w:t>will</w:t>
      </w:r>
      <w:r w:rsidRPr="002C3C8E">
        <w:t xml:space="preserve"> consider matters of interest to the GHS Sub-Committee. All the documentation for the session is available at: </w:t>
      </w:r>
      <w:r w:rsidR="008D5FAC" w:rsidRPr="008D5FAC">
        <w:t>https://unece.org/info/Transport/Dangerous-Goods/events/368910</w:t>
      </w:r>
      <w:r w:rsidRPr="002C3C8E">
        <w:t>. GHS Sub-Committee delegates interested in participating in the work of the TDG Sub-Committee on any matter of interest to the Sub-Committee should register for the TDG Sub-Committee session.</w:t>
      </w:r>
      <w:r>
        <w:t xml:space="preserve"> </w:t>
      </w:r>
    </w:p>
  </w:footnote>
  <w:footnote w:id="3">
    <w:p w14:paraId="1B103FC3" w14:textId="77777777" w:rsidR="00C23150" w:rsidRPr="003A67D4" w:rsidRDefault="00C23150" w:rsidP="00C23150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BA532F">
        <w:t>https://unece.org/transport/documents/2021/01/reports/report-sub-committee-experts-globally-harmonized-system-0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7337" w14:textId="202EE9B1" w:rsidR="00952BB3" w:rsidRPr="00952BB3" w:rsidRDefault="00A731CA">
    <w:pPr>
      <w:pStyle w:val="Header"/>
    </w:pPr>
    <w:fldSimple w:instr=" TITLE  \* MERGEFORMAT ">
      <w:r w:rsidR="004A714A">
        <w:t>ST/SG/AC.10/C.4/85/Add.1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E0B9" w14:textId="097DC12D" w:rsidR="00D94B05" w:rsidRPr="00952BB3" w:rsidRDefault="00A731CA" w:rsidP="00952BB3">
    <w:pPr>
      <w:pStyle w:val="Header"/>
      <w:jc w:val="right"/>
    </w:pPr>
    <w:fldSimple w:instr=" TITLE  \* MERGEFORMAT ">
      <w:r w:rsidR="004A714A">
        <w:t>ST/SG/AC.10/C.4/85/Add.1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5D5"/>
    <w:multiLevelType w:val="hybridMultilevel"/>
    <w:tmpl w:val="B03EDB90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B3"/>
    <w:rsid w:val="000075CE"/>
    <w:rsid w:val="0001727C"/>
    <w:rsid w:val="000350BB"/>
    <w:rsid w:val="00043FA9"/>
    <w:rsid w:val="00046E92"/>
    <w:rsid w:val="00063C90"/>
    <w:rsid w:val="00065301"/>
    <w:rsid w:val="0006579D"/>
    <w:rsid w:val="00070D77"/>
    <w:rsid w:val="000759F6"/>
    <w:rsid w:val="00077376"/>
    <w:rsid w:val="00083BA5"/>
    <w:rsid w:val="00095ECE"/>
    <w:rsid w:val="00096485"/>
    <w:rsid w:val="000A1739"/>
    <w:rsid w:val="000B0140"/>
    <w:rsid w:val="000B24DC"/>
    <w:rsid w:val="000B7C3E"/>
    <w:rsid w:val="000C3986"/>
    <w:rsid w:val="000E65F6"/>
    <w:rsid w:val="000F0944"/>
    <w:rsid w:val="000F2012"/>
    <w:rsid w:val="000F7EE4"/>
    <w:rsid w:val="00101B98"/>
    <w:rsid w:val="00102499"/>
    <w:rsid w:val="001060BF"/>
    <w:rsid w:val="00112BA8"/>
    <w:rsid w:val="00121BE8"/>
    <w:rsid w:val="001230F6"/>
    <w:rsid w:val="001266B8"/>
    <w:rsid w:val="001432EF"/>
    <w:rsid w:val="00144AEF"/>
    <w:rsid w:val="001514D1"/>
    <w:rsid w:val="00155C3B"/>
    <w:rsid w:val="00160C5E"/>
    <w:rsid w:val="00173298"/>
    <w:rsid w:val="001913A2"/>
    <w:rsid w:val="00193905"/>
    <w:rsid w:val="00193B8A"/>
    <w:rsid w:val="001B43AE"/>
    <w:rsid w:val="001B5FE8"/>
    <w:rsid w:val="001C068E"/>
    <w:rsid w:val="001C2752"/>
    <w:rsid w:val="001D0478"/>
    <w:rsid w:val="001D0E31"/>
    <w:rsid w:val="001D1FD8"/>
    <w:rsid w:val="001D4685"/>
    <w:rsid w:val="00201794"/>
    <w:rsid w:val="002444A4"/>
    <w:rsid w:val="00247E2C"/>
    <w:rsid w:val="00252AFF"/>
    <w:rsid w:val="002548A1"/>
    <w:rsid w:val="00264C1F"/>
    <w:rsid w:val="002A32CB"/>
    <w:rsid w:val="002B4333"/>
    <w:rsid w:val="002B73BB"/>
    <w:rsid w:val="002C02D3"/>
    <w:rsid w:val="002D3B2F"/>
    <w:rsid w:val="002D5B2C"/>
    <w:rsid w:val="002D6C53"/>
    <w:rsid w:val="002F5595"/>
    <w:rsid w:val="0030363A"/>
    <w:rsid w:val="00310199"/>
    <w:rsid w:val="003101BE"/>
    <w:rsid w:val="00312CF0"/>
    <w:rsid w:val="00326A61"/>
    <w:rsid w:val="00334F6A"/>
    <w:rsid w:val="00342AC8"/>
    <w:rsid w:val="00343302"/>
    <w:rsid w:val="003518A0"/>
    <w:rsid w:val="003534F0"/>
    <w:rsid w:val="00354B6B"/>
    <w:rsid w:val="00371217"/>
    <w:rsid w:val="00374E5C"/>
    <w:rsid w:val="0037699D"/>
    <w:rsid w:val="00384639"/>
    <w:rsid w:val="00391A10"/>
    <w:rsid w:val="003979DE"/>
    <w:rsid w:val="003A57D5"/>
    <w:rsid w:val="003A67D4"/>
    <w:rsid w:val="003B117E"/>
    <w:rsid w:val="003B4550"/>
    <w:rsid w:val="003C5F8F"/>
    <w:rsid w:val="003D2A18"/>
    <w:rsid w:val="003E3AA8"/>
    <w:rsid w:val="003F5EC2"/>
    <w:rsid w:val="00413386"/>
    <w:rsid w:val="0041652A"/>
    <w:rsid w:val="0043053E"/>
    <w:rsid w:val="00436A30"/>
    <w:rsid w:val="0044132B"/>
    <w:rsid w:val="004473A4"/>
    <w:rsid w:val="00460163"/>
    <w:rsid w:val="00461253"/>
    <w:rsid w:val="00463273"/>
    <w:rsid w:val="00476CF4"/>
    <w:rsid w:val="00477DCE"/>
    <w:rsid w:val="00477F5F"/>
    <w:rsid w:val="00482828"/>
    <w:rsid w:val="004858F5"/>
    <w:rsid w:val="004A2529"/>
    <w:rsid w:val="004A2814"/>
    <w:rsid w:val="004A714A"/>
    <w:rsid w:val="004C0622"/>
    <w:rsid w:val="004D1854"/>
    <w:rsid w:val="004D250A"/>
    <w:rsid w:val="004E4928"/>
    <w:rsid w:val="005042C2"/>
    <w:rsid w:val="00521640"/>
    <w:rsid w:val="00522AB4"/>
    <w:rsid w:val="00523DE5"/>
    <w:rsid w:val="00536D05"/>
    <w:rsid w:val="00546A4C"/>
    <w:rsid w:val="005608EF"/>
    <w:rsid w:val="0056370E"/>
    <w:rsid w:val="00572A9B"/>
    <w:rsid w:val="0057707C"/>
    <w:rsid w:val="0058509E"/>
    <w:rsid w:val="005854F6"/>
    <w:rsid w:val="005A06C4"/>
    <w:rsid w:val="005B0A7F"/>
    <w:rsid w:val="005B0E4B"/>
    <w:rsid w:val="005B7A19"/>
    <w:rsid w:val="005C3B38"/>
    <w:rsid w:val="005C6389"/>
    <w:rsid w:val="005D337F"/>
    <w:rsid w:val="005E716E"/>
    <w:rsid w:val="005F06B2"/>
    <w:rsid w:val="00602222"/>
    <w:rsid w:val="00613935"/>
    <w:rsid w:val="006167AB"/>
    <w:rsid w:val="006179F0"/>
    <w:rsid w:val="006476E1"/>
    <w:rsid w:val="00650665"/>
    <w:rsid w:val="006567BB"/>
    <w:rsid w:val="006604DF"/>
    <w:rsid w:val="00662F4D"/>
    <w:rsid w:val="00663556"/>
    <w:rsid w:val="00671529"/>
    <w:rsid w:val="00680CAA"/>
    <w:rsid w:val="00684482"/>
    <w:rsid w:val="00686A6A"/>
    <w:rsid w:val="00691B15"/>
    <w:rsid w:val="006B7BF0"/>
    <w:rsid w:val="006C06D0"/>
    <w:rsid w:val="006C2A7C"/>
    <w:rsid w:val="006C5CAC"/>
    <w:rsid w:val="006C76C5"/>
    <w:rsid w:val="006D222E"/>
    <w:rsid w:val="006D3ABF"/>
    <w:rsid w:val="006E08AB"/>
    <w:rsid w:val="006E535C"/>
    <w:rsid w:val="006E73B0"/>
    <w:rsid w:val="006F28E9"/>
    <w:rsid w:val="0070489D"/>
    <w:rsid w:val="00712D3C"/>
    <w:rsid w:val="007268F9"/>
    <w:rsid w:val="007312EF"/>
    <w:rsid w:val="00732398"/>
    <w:rsid w:val="00744E41"/>
    <w:rsid w:val="0074676B"/>
    <w:rsid w:val="00750282"/>
    <w:rsid w:val="00761318"/>
    <w:rsid w:val="00764440"/>
    <w:rsid w:val="00764939"/>
    <w:rsid w:val="007659E6"/>
    <w:rsid w:val="0077101B"/>
    <w:rsid w:val="00773D13"/>
    <w:rsid w:val="00777944"/>
    <w:rsid w:val="00780F6A"/>
    <w:rsid w:val="00787683"/>
    <w:rsid w:val="0079173C"/>
    <w:rsid w:val="007B1024"/>
    <w:rsid w:val="007B437C"/>
    <w:rsid w:val="007B62B1"/>
    <w:rsid w:val="007C52B0"/>
    <w:rsid w:val="007C6033"/>
    <w:rsid w:val="007C7B9F"/>
    <w:rsid w:val="007D1EF8"/>
    <w:rsid w:val="007D30D1"/>
    <w:rsid w:val="007E0830"/>
    <w:rsid w:val="008004D2"/>
    <w:rsid w:val="00801CD6"/>
    <w:rsid w:val="008056CD"/>
    <w:rsid w:val="008147C8"/>
    <w:rsid w:val="00815FA8"/>
    <w:rsid w:val="0081753A"/>
    <w:rsid w:val="00820988"/>
    <w:rsid w:val="00826E10"/>
    <w:rsid w:val="0084352C"/>
    <w:rsid w:val="00857D23"/>
    <w:rsid w:val="008612E0"/>
    <w:rsid w:val="0088178B"/>
    <w:rsid w:val="008906E5"/>
    <w:rsid w:val="008935C9"/>
    <w:rsid w:val="008C248F"/>
    <w:rsid w:val="008D5FAC"/>
    <w:rsid w:val="008E094D"/>
    <w:rsid w:val="008E204C"/>
    <w:rsid w:val="008E3301"/>
    <w:rsid w:val="008F26B0"/>
    <w:rsid w:val="008F366C"/>
    <w:rsid w:val="008F41B7"/>
    <w:rsid w:val="008F56C3"/>
    <w:rsid w:val="00906BEB"/>
    <w:rsid w:val="00913FED"/>
    <w:rsid w:val="00915EF3"/>
    <w:rsid w:val="0091790A"/>
    <w:rsid w:val="00917E1A"/>
    <w:rsid w:val="0093187F"/>
    <w:rsid w:val="009411B4"/>
    <w:rsid w:val="00941EA1"/>
    <w:rsid w:val="00945A7A"/>
    <w:rsid w:val="00946F1D"/>
    <w:rsid w:val="00947A51"/>
    <w:rsid w:val="00952BB3"/>
    <w:rsid w:val="0096167A"/>
    <w:rsid w:val="00962852"/>
    <w:rsid w:val="009714D1"/>
    <w:rsid w:val="00972899"/>
    <w:rsid w:val="00973B98"/>
    <w:rsid w:val="0097753A"/>
    <w:rsid w:val="0098757B"/>
    <w:rsid w:val="009B01A0"/>
    <w:rsid w:val="009B2D8D"/>
    <w:rsid w:val="009B3607"/>
    <w:rsid w:val="009C4B43"/>
    <w:rsid w:val="009D0139"/>
    <w:rsid w:val="009D2584"/>
    <w:rsid w:val="009D27C0"/>
    <w:rsid w:val="009D717D"/>
    <w:rsid w:val="009E7E15"/>
    <w:rsid w:val="009F5CDC"/>
    <w:rsid w:val="00A072D7"/>
    <w:rsid w:val="00A2664B"/>
    <w:rsid w:val="00A41AD1"/>
    <w:rsid w:val="00A47C46"/>
    <w:rsid w:val="00A47FDE"/>
    <w:rsid w:val="00A55165"/>
    <w:rsid w:val="00A731CA"/>
    <w:rsid w:val="00A775CF"/>
    <w:rsid w:val="00A96FFE"/>
    <w:rsid w:val="00AB7EB4"/>
    <w:rsid w:val="00AC18A5"/>
    <w:rsid w:val="00AD1A9C"/>
    <w:rsid w:val="00AF5DE1"/>
    <w:rsid w:val="00B0138C"/>
    <w:rsid w:val="00B0244F"/>
    <w:rsid w:val="00B06045"/>
    <w:rsid w:val="00B206DD"/>
    <w:rsid w:val="00B305C5"/>
    <w:rsid w:val="00B3637B"/>
    <w:rsid w:val="00B40D6C"/>
    <w:rsid w:val="00B41AF9"/>
    <w:rsid w:val="00B52EF4"/>
    <w:rsid w:val="00B563A5"/>
    <w:rsid w:val="00B63236"/>
    <w:rsid w:val="00B74C3B"/>
    <w:rsid w:val="00B777AD"/>
    <w:rsid w:val="00B81F4F"/>
    <w:rsid w:val="00B91A84"/>
    <w:rsid w:val="00BA532F"/>
    <w:rsid w:val="00BB524A"/>
    <w:rsid w:val="00BC4E99"/>
    <w:rsid w:val="00BE1373"/>
    <w:rsid w:val="00BF5B21"/>
    <w:rsid w:val="00BF5C09"/>
    <w:rsid w:val="00C03015"/>
    <w:rsid w:val="00C0358D"/>
    <w:rsid w:val="00C03950"/>
    <w:rsid w:val="00C23150"/>
    <w:rsid w:val="00C35A27"/>
    <w:rsid w:val="00C47B2E"/>
    <w:rsid w:val="00C5276F"/>
    <w:rsid w:val="00C613A5"/>
    <w:rsid w:val="00C815EB"/>
    <w:rsid w:val="00CA1F23"/>
    <w:rsid w:val="00CC1DF8"/>
    <w:rsid w:val="00CD66BD"/>
    <w:rsid w:val="00CE7650"/>
    <w:rsid w:val="00CF1F6D"/>
    <w:rsid w:val="00CF41CC"/>
    <w:rsid w:val="00D30E0C"/>
    <w:rsid w:val="00D333CB"/>
    <w:rsid w:val="00D36D96"/>
    <w:rsid w:val="00D42C19"/>
    <w:rsid w:val="00D5376F"/>
    <w:rsid w:val="00D541A0"/>
    <w:rsid w:val="00D5611C"/>
    <w:rsid w:val="00D567B2"/>
    <w:rsid w:val="00D63CD2"/>
    <w:rsid w:val="00D87DC2"/>
    <w:rsid w:val="00D94B05"/>
    <w:rsid w:val="00D972FB"/>
    <w:rsid w:val="00D9775E"/>
    <w:rsid w:val="00DA0BBB"/>
    <w:rsid w:val="00DA12C9"/>
    <w:rsid w:val="00DA33B0"/>
    <w:rsid w:val="00DC0B00"/>
    <w:rsid w:val="00DD4FAF"/>
    <w:rsid w:val="00E0058D"/>
    <w:rsid w:val="00E02C2B"/>
    <w:rsid w:val="00E21C27"/>
    <w:rsid w:val="00E26B3E"/>
    <w:rsid w:val="00E26BCF"/>
    <w:rsid w:val="00E31BED"/>
    <w:rsid w:val="00E35667"/>
    <w:rsid w:val="00E42824"/>
    <w:rsid w:val="00E47B5D"/>
    <w:rsid w:val="00E52109"/>
    <w:rsid w:val="00E527D5"/>
    <w:rsid w:val="00E65214"/>
    <w:rsid w:val="00E748DB"/>
    <w:rsid w:val="00E75317"/>
    <w:rsid w:val="00E854B7"/>
    <w:rsid w:val="00E85E5C"/>
    <w:rsid w:val="00E90E2A"/>
    <w:rsid w:val="00EB0412"/>
    <w:rsid w:val="00EC0CE6"/>
    <w:rsid w:val="00EC7C1D"/>
    <w:rsid w:val="00ED6C48"/>
    <w:rsid w:val="00EE000A"/>
    <w:rsid w:val="00EE3045"/>
    <w:rsid w:val="00EE6CF3"/>
    <w:rsid w:val="00EF3FAD"/>
    <w:rsid w:val="00F01F8E"/>
    <w:rsid w:val="00F03BA7"/>
    <w:rsid w:val="00F10521"/>
    <w:rsid w:val="00F13FB0"/>
    <w:rsid w:val="00F16F88"/>
    <w:rsid w:val="00F27347"/>
    <w:rsid w:val="00F3086A"/>
    <w:rsid w:val="00F40D7F"/>
    <w:rsid w:val="00F464A9"/>
    <w:rsid w:val="00F526C7"/>
    <w:rsid w:val="00F65F5D"/>
    <w:rsid w:val="00F76253"/>
    <w:rsid w:val="00F80D5A"/>
    <w:rsid w:val="00F86A3A"/>
    <w:rsid w:val="00F95BD7"/>
    <w:rsid w:val="00FA0AD8"/>
    <w:rsid w:val="00FA17ED"/>
    <w:rsid w:val="00FA1F9F"/>
    <w:rsid w:val="00FC5541"/>
    <w:rsid w:val="00FD1229"/>
    <w:rsid w:val="00FD2820"/>
    <w:rsid w:val="00FE02CF"/>
    <w:rsid w:val="00FE165C"/>
    <w:rsid w:val="00FE6899"/>
    <w:rsid w:val="00FE74C0"/>
    <w:rsid w:val="00FF551A"/>
    <w:rsid w:val="00FF665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01C32"/>
  <w15:docId w15:val="{F4770C7F-28D4-4A5C-9548-310A4738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A0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ar">
    <w:name w:val="_ Single Txt_G Car"/>
    <w:link w:val="SingleTxtG"/>
    <w:rsid w:val="009C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4C62-D292-460D-BE20-E46371CDEC3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48450CF-92AB-42FF-BB82-278072330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FF069-EA5A-4FD5-BF53-F087FEC37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575</TotalTime>
  <Pages>5</Pages>
  <Words>1387</Words>
  <Characters>8190</Characters>
  <Application>Microsoft Office Word</Application>
  <DocSecurity>0</DocSecurity>
  <Lines>210</Lines>
  <Paragraphs>124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ST/SG/AC.10/C.4/85/Add.1</dc:title>
  <dc:subject/>
  <dc:creator>Rosa Garcia-Couto</dc:creator>
  <cp:lastModifiedBy>Laurence Berthet</cp:lastModifiedBy>
  <cp:revision>285</cp:revision>
  <cp:lastPrinted>2022-09-26T09:59:00Z</cp:lastPrinted>
  <dcterms:created xsi:type="dcterms:W3CDTF">2022-09-22T07:56:00Z</dcterms:created>
  <dcterms:modified xsi:type="dcterms:W3CDTF">2022-09-26T10:02:00Z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