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04365E5" w14:textId="77777777" w:rsidTr="00F01738">
        <w:trPr>
          <w:trHeight w:hRule="exact" w:val="851"/>
        </w:trPr>
        <w:tc>
          <w:tcPr>
            <w:tcW w:w="1276" w:type="dxa"/>
            <w:tcBorders>
              <w:bottom w:val="single" w:sz="4" w:space="0" w:color="auto"/>
            </w:tcBorders>
          </w:tcPr>
          <w:p w14:paraId="4CC755B7" w14:textId="77777777" w:rsidR="00132EA9" w:rsidRPr="00DB58B5" w:rsidRDefault="00132EA9" w:rsidP="00F01738"/>
        </w:tc>
        <w:tc>
          <w:tcPr>
            <w:tcW w:w="2268" w:type="dxa"/>
            <w:tcBorders>
              <w:bottom w:val="single" w:sz="4" w:space="0" w:color="auto"/>
            </w:tcBorders>
            <w:vAlign w:val="bottom"/>
          </w:tcPr>
          <w:p w14:paraId="16303D80"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3B4202E" w14:textId="77777777" w:rsidR="00132EA9" w:rsidRPr="00DB58B5" w:rsidRDefault="00A31DD6" w:rsidP="00A31DD6">
            <w:pPr>
              <w:jc w:val="right"/>
            </w:pPr>
            <w:r w:rsidRPr="00A31DD6">
              <w:rPr>
                <w:sz w:val="40"/>
              </w:rPr>
              <w:t>ST</w:t>
            </w:r>
            <w:r>
              <w:t>/SG/AC.10/C.4/2022/13</w:t>
            </w:r>
          </w:p>
        </w:tc>
      </w:tr>
      <w:tr w:rsidR="00132EA9" w:rsidRPr="00DB58B5" w14:paraId="07C57BCF" w14:textId="77777777" w:rsidTr="00F01738">
        <w:trPr>
          <w:trHeight w:hRule="exact" w:val="2835"/>
        </w:trPr>
        <w:tc>
          <w:tcPr>
            <w:tcW w:w="1276" w:type="dxa"/>
            <w:tcBorders>
              <w:top w:val="single" w:sz="4" w:space="0" w:color="auto"/>
              <w:bottom w:val="single" w:sz="12" w:space="0" w:color="auto"/>
            </w:tcBorders>
          </w:tcPr>
          <w:p w14:paraId="74A8CC38" w14:textId="77777777" w:rsidR="00132EA9" w:rsidRPr="00DB58B5" w:rsidRDefault="00132EA9" w:rsidP="00F01738">
            <w:pPr>
              <w:spacing w:before="120"/>
              <w:jc w:val="center"/>
            </w:pPr>
            <w:r>
              <w:rPr>
                <w:noProof/>
                <w:lang w:eastAsia="fr-CH"/>
              </w:rPr>
              <w:drawing>
                <wp:inline distT="0" distB="0" distL="0" distR="0" wp14:anchorId="232F3E45" wp14:editId="6674A93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AF6BDF" w14:textId="77777777" w:rsidR="00132EA9" w:rsidRPr="00FE5F84" w:rsidRDefault="00132EA9" w:rsidP="00F01738">
            <w:pPr>
              <w:spacing w:before="120" w:line="420" w:lineRule="exact"/>
              <w:rPr>
                <w:b/>
                <w:sz w:val="40"/>
                <w:szCs w:val="40"/>
              </w:rPr>
            </w:pPr>
            <w:r w:rsidRPr="00FE5F84">
              <w:rPr>
                <w:b/>
                <w:sz w:val="40"/>
                <w:szCs w:val="40"/>
              </w:rPr>
              <w:t>Secrétariat</w:t>
            </w:r>
          </w:p>
        </w:tc>
        <w:tc>
          <w:tcPr>
            <w:tcW w:w="2835" w:type="dxa"/>
            <w:tcBorders>
              <w:top w:val="single" w:sz="4" w:space="0" w:color="auto"/>
              <w:bottom w:val="single" w:sz="12" w:space="0" w:color="auto"/>
            </w:tcBorders>
          </w:tcPr>
          <w:p w14:paraId="06C9F04E" w14:textId="77777777" w:rsidR="00132EA9" w:rsidRPr="00FE5F84" w:rsidRDefault="00A31DD6" w:rsidP="00A31DD6">
            <w:pPr>
              <w:spacing w:before="240" w:line="240" w:lineRule="exact"/>
            </w:pPr>
            <w:proofErr w:type="spellStart"/>
            <w:r w:rsidRPr="00FE5F84">
              <w:t>Distr</w:t>
            </w:r>
            <w:proofErr w:type="spellEnd"/>
            <w:r w:rsidRPr="00FE5F84">
              <w:t xml:space="preserve">. </w:t>
            </w:r>
            <w:proofErr w:type="gramStart"/>
            <w:r w:rsidRPr="00FE5F84">
              <w:t>générale</w:t>
            </w:r>
            <w:proofErr w:type="gramEnd"/>
          </w:p>
          <w:p w14:paraId="0C148CD9" w14:textId="7D51BF1B" w:rsidR="00A31DD6" w:rsidRPr="00FE5F84" w:rsidRDefault="00720BCE" w:rsidP="00A31DD6">
            <w:pPr>
              <w:spacing w:line="240" w:lineRule="exact"/>
            </w:pPr>
            <w:r w:rsidRPr="00944898">
              <w:t>2</w:t>
            </w:r>
            <w:r w:rsidR="00FE5F84" w:rsidRPr="00944898">
              <w:t>2</w:t>
            </w:r>
            <w:r w:rsidR="00A31DD6" w:rsidRPr="00944898">
              <w:t xml:space="preserve"> septembre 2022</w:t>
            </w:r>
          </w:p>
          <w:p w14:paraId="0B6C1044" w14:textId="77777777" w:rsidR="00A31DD6" w:rsidRPr="00FE5F84" w:rsidRDefault="00A31DD6" w:rsidP="00A31DD6">
            <w:pPr>
              <w:spacing w:line="240" w:lineRule="exact"/>
            </w:pPr>
          </w:p>
          <w:p w14:paraId="4BB8B35B" w14:textId="138F3170" w:rsidR="00A31DD6" w:rsidRPr="00FE5F84" w:rsidRDefault="00A31DD6" w:rsidP="00A31DD6">
            <w:pPr>
              <w:spacing w:line="240" w:lineRule="exact"/>
            </w:pPr>
            <w:r w:rsidRPr="00FE5F84">
              <w:t xml:space="preserve">Original : </w:t>
            </w:r>
            <w:r w:rsidR="00453306" w:rsidRPr="00FE5F84">
              <w:t xml:space="preserve">anglais et </w:t>
            </w:r>
            <w:r w:rsidRPr="00FE5F84">
              <w:t>français</w:t>
            </w:r>
          </w:p>
        </w:tc>
      </w:tr>
    </w:tbl>
    <w:p w14:paraId="72D1D3F1" w14:textId="77777777" w:rsidR="009E3DD9" w:rsidRPr="00CA0680" w:rsidRDefault="009E3DD9" w:rsidP="00755D57">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76BCC473" w14:textId="77777777" w:rsidR="009E3DD9" w:rsidRPr="00CA0680" w:rsidRDefault="009E3DD9" w:rsidP="00755D57">
      <w:pPr>
        <w:spacing w:before="120"/>
        <w:rPr>
          <w:b/>
        </w:rPr>
      </w:pPr>
      <w:r w:rsidRPr="00CA0680">
        <w:rPr>
          <w:b/>
        </w:rPr>
        <w:t>Sous</w:t>
      </w:r>
      <w:r>
        <w:rPr>
          <w:b/>
        </w:rPr>
        <w:t>-</w:t>
      </w:r>
      <w:r w:rsidRPr="00CA0680">
        <w:rPr>
          <w:b/>
        </w:rPr>
        <w:t xml:space="preserve">Comité d’experts </w:t>
      </w:r>
      <w:r>
        <w:rPr>
          <w:b/>
        </w:rPr>
        <w:t>du Système général harmonisé</w:t>
      </w:r>
      <w:r>
        <w:rPr>
          <w:b/>
        </w:rPr>
        <w:br/>
        <w:t>de classification et d’étiquetage des produits chimiques</w:t>
      </w:r>
    </w:p>
    <w:p w14:paraId="42C97261" w14:textId="245376CA" w:rsidR="009E3DD9" w:rsidRDefault="009E3DD9" w:rsidP="00755D57">
      <w:pPr>
        <w:spacing w:before="120"/>
        <w:rPr>
          <w:b/>
        </w:rPr>
      </w:pPr>
      <w:r w:rsidRPr="009E3DD9">
        <w:rPr>
          <w:b/>
          <w:bCs/>
        </w:rPr>
        <w:t>Quarante-troisième</w:t>
      </w:r>
      <w:r w:rsidRPr="00CA0680">
        <w:rPr>
          <w:b/>
        </w:rPr>
        <w:t xml:space="preserve"> session</w:t>
      </w:r>
    </w:p>
    <w:p w14:paraId="44EC43AE" w14:textId="77777777" w:rsidR="009E3DD9" w:rsidRPr="007B04C4" w:rsidRDefault="009E3DD9" w:rsidP="009E3DD9">
      <w:r w:rsidRPr="007B04C4">
        <w:t>Genève, 7-9 décembre 2022</w:t>
      </w:r>
    </w:p>
    <w:p w14:paraId="36ED3FA1" w14:textId="29CFE98D" w:rsidR="009E3DD9" w:rsidRPr="007B04C4" w:rsidRDefault="009E3DD9" w:rsidP="009E3DD9">
      <w:r w:rsidRPr="007B04C4">
        <w:t>Point 2 de l’ordre du jour</w:t>
      </w:r>
      <w:r>
        <w:t xml:space="preserve"> provisoire</w:t>
      </w:r>
    </w:p>
    <w:p w14:paraId="3DD52C88" w14:textId="01742A41" w:rsidR="009E3DD9" w:rsidRPr="007B04C4" w:rsidRDefault="009E3DD9" w:rsidP="00387B16">
      <w:pPr>
        <w:rPr>
          <w:b/>
          <w:bCs/>
        </w:rPr>
      </w:pPr>
      <w:r w:rsidRPr="007B04C4">
        <w:rPr>
          <w:b/>
          <w:bCs/>
        </w:rPr>
        <w:t>Recommandations formulées par le Sous-Comité sur ses quarantième</w:t>
      </w:r>
      <w:r w:rsidR="00AE67EE">
        <w:rPr>
          <w:b/>
          <w:bCs/>
        </w:rPr>
        <w:t xml:space="preserve">, </w:t>
      </w:r>
      <w:r w:rsidR="00387B16">
        <w:rPr>
          <w:b/>
          <w:bCs/>
        </w:rPr>
        <w:br/>
      </w:r>
      <w:r w:rsidR="00AE67EE">
        <w:rPr>
          <w:b/>
          <w:bCs/>
        </w:rPr>
        <w:t xml:space="preserve">quarante et </w:t>
      </w:r>
      <w:proofErr w:type="gramStart"/>
      <w:r w:rsidR="00AE67EE">
        <w:rPr>
          <w:b/>
          <w:bCs/>
        </w:rPr>
        <w:t>uni</w:t>
      </w:r>
      <w:r w:rsidR="00387B16">
        <w:rPr>
          <w:b/>
          <w:bCs/>
        </w:rPr>
        <w:t>ème</w:t>
      </w:r>
      <w:r w:rsidRPr="007B04C4">
        <w:rPr>
          <w:b/>
          <w:bCs/>
        </w:rPr>
        <w:t xml:space="preserve"> et quarante-deuxième sessions</w:t>
      </w:r>
      <w:proofErr w:type="gramEnd"/>
      <w:r w:rsidRPr="007B04C4">
        <w:rPr>
          <w:b/>
          <w:bCs/>
        </w:rPr>
        <w:t xml:space="preserve"> </w:t>
      </w:r>
    </w:p>
    <w:p w14:paraId="773EBE61" w14:textId="1FAA88A7" w:rsidR="00EE41F8" w:rsidRDefault="00EE41F8" w:rsidP="00EE41F8">
      <w:pPr>
        <w:pStyle w:val="HChG"/>
        <w:rPr>
          <w:color w:val="000000" w:themeColor="text1"/>
        </w:rPr>
      </w:pPr>
      <w:r>
        <w:rPr>
          <w:color w:val="000000" w:themeColor="text1"/>
        </w:rPr>
        <w:tab/>
      </w:r>
      <w:r>
        <w:rPr>
          <w:color w:val="000000" w:themeColor="text1"/>
        </w:rPr>
        <w:tab/>
      </w:r>
      <w:r w:rsidRPr="00AE67EE">
        <w:rPr>
          <w:color w:val="000000" w:themeColor="text1"/>
        </w:rPr>
        <w:t xml:space="preserve">Liste récapitulative des projets d’amendements adoptés par le </w:t>
      </w:r>
      <w:r w:rsidR="00F470BC" w:rsidRPr="00AE67EE">
        <w:rPr>
          <w:color w:val="000000" w:themeColor="text1"/>
        </w:rPr>
        <w:t>S</w:t>
      </w:r>
      <w:r w:rsidRPr="00AE67EE">
        <w:rPr>
          <w:color w:val="000000" w:themeColor="text1"/>
        </w:rPr>
        <w:t>ous-</w:t>
      </w:r>
      <w:r w:rsidR="00F470BC" w:rsidRPr="00AE67EE">
        <w:rPr>
          <w:color w:val="000000" w:themeColor="text1"/>
        </w:rPr>
        <w:t>C</w:t>
      </w:r>
      <w:r w:rsidRPr="00AE67EE">
        <w:rPr>
          <w:color w:val="000000" w:themeColor="text1"/>
        </w:rPr>
        <w:t xml:space="preserve">omité à ses quarantième et </w:t>
      </w:r>
      <w:proofErr w:type="gramStart"/>
      <w:r w:rsidRPr="00AE67EE">
        <w:rPr>
          <w:color w:val="000000" w:themeColor="text1"/>
        </w:rPr>
        <w:t>quarante</w:t>
      </w:r>
      <w:r w:rsidR="00AE67EE">
        <w:rPr>
          <w:color w:val="000000" w:themeColor="text1"/>
        </w:rPr>
        <w:t>-</w:t>
      </w:r>
      <w:r w:rsidRPr="00AE67EE">
        <w:rPr>
          <w:color w:val="000000" w:themeColor="text1"/>
        </w:rPr>
        <w:t>deuxième sessions</w:t>
      </w:r>
      <w:proofErr w:type="gramEnd"/>
    </w:p>
    <w:p w14:paraId="6D8D5DE8" w14:textId="141FD0B8" w:rsidR="004D7701" w:rsidRDefault="004D7701" w:rsidP="0007646C">
      <w:pPr>
        <w:pStyle w:val="H1G"/>
      </w:pPr>
      <w:r>
        <w:tab/>
      </w:r>
      <w:r>
        <w:tab/>
        <w:t xml:space="preserve">Note du </w:t>
      </w:r>
      <w:r w:rsidR="0007646C">
        <w:t>secrétariat</w:t>
      </w:r>
      <w:r w:rsidR="00E61560" w:rsidRPr="00E61560">
        <w:rPr>
          <w:rStyle w:val="FootnoteReference"/>
          <w:sz w:val="20"/>
          <w:vertAlign w:val="baseline"/>
        </w:rPr>
        <w:footnoteReference w:customMarkFollows="1" w:id="2"/>
        <w:t>*</w:t>
      </w:r>
    </w:p>
    <w:p w14:paraId="1CB8D0DE" w14:textId="21FB5A2E" w:rsidR="009455CF" w:rsidRDefault="00EE41F8" w:rsidP="00E61560">
      <w:pPr>
        <w:pStyle w:val="SingleTxtG"/>
      </w:pPr>
      <w:r w:rsidRPr="00B2582B">
        <w:t>Le présent document contient la liste récapitulative des projets d'amendements à la neuvième édition révisée du Système général harmonisé de classification et d'étiquetage des produits chimiques</w:t>
      </w:r>
      <w:r w:rsidR="00FB4A18">
        <w:t xml:space="preserve"> (SGH)</w:t>
      </w:r>
      <w:r w:rsidRPr="00B2582B">
        <w:t xml:space="preserve"> (ST/SG/AC.10/30/Rev.9) adoptés par le Sous-Comité à ses quarantième et </w:t>
      </w:r>
      <w:proofErr w:type="gramStart"/>
      <w:r w:rsidRPr="00B2582B">
        <w:t>quarante</w:t>
      </w:r>
      <w:r w:rsidR="00197BBD">
        <w:t>-</w:t>
      </w:r>
      <w:r w:rsidRPr="00B2582B">
        <w:t>deuxième sessions</w:t>
      </w:r>
      <w:proofErr w:type="gramEnd"/>
      <w:r w:rsidRPr="00B2582B">
        <w:t xml:space="preserve">. </w:t>
      </w:r>
      <w:r w:rsidRPr="00E61560">
        <w:t xml:space="preserve">Aucun amendement au SGH n'a été adopté à la </w:t>
      </w:r>
      <w:r w:rsidRPr="00E61560">
        <w:br/>
        <w:t>quarante et unième session.</w:t>
      </w:r>
    </w:p>
    <w:p w14:paraId="7F340348" w14:textId="77777777" w:rsidR="009455CF" w:rsidRDefault="009455CF">
      <w:pPr>
        <w:suppressAutoHyphens w:val="0"/>
        <w:kinsoku/>
        <w:overflowPunct/>
        <w:autoSpaceDE/>
        <w:autoSpaceDN/>
        <w:adjustRightInd/>
        <w:snapToGrid/>
        <w:spacing w:after="200" w:line="276" w:lineRule="auto"/>
        <w:rPr>
          <w:b/>
          <w:sz w:val="24"/>
        </w:rPr>
      </w:pPr>
      <w:r>
        <w:br w:type="page"/>
      </w:r>
    </w:p>
    <w:p w14:paraId="3E59DB3F" w14:textId="7C47297F" w:rsidR="00EE41F8" w:rsidRDefault="009455CF" w:rsidP="00EE41F8">
      <w:pPr>
        <w:pStyle w:val="H1G"/>
      </w:pPr>
      <w:r>
        <w:lastRenderedPageBreak/>
        <w:tab/>
      </w:r>
      <w:r>
        <w:tab/>
      </w:r>
      <w:r w:rsidR="00EE41F8">
        <w:t>Chapitre 3.1</w:t>
      </w:r>
    </w:p>
    <w:p w14:paraId="183CC593" w14:textId="77777777" w:rsidR="00EE41F8" w:rsidRDefault="00EE41F8" w:rsidP="00EE41F8">
      <w:pPr>
        <w:pStyle w:val="SingleTxtG"/>
      </w:pPr>
      <w:r>
        <w:t>3.1.2.6.1</w:t>
      </w:r>
      <w:r>
        <w:tab/>
        <w:t>Ajouter la phrase suivante à la fin du présent paragraphe :</w:t>
      </w:r>
    </w:p>
    <w:p w14:paraId="6E744907" w14:textId="5BA8BC79" w:rsidR="00EE41F8" w:rsidRDefault="00EE41F8" w:rsidP="00EE41F8">
      <w:pPr>
        <w:pStyle w:val="SingleTxtG"/>
        <w:ind w:left="2268"/>
        <w:rPr>
          <w:bCs/>
          <w:lang w:val="fr-FR"/>
        </w:rPr>
      </w:pPr>
      <w:proofErr w:type="gramStart"/>
      <w:r>
        <w:t>« </w:t>
      </w:r>
      <w:r>
        <w:rPr>
          <w:lang w:val="fr-FR"/>
        </w:rPr>
        <w:t xml:space="preserve"> Des</w:t>
      </w:r>
      <w:proofErr w:type="gramEnd"/>
      <w:r>
        <w:rPr>
          <w:lang w:val="fr-FR"/>
        </w:rPr>
        <w:t xml:space="preserve"> indications concernant la conversion des valeurs expérimentales pour les essais utilisant des durées d’exposition autres qu’une heure figurent au 3.1.5.3. ».</w:t>
      </w:r>
    </w:p>
    <w:p w14:paraId="0E9485B1" w14:textId="77777777" w:rsidR="00EE41F8" w:rsidRDefault="00EE41F8" w:rsidP="00EE41F8">
      <w:pPr>
        <w:pStyle w:val="SingleTxtG"/>
      </w:pPr>
      <w:r>
        <w:t>3.1.5.3</w:t>
      </w:r>
      <w:r>
        <w:tab/>
      </w:r>
      <w:r>
        <w:tab/>
        <w:t>Ajouter une nouvelle section 3.1.5.3 comme suit :</w:t>
      </w:r>
    </w:p>
    <w:p w14:paraId="72D9975D" w14:textId="77777777" w:rsidR="00EE41F8" w:rsidRDefault="00EE41F8" w:rsidP="00EE41F8">
      <w:pPr>
        <w:pStyle w:val="SingleTxtG"/>
        <w:rPr>
          <w:lang w:val="fr-FR"/>
        </w:rPr>
      </w:pPr>
      <w:r>
        <w:rPr>
          <w:lang w:val="fr-FR"/>
        </w:rPr>
        <w:t>« </w:t>
      </w:r>
      <w:r>
        <w:rPr>
          <w:b/>
          <w:bCs/>
          <w:lang w:val="fr-FR"/>
        </w:rPr>
        <w:t>3.1.5.3</w:t>
      </w:r>
      <w:r>
        <w:rPr>
          <w:lang w:val="fr-FR"/>
        </w:rPr>
        <w:tab/>
      </w:r>
      <w:r>
        <w:rPr>
          <w:b/>
          <w:bCs/>
          <w:i/>
          <w:iCs/>
          <w:lang w:val="fr-FR"/>
        </w:rPr>
        <w:t>Indications</w:t>
      </w:r>
    </w:p>
    <w:p w14:paraId="2090B03E" w14:textId="77777777" w:rsidR="00EE41F8" w:rsidRDefault="00EE41F8" w:rsidP="00EE41F8">
      <w:pPr>
        <w:pStyle w:val="SingleTxtG"/>
        <w:rPr>
          <w:u w:val="single"/>
          <w:lang w:val="fr-FR"/>
        </w:rPr>
      </w:pPr>
      <w:r>
        <w:rPr>
          <w:lang w:val="fr-FR"/>
        </w:rPr>
        <w:t>3.1.5.3.1</w:t>
      </w:r>
      <w:r>
        <w:rPr>
          <w:lang w:val="fr-FR"/>
        </w:rPr>
        <w:tab/>
        <w:t>Les valeurs des estimations de toxicité aiguë (ETA) servant au classement en fonction de la toxicité par inhalation dans le tableau 3.1.1 sont basées sur des essais utilisant une durée d’exposition de 4 heures sur des animaux de laboratoire (3.1.2.6.1). Les valeurs existantes de CL</w:t>
      </w:r>
      <w:r>
        <w:rPr>
          <w:vertAlign w:val="subscript"/>
          <w:lang w:val="fr-FR"/>
        </w:rPr>
        <w:t>50</w:t>
      </w:r>
      <w:r>
        <w:rPr>
          <w:lang w:val="fr-FR"/>
        </w:rPr>
        <w:t xml:space="preserve"> par inhalation obtenues dans le cadre d’études utilisant des durées d’exposition autres qu’une heure (3.1.2.6.1) </w:t>
      </w:r>
      <w:proofErr w:type="gramStart"/>
      <w:r>
        <w:rPr>
          <w:lang w:val="fr-FR"/>
        </w:rPr>
        <w:t>peuvent</w:t>
      </w:r>
      <w:proofErr w:type="gramEnd"/>
      <w:r>
        <w:rPr>
          <w:lang w:val="fr-FR"/>
        </w:rPr>
        <w:t xml:space="preserve"> être ajustées pour correspondre à une durée d’exposition de 4 heures à l’aide de l’équation de </w:t>
      </w:r>
      <w:proofErr w:type="spellStart"/>
      <w:r>
        <w:rPr>
          <w:lang w:val="fr-FR"/>
        </w:rPr>
        <w:t>ten</w:t>
      </w:r>
      <w:proofErr w:type="spellEnd"/>
      <w:r>
        <w:rPr>
          <w:lang w:val="fr-FR"/>
        </w:rPr>
        <w:t> Berge (</w:t>
      </w:r>
      <w:proofErr w:type="spellStart"/>
      <w:r>
        <w:rPr>
          <w:lang w:val="fr-FR"/>
        </w:rPr>
        <w:t>C</w:t>
      </w:r>
      <w:r>
        <w:rPr>
          <w:vertAlign w:val="superscript"/>
          <w:lang w:val="fr-FR"/>
        </w:rPr>
        <w:t>n</w:t>
      </w:r>
      <w:proofErr w:type="spellEnd"/>
      <w:r>
        <w:rPr>
          <w:lang w:val="fr-FR"/>
        </w:rPr>
        <w:t> × t = k) pour les gaz et vapeurs et de la règle de Haber (C × t = k) pour les poussières et brouillards, comme suit :</w:t>
      </w:r>
    </w:p>
    <w:p w14:paraId="69C5EBE6" w14:textId="77777777" w:rsidR="00EE41F8" w:rsidRDefault="00EE41F8" w:rsidP="00EE41F8">
      <w:pPr>
        <w:pStyle w:val="SingleTxtG"/>
        <w:ind w:left="2268"/>
        <w:rPr>
          <w:u w:val="single"/>
          <w:lang w:val="fr-FR"/>
        </w:rPr>
      </w:pPr>
      <w:r>
        <w:rPr>
          <w:u w:val="single"/>
          <w:lang w:val="fr-FR"/>
        </w:rPr>
        <w:t>Formule à utiliser pour les gaz et vapeurs</w:t>
      </w:r>
    </w:p>
    <w:p w14:paraId="68F7CB4A" w14:textId="77777777" w:rsidR="00EE41F8" w:rsidRDefault="00BF4EB8" w:rsidP="00EE41F8">
      <w:pPr>
        <w:rPr>
          <w:u w:val="single"/>
        </w:rPr>
      </w:pPr>
      <m:oMathPara>
        <m:oMath>
          <m:sSub>
            <m:sSubPr>
              <m:ctrlPr>
                <w:rPr>
                  <w:rFonts w:ascii="Cambria Math" w:hAnsi="Cambria Math"/>
                  <w:bCs/>
                  <w:iCs/>
                </w:rPr>
              </m:ctrlPr>
            </m:sSubPr>
            <m:e>
              <m:r>
                <m:rPr>
                  <m:sty m:val="p"/>
                </m:rPr>
                <w:rPr>
                  <w:rFonts w:ascii="Cambria Math" w:hAnsi="Cambria Math"/>
                </w:rPr>
                <m:t>CL</m:t>
              </m:r>
            </m:e>
            <m:sub>
              <m:r>
                <m:rPr>
                  <m:sty m:val="p"/>
                </m:rPr>
                <w:rPr>
                  <w:rFonts w:ascii="Cambria Math" w:hAnsi="Cambria Math"/>
                </w:rPr>
                <m:t>50</m:t>
              </m:r>
            </m:sub>
          </m:sSub>
          <m:r>
            <m:rPr>
              <m:sty m:val="p"/>
            </m:rPr>
            <w:rPr>
              <w:rFonts w:ascii="Cambria Math" w:hAnsi="Cambria Math"/>
            </w:rPr>
            <m:t>(4 heures)</m:t>
          </m:r>
          <m:r>
            <m:rPr>
              <m:sty m:val="bi"/>
            </m:rPr>
            <w:rPr>
              <w:rFonts w:ascii="Cambria Math" w:hAnsi="Cambria Math"/>
            </w:rPr>
            <m:t xml:space="preserve">= </m:t>
          </m:r>
          <m:sSup>
            <m:sSupPr>
              <m:ctrlPr>
                <w:rPr>
                  <w:rFonts w:ascii="Cambria Math" w:hAnsi="Cambria Math"/>
                  <w:b/>
                  <w:iCs/>
                </w:rPr>
              </m:ctrlPr>
            </m:sSupPr>
            <m:e>
              <m:d>
                <m:dPr>
                  <m:ctrlPr>
                    <w:rPr>
                      <w:rFonts w:ascii="Cambria Math" w:hAnsi="Cambria Math"/>
                      <w:b/>
                      <w:iCs/>
                    </w:rPr>
                  </m:ctrlPr>
                </m:dPr>
                <m:e>
                  <m:f>
                    <m:fPr>
                      <m:ctrlPr>
                        <w:rPr>
                          <w:rFonts w:ascii="Cambria Math" w:hAnsi="Cambria Math"/>
                          <w:iCs/>
                        </w:rPr>
                      </m:ctrlPr>
                    </m:fPr>
                    <m:num>
                      <m:sSup>
                        <m:sSupPr>
                          <m:ctrlPr>
                            <w:rPr>
                              <w:rFonts w:ascii="Cambria Math" w:hAnsi="Cambria Math" w:cs="Cambria Math"/>
                              <w:iCs/>
                            </w:rPr>
                          </m:ctrlPr>
                        </m:sSupPr>
                        <m:e>
                          <m:r>
                            <m:rPr>
                              <m:sty m:val="p"/>
                            </m:rPr>
                            <w:rPr>
                              <w:rFonts w:ascii="Cambria Math" w:hAnsi="Cambria Math" w:cs="Cambria Math"/>
                            </w:rPr>
                            <m:t>C</m:t>
                          </m:r>
                        </m:e>
                        <m:sup>
                          <m:r>
                            <m:rPr>
                              <m:sty m:val="p"/>
                            </m:rPr>
                            <w:rPr>
                              <w:rFonts w:ascii="Cambria Math" w:hAnsi="Cambria Math" w:cs="Cambria Math"/>
                            </w:rPr>
                            <m:t>n</m:t>
                          </m:r>
                        </m:sup>
                      </m:sSup>
                      <m:r>
                        <m:rPr>
                          <m:sty m:val="p"/>
                        </m:rPr>
                        <w:rPr>
                          <w:rFonts w:ascii="Cambria Math" w:hAnsi="Cambria Math" w:cs="Cambria Math"/>
                        </w:rPr>
                        <m:t xml:space="preserve"> × t</m:t>
                      </m:r>
                    </m:num>
                    <m:den>
                      <m:r>
                        <m:rPr>
                          <m:sty m:val="p"/>
                        </m:rPr>
                        <w:rPr>
                          <w:rFonts w:ascii="Cambria Math" w:hAnsi="Cambria Math" w:cs="Cambria Math"/>
                        </w:rPr>
                        <m:t>4</m:t>
                      </m:r>
                    </m:den>
                  </m:f>
                </m:e>
              </m:d>
            </m:e>
            <m:sup>
              <m:r>
                <m:rPr>
                  <m:sty m:val="b"/>
                </m:rPr>
                <w:rPr>
                  <w:rFonts w:ascii="Cambria Math" w:hAnsi="Cambria Math"/>
                </w:rPr>
                <m:t>1/n</m:t>
              </m:r>
            </m:sup>
          </m:sSup>
        </m:oMath>
      </m:oMathPara>
    </w:p>
    <w:p w14:paraId="053ED5F0" w14:textId="77777777" w:rsidR="00EE41F8" w:rsidRDefault="00EE41F8" w:rsidP="00EE41F8">
      <w:pPr>
        <w:pStyle w:val="SingleTxtG"/>
        <w:ind w:left="2268"/>
        <w:rPr>
          <w:lang w:val="fr-FR"/>
        </w:rPr>
      </w:pPr>
      <w:proofErr w:type="gramStart"/>
      <w:r>
        <w:rPr>
          <w:lang w:val="fr-FR"/>
        </w:rPr>
        <w:t>où</w:t>
      </w:r>
      <w:proofErr w:type="gramEnd"/>
      <w:r>
        <w:rPr>
          <w:lang w:val="fr-FR"/>
        </w:rPr>
        <w:t> :</w:t>
      </w:r>
    </w:p>
    <w:p w14:paraId="56A21BEC" w14:textId="77777777" w:rsidR="00EE41F8" w:rsidRDefault="00EE41F8" w:rsidP="00637BC6">
      <w:pPr>
        <w:pStyle w:val="SingleTxtG"/>
        <w:spacing w:after="0"/>
        <w:ind w:left="2268"/>
        <w:rPr>
          <w:lang w:val="fr-FR"/>
        </w:rPr>
      </w:pPr>
      <w:r>
        <w:rPr>
          <w:lang w:val="fr-FR"/>
        </w:rPr>
        <w:t>C</w:t>
      </w:r>
      <w:r>
        <w:rPr>
          <w:lang w:val="fr-FR"/>
        </w:rPr>
        <w:tab/>
        <w:t>=</w:t>
      </w:r>
      <w:r>
        <w:rPr>
          <w:lang w:val="fr-FR"/>
        </w:rPr>
        <w:tab/>
        <w:t>CL</w:t>
      </w:r>
      <w:r>
        <w:rPr>
          <w:vertAlign w:val="subscript"/>
          <w:lang w:val="fr-FR"/>
        </w:rPr>
        <w:t>50</w:t>
      </w:r>
      <w:r>
        <w:rPr>
          <w:lang w:val="fr-FR"/>
        </w:rPr>
        <w:t xml:space="preserve"> pour la durée d’exposition t</w:t>
      </w:r>
    </w:p>
    <w:p w14:paraId="24160E5E" w14:textId="77777777" w:rsidR="00EE41F8" w:rsidRDefault="00EE41F8" w:rsidP="00637BC6">
      <w:pPr>
        <w:pStyle w:val="SingleTxtG"/>
        <w:spacing w:after="0"/>
        <w:ind w:left="2268"/>
        <w:rPr>
          <w:lang w:val="fr-FR"/>
        </w:rPr>
      </w:pPr>
      <w:proofErr w:type="gramStart"/>
      <w:r>
        <w:rPr>
          <w:lang w:val="fr-FR"/>
        </w:rPr>
        <w:t>n</w:t>
      </w:r>
      <w:proofErr w:type="gramEnd"/>
      <w:r>
        <w:rPr>
          <w:lang w:val="fr-FR"/>
        </w:rPr>
        <w:tab/>
        <w:t>=</w:t>
      </w:r>
      <w:r>
        <w:rPr>
          <w:lang w:val="fr-FR"/>
        </w:rPr>
        <w:tab/>
        <w:t>exposant propre à chaque produit chimique</w:t>
      </w:r>
    </w:p>
    <w:p w14:paraId="7D31F99F" w14:textId="77777777" w:rsidR="00EE41F8" w:rsidRDefault="00EE41F8" w:rsidP="00EE41F8">
      <w:pPr>
        <w:pStyle w:val="SingleTxtG"/>
        <w:ind w:left="2268"/>
        <w:rPr>
          <w:lang w:val="fr-FR"/>
        </w:rPr>
      </w:pPr>
      <w:proofErr w:type="gramStart"/>
      <w:r>
        <w:rPr>
          <w:lang w:val="fr-FR"/>
        </w:rPr>
        <w:t>t</w:t>
      </w:r>
      <w:proofErr w:type="gramEnd"/>
      <w:r>
        <w:rPr>
          <w:lang w:val="fr-FR"/>
        </w:rPr>
        <w:tab/>
        <w:t>=</w:t>
      </w:r>
      <w:r>
        <w:rPr>
          <w:lang w:val="fr-FR"/>
        </w:rPr>
        <w:tab/>
        <w:t>durée d’exposition, en heures, pour la concentration C</w:t>
      </w:r>
    </w:p>
    <w:p w14:paraId="014241ED" w14:textId="77777777" w:rsidR="00EE41F8" w:rsidRDefault="00EE41F8" w:rsidP="00EE41F8">
      <w:pPr>
        <w:pStyle w:val="SingleTxtG"/>
        <w:ind w:left="2268"/>
        <w:rPr>
          <w:u w:val="single"/>
          <w:lang w:val="fr-FR"/>
        </w:rPr>
      </w:pPr>
      <w:r>
        <w:rPr>
          <w:u w:val="single"/>
          <w:lang w:val="fr-FR"/>
        </w:rPr>
        <w:t>Formule à utiliser pour les poussières et brouillards</w:t>
      </w:r>
    </w:p>
    <w:p w14:paraId="65E7C9A2" w14:textId="77777777" w:rsidR="00EE41F8" w:rsidRDefault="00BF4EB8" w:rsidP="00EE41F8">
      <w:pPr>
        <w:rPr>
          <w:u w:val="single"/>
        </w:rPr>
      </w:pPr>
      <m:oMathPara>
        <m:oMath>
          <m:sSub>
            <m:sSubPr>
              <m:ctrlPr>
                <w:rPr>
                  <w:rFonts w:ascii="Cambria Math" w:hAnsi="Cambria Math"/>
                  <w:bCs/>
                  <w:iCs/>
                </w:rPr>
              </m:ctrlPr>
            </m:sSubPr>
            <m:e>
              <m:r>
                <m:rPr>
                  <m:sty m:val="p"/>
                </m:rPr>
                <w:rPr>
                  <w:rFonts w:ascii="Cambria Math" w:hAnsi="Cambria Math"/>
                </w:rPr>
                <m:t>CL</m:t>
              </m:r>
            </m:e>
            <m:sub>
              <m:r>
                <m:rPr>
                  <m:sty m:val="p"/>
                </m:rPr>
                <w:rPr>
                  <w:rFonts w:ascii="Cambria Math" w:hAnsi="Cambria Math"/>
                </w:rPr>
                <m:t>50</m:t>
              </m:r>
            </m:sub>
          </m:sSub>
          <m:r>
            <m:rPr>
              <m:sty m:val="p"/>
            </m:rPr>
            <w:rPr>
              <w:rFonts w:ascii="Cambria Math" w:hAnsi="Cambria Math"/>
            </w:rPr>
            <m:t>(4 heures)</m:t>
          </m:r>
          <m:r>
            <m:rPr>
              <m:sty m:val="bi"/>
            </m:rPr>
            <w:rPr>
              <w:rFonts w:ascii="Cambria Math" w:hAnsi="Cambria Math"/>
            </w:rPr>
            <m:t xml:space="preserve">= </m:t>
          </m:r>
          <m:f>
            <m:fPr>
              <m:ctrlPr>
                <w:rPr>
                  <w:rFonts w:ascii="Cambria Math" w:hAnsi="Cambria Math"/>
                  <w:iCs/>
                </w:rPr>
              </m:ctrlPr>
            </m:fPr>
            <m:num>
              <m:r>
                <m:rPr>
                  <m:sty m:val="p"/>
                </m:rPr>
                <w:rPr>
                  <w:rFonts w:ascii="Cambria Math" w:hAnsi="Cambria Math" w:cs="Cambria Math"/>
                </w:rPr>
                <m:t>C ×  t</m:t>
              </m:r>
            </m:num>
            <m:den>
              <m:r>
                <m:rPr>
                  <m:sty m:val="p"/>
                </m:rPr>
                <w:rPr>
                  <w:rFonts w:ascii="Cambria Math" w:hAnsi="Cambria Math" w:cs="Cambria Math"/>
                </w:rPr>
                <m:t>4</m:t>
              </m:r>
            </m:den>
          </m:f>
        </m:oMath>
      </m:oMathPara>
    </w:p>
    <w:p w14:paraId="082F2FF6" w14:textId="77777777" w:rsidR="00EE41F8" w:rsidRDefault="00EE41F8" w:rsidP="00EE41F8">
      <w:pPr>
        <w:pStyle w:val="SingleTxtG"/>
        <w:keepNext/>
        <w:ind w:left="2268"/>
        <w:rPr>
          <w:lang w:val="fr-FR"/>
        </w:rPr>
      </w:pPr>
      <w:proofErr w:type="gramStart"/>
      <w:r>
        <w:rPr>
          <w:lang w:val="fr-FR"/>
        </w:rPr>
        <w:t>où</w:t>
      </w:r>
      <w:proofErr w:type="gramEnd"/>
      <w:r>
        <w:rPr>
          <w:lang w:val="fr-FR"/>
        </w:rPr>
        <w:t xml:space="preserve"> :</w:t>
      </w:r>
    </w:p>
    <w:p w14:paraId="154FA2B9" w14:textId="77777777" w:rsidR="00EE41F8" w:rsidRDefault="00EE41F8" w:rsidP="00637BC6">
      <w:pPr>
        <w:pStyle w:val="SingleTxtG"/>
        <w:keepNext/>
        <w:spacing w:after="0"/>
        <w:ind w:left="2268"/>
        <w:rPr>
          <w:lang w:val="fr-FR"/>
        </w:rPr>
      </w:pPr>
      <w:r>
        <w:rPr>
          <w:lang w:val="fr-FR"/>
        </w:rPr>
        <w:t>C</w:t>
      </w:r>
      <w:r>
        <w:rPr>
          <w:lang w:val="fr-FR"/>
        </w:rPr>
        <w:tab/>
        <w:t>=</w:t>
      </w:r>
      <w:r>
        <w:rPr>
          <w:lang w:val="fr-FR"/>
        </w:rPr>
        <w:tab/>
        <w:t>CL</w:t>
      </w:r>
      <w:r>
        <w:rPr>
          <w:vertAlign w:val="subscript"/>
          <w:lang w:val="fr-FR"/>
        </w:rPr>
        <w:t>50</w:t>
      </w:r>
      <w:r>
        <w:rPr>
          <w:lang w:val="fr-FR"/>
        </w:rPr>
        <w:t xml:space="preserve"> pour la durée d’exposition t</w:t>
      </w:r>
    </w:p>
    <w:p w14:paraId="2B224915" w14:textId="77777777" w:rsidR="00EE41F8" w:rsidRDefault="00EE41F8" w:rsidP="00EE41F8">
      <w:pPr>
        <w:pStyle w:val="SingleTxtG"/>
        <w:ind w:left="2268"/>
        <w:rPr>
          <w:lang w:val="fr-FR"/>
        </w:rPr>
      </w:pPr>
      <w:proofErr w:type="gramStart"/>
      <w:r>
        <w:rPr>
          <w:lang w:val="fr-FR"/>
        </w:rPr>
        <w:t>t</w:t>
      </w:r>
      <w:proofErr w:type="gramEnd"/>
      <w:r>
        <w:rPr>
          <w:lang w:val="fr-FR"/>
        </w:rPr>
        <w:tab/>
        <w:t>=</w:t>
      </w:r>
      <w:r>
        <w:rPr>
          <w:lang w:val="fr-FR"/>
        </w:rPr>
        <w:tab/>
        <w:t>durée d’exposition, en heures, pour la concentration C</w:t>
      </w:r>
    </w:p>
    <w:p w14:paraId="5D5A751B" w14:textId="77777777" w:rsidR="00EE41F8" w:rsidRDefault="00EE41F8" w:rsidP="00EE41F8">
      <w:pPr>
        <w:pStyle w:val="SingleTxtG"/>
        <w:rPr>
          <w:lang w:val="fr-FR"/>
        </w:rPr>
      </w:pPr>
      <w:r>
        <w:rPr>
          <w:lang w:val="fr-FR"/>
        </w:rPr>
        <w:t>3.1.5.3.2</w:t>
      </w:r>
      <w:r>
        <w:rPr>
          <w:lang w:val="fr-FR"/>
        </w:rPr>
        <w:tab/>
        <w:t xml:space="preserve">Une valeur par défaut de 2 est utilisée pour l’exposant n, sauf s’il existe des données concluantes indiquant qu’une valeur différente est plus appropriée. Les durées d’exposition pouvant être converties vont de 30 minutes à 8 heures. Une autorité compétente peut décider s’il est acceptable de convertir d’autres durées d’exposition. Les données obtenues à partir d’une exposition de longue durée ne doivent pas être converties, car la classe de danger visée ici concerne la toxicité aiguë. On trouvera dans le document d’orientation 39 de l’OCDE (section 4.1, </w:t>
      </w:r>
      <w:proofErr w:type="spellStart"/>
      <w:r>
        <w:rPr>
          <w:lang w:val="fr-FR"/>
        </w:rPr>
        <w:t>Outline</w:t>
      </w:r>
      <w:proofErr w:type="spellEnd"/>
      <w:r>
        <w:rPr>
          <w:lang w:val="fr-FR"/>
        </w:rPr>
        <w:t xml:space="preserve"> of the </w:t>
      </w:r>
      <w:proofErr w:type="spellStart"/>
      <w:r>
        <w:rPr>
          <w:lang w:val="fr-FR"/>
        </w:rPr>
        <w:t>exposure</w:t>
      </w:r>
      <w:proofErr w:type="spellEnd"/>
      <w:r>
        <w:rPr>
          <w:lang w:val="fr-FR"/>
        </w:rPr>
        <w:t xml:space="preserve"> </w:t>
      </w:r>
      <w:proofErr w:type="spellStart"/>
      <w:r>
        <w:rPr>
          <w:lang w:val="fr-FR"/>
        </w:rPr>
        <w:t>methodology</w:t>
      </w:r>
      <w:proofErr w:type="spellEnd"/>
      <w:r>
        <w:rPr>
          <w:lang w:val="fr-FR"/>
        </w:rPr>
        <w:t>) des indications sur la durée d’exposition pour l’évaluation de la toxicité aiguë par inhalation. ».</w:t>
      </w:r>
    </w:p>
    <w:p w14:paraId="724B7BC6" w14:textId="77777777" w:rsidR="00EE41F8" w:rsidRDefault="00EE41F8" w:rsidP="00EE41F8">
      <w:pPr>
        <w:pStyle w:val="SingleTxtG"/>
        <w:keepNext/>
        <w:keepLines/>
        <w:rPr>
          <w:b/>
          <w:bCs/>
          <w:lang w:val="fr-FR"/>
        </w:rPr>
      </w:pPr>
      <w:r>
        <w:rPr>
          <w:b/>
          <w:bCs/>
          <w:lang w:val="fr-FR"/>
        </w:rPr>
        <w:tab/>
        <w:t>Exemples : classement en fonction de la valeur de CL</w:t>
      </w:r>
      <w:r>
        <w:rPr>
          <w:b/>
          <w:bCs/>
          <w:vertAlign w:val="subscript"/>
          <w:lang w:val="fr-FR"/>
        </w:rPr>
        <w:t>50</w:t>
      </w:r>
      <w:r>
        <w:rPr>
          <w:b/>
          <w:bCs/>
          <w:lang w:val="fr-FR"/>
        </w:rPr>
        <w:t xml:space="preserve"> calculée pour 4 heures</w:t>
      </w:r>
    </w:p>
    <w:p w14:paraId="0B3B5861" w14:textId="38C6545D" w:rsidR="00EE41F8" w:rsidRPr="00FB60F5" w:rsidRDefault="00EE41F8" w:rsidP="00FB60F5">
      <w:pPr>
        <w:pStyle w:val="H4G"/>
        <w:rPr>
          <w:b/>
          <w:bCs/>
          <w:lang w:val="fr-FR"/>
        </w:rPr>
      </w:pPr>
      <w:r w:rsidRPr="00FB60F5">
        <w:rPr>
          <w:b/>
          <w:bCs/>
          <w:lang w:val="fr-FR"/>
        </w:rPr>
        <w:tab/>
      </w:r>
      <w:r w:rsidRPr="00FB60F5">
        <w:rPr>
          <w:b/>
          <w:bCs/>
          <w:lang w:val="fr-FR"/>
        </w:rPr>
        <w:tab/>
        <w:t>Exemple 1</w:t>
      </w:r>
      <w:r w:rsidR="00FB60F5" w:rsidRPr="00FB60F5">
        <w:rPr>
          <w:b/>
          <w:bCs/>
          <w:lang w:val="fr-FR"/>
        </w:rPr>
        <w:t xml:space="preserve"> : </w:t>
      </w:r>
      <w:r w:rsidRPr="00FB60F5">
        <w:rPr>
          <w:b/>
          <w:bCs/>
          <w:lang w:val="fr-FR"/>
        </w:rPr>
        <w:t>Substance (liquide)</w:t>
      </w:r>
    </w:p>
    <w:p w14:paraId="7EBA4605" w14:textId="77777777" w:rsidR="00EE41F8" w:rsidRDefault="00EE41F8" w:rsidP="00EE41F8">
      <w:pPr>
        <w:pStyle w:val="SingleTxtG"/>
        <w:rPr>
          <w:lang w:val="fr-FR"/>
        </w:rPr>
      </w:pPr>
      <w:r>
        <w:rPr>
          <w:lang w:val="fr-FR"/>
        </w:rPr>
        <w:t>1.</w:t>
      </w:r>
      <w:r>
        <w:rPr>
          <w:lang w:val="fr-FR"/>
        </w:rPr>
        <w:tab/>
        <w:t>Dans cet exemple, la valeur expérimentale de la CL</w:t>
      </w:r>
      <w:r>
        <w:rPr>
          <w:vertAlign w:val="subscript"/>
          <w:lang w:val="fr-FR"/>
        </w:rPr>
        <w:t>50</w:t>
      </w:r>
      <w:r>
        <w:rPr>
          <w:lang w:val="fr-FR"/>
        </w:rPr>
        <w:t xml:space="preserve"> pour une exposition de 6 heures aux vapeurs de la substance est de 13,6 mg/l.</w:t>
      </w:r>
    </w:p>
    <w:p w14:paraId="4B1D2447" w14:textId="77777777" w:rsidR="00EE41F8" w:rsidRDefault="00EE41F8" w:rsidP="00EE41F8">
      <w:pPr>
        <w:pStyle w:val="SingleTxtG"/>
        <w:rPr>
          <w:lang w:val="fr-FR"/>
        </w:rPr>
      </w:pPr>
      <w:r>
        <w:rPr>
          <w:lang w:val="fr-FR"/>
        </w:rPr>
        <w:t>2.</w:t>
      </w:r>
      <w:r>
        <w:rPr>
          <w:lang w:val="fr-FR"/>
        </w:rPr>
        <w:tab/>
        <w:t>En l’absence d’autre information sur l’exposant n, la valeur par défaut (n = 2) sera utilisée.</w:t>
      </w:r>
    </w:p>
    <w:p w14:paraId="38059860" w14:textId="77777777" w:rsidR="00EE41F8" w:rsidRDefault="00EE41F8" w:rsidP="00EE41F8">
      <w:pPr>
        <w:pStyle w:val="SingleTxtG"/>
        <w:rPr>
          <w:u w:val="single"/>
        </w:rPr>
      </w:pPr>
      <w:r>
        <w:rPr>
          <w:u w:val="single"/>
          <w:lang w:val="fr-FR"/>
        </w:rPr>
        <w:t>Critère :</w:t>
      </w:r>
    </w:p>
    <w:p w14:paraId="49B379E2" w14:textId="77777777" w:rsidR="00EE41F8" w:rsidRDefault="00BF4EB8" w:rsidP="00EE41F8">
      <w:pPr>
        <w:spacing w:after="120"/>
        <w:rPr>
          <w:u w:val="single"/>
        </w:rPr>
      </w:pPr>
      <m:oMathPara>
        <m:oMath>
          <m:sSub>
            <m:sSubPr>
              <m:ctrlPr>
                <w:rPr>
                  <w:rFonts w:ascii="Cambria Math" w:hAnsi="Cambria Math"/>
                  <w:bCs/>
                  <w:iCs/>
                </w:rPr>
              </m:ctrlPr>
            </m:sSubPr>
            <m:e>
              <m:r>
                <m:rPr>
                  <m:sty m:val="p"/>
                </m:rPr>
                <w:rPr>
                  <w:rFonts w:ascii="Cambria Math" w:hAnsi="Cambria Math"/>
                </w:rPr>
                <m:t>CL</m:t>
              </m:r>
            </m:e>
            <m:sub>
              <m:r>
                <m:rPr>
                  <m:sty m:val="p"/>
                </m:rPr>
                <w:rPr>
                  <w:rFonts w:ascii="Cambria Math" w:hAnsi="Cambria Math"/>
                </w:rPr>
                <m:t>50</m:t>
              </m:r>
            </m:sub>
          </m:sSub>
          <m:r>
            <m:rPr>
              <m:sty m:val="p"/>
            </m:rPr>
            <w:rPr>
              <w:rFonts w:ascii="Cambria Math" w:hAnsi="Cambria Math"/>
            </w:rPr>
            <m:t>(4 heures)</m:t>
          </m:r>
          <m:r>
            <m:rPr>
              <m:sty m:val="bi"/>
            </m:rPr>
            <w:rPr>
              <w:rFonts w:ascii="Cambria Math" w:hAnsi="Cambria Math"/>
            </w:rPr>
            <m:t xml:space="preserve">= </m:t>
          </m:r>
          <m:sSup>
            <m:sSupPr>
              <m:ctrlPr>
                <w:rPr>
                  <w:rFonts w:ascii="Cambria Math" w:hAnsi="Cambria Math"/>
                  <w:b/>
                  <w:i/>
                </w:rPr>
              </m:ctrlPr>
            </m:sSupPr>
            <m:e>
              <m:d>
                <m:dPr>
                  <m:ctrlPr>
                    <w:rPr>
                      <w:rFonts w:ascii="Cambria Math" w:hAnsi="Cambria Math"/>
                      <w:b/>
                      <w:iCs/>
                    </w:rPr>
                  </m:ctrlPr>
                </m:dPr>
                <m:e>
                  <m:f>
                    <m:fPr>
                      <m:ctrlPr>
                        <w:rPr>
                          <w:rFonts w:ascii="Cambria Math" w:hAnsi="Cambria Math"/>
                          <w:iCs/>
                        </w:rPr>
                      </m:ctrlPr>
                    </m:fPr>
                    <m:num>
                      <m:sSup>
                        <m:sSupPr>
                          <m:ctrlPr>
                            <w:rPr>
                              <w:rFonts w:ascii="Cambria Math" w:hAnsi="Cambria Math" w:cs="Cambria Math"/>
                              <w:iCs/>
                            </w:rPr>
                          </m:ctrlPr>
                        </m:sSupPr>
                        <m:e>
                          <m:r>
                            <m:rPr>
                              <m:sty m:val="p"/>
                            </m:rPr>
                            <w:rPr>
                              <w:rFonts w:ascii="Cambria Math" w:hAnsi="Cambria Math" w:cs="Cambria Math"/>
                            </w:rPr>
                            <m:t>C</m:t>
                          </m:r>
                        </m:e>
                        <m:sup>
                          <m:r>
                            <m:rPr>
                              <m:sty m:val="p"/>
                            </m:rPr>
                            <w:rPr>
                              <w:rFonts w:ascii="Cambria Math" w:hAnsi="Cambria Math" w:cs="Cambria Math"/>
                            </w:rPr>
                            <m:t>n</m:t>
                          </m:r>
                        </m:sup>
                      </m:sSup>
                      <m:r>
                        <m:rPr>
                          <m:sty m:val="p"/>
                        </m:rPr>
                        <w:rPr>
                          <w:rFonts w:ascii="Cambria Math" w:hAnsi="Cambria Math" w:cs="Cambria Math"/>
                        </w:rPr>
                        <m:t xml:space="preserve"> × t</m:t>
                      </m:r>
                    </m:num>
                    <m:den>
                      <m:r>
                        <m:rPr>
                          <m:sty m:val="p"/>
                        </m:rPr>
                        <w:rPr>
                          <w:rFonts w:ascii="Cambria Math" w:hAnsi="Cambria Math" w:cs="Cambria Math"/>
                        </w:rPr>
                        <m:t>4</m:t>
                      </m:r>
                    </m:den>
                  </m:f>
                </m:e>
              </m:d>
            </m:e>
            <m:sup>
              <m:r>
                <m:rPr>
                  <m:sty m:val="bi"/>
                </m:rPr>
                <w:rPr>
                  <w:rFonts w:ascii="Cambria Math" w:hAnsi="Cambria Math"/>
                </w:rPr>
                <m:t>1/n</m:t>
              </m:r>
            </m:sup>
          </m:sSup>
        </m:oMath>
      </m:oMathPara>
    </w:p>
    <w:p w14:paraId="0557B93C" w14:textId="77777777" w:rsidR="00EE41F8" w:rsidRDefault="00EE41F8" w:rsidP="00EE41F8">
      <w:pPr>
        <w:pStyle w:val="SingleTxtG"/>
        <w:rPr>
          <w:u w:val="single"/>
        </w:rPr>
      </w:pPr>
      <w:r>
        <w:rPr>
          <w:u w:val="single"/>
          <w:lang w:val="fr-FR"/>
        </w:rPr>
        <w:t>Calcul</w:t>
      </w:r>
    </w:p>
    <w:p w14:paraId="1169D604" w14:textId="77777777" w:rsidR="00EE41F8" w:rsidRDefault="00BF4EB8" w:rsidP="00EE41F8">
      <w:pPr>
        <w:spacing w:after="120"/>
        <w:rPr>
          <w:rFonts w:ascii="Cambria Math" w:hAnsi="Cambria Math"/>
          <w:b/>
        </w:rPr>
      </w:pPr>
      <m:oMathPara>
        <m:oMath>
          <m:sSub>
            <m:sSubPr>
              <m:ctrlPr>
                <w:rPr>
                  <w:rFonts w:ascii="Cambria Math" w:hAnsi="Cambria Math"/>
                  <w:bCs/>
                  <w:iCs/>
                </w:rPr>
              </m:ctrlPr>
            </m:sSubPr>
            <m:e>
              <m:r>
                <m:rPr>
                  <m:sty m:val="p"/>
                </m:rPr>
                <w:rPr>
                  <w:rFonts w:ascii="Cambria Math" w:hAnsi="Cambria Math"/>
                </w:rPr>
                <m:t>CL</m:t>
              </m:r>
            </m:e>
            <m:sub>
              <m:r>
                <m:rPr>
                  <m:sty m:val="p"/>
                </m:rPr>
                <w:rPr>
                  <w:rFonts w:ascii="Cambria Math" w:hAnsi="Cambria Math"/>
                </w:rPr>
                <m:t>50</m:t>
              </m:r>
            </m:sub>
          </m:sSub>
          <m:d>
            <m:dPr>
              <m:ctrlPr>
                <w:rPr>
                  <w:rFonts w:ascii="Cambria Math" w:hAnsi="Cambria Math"/>
                </w:rPr>
              </m:ctrlPr>
            </m:dPr>
            <m:e>
              <m:r>
                <m:rPr>
                  <m:sty m:val="p"/>
                </m:rPr>
                <w:rPr>
                  <w:rFonts w:ascii="Cambria Math" w:hAnsi="Cambria Math"/>
                </w:rPr>
                <m:t>4 heures</m:t>
              </m:r>
            </m:e>
          </m:d>
          <m:r>
            <m:rPr>
              <m:sty m:val="bi"/>
            </m:rPr>
            <w:rPr>
              <w:rFonts w:ascii="Cambria Math" w:hAnsi="Cambria Math"/>
            </w:rPr>
            <m:t xml:space="preserve">= </m:t>
          </m:r>
          <m:sSup>
            <m:sSupPr>
              <m:ctrlPr>
                <w:rPr>
                  <w:rFonts w:ascii="Cambria Math" w:hAnsi="Cambria Math"/>
                  <w:b/>
                  <w:iCs/>
                </w:rPr>
              </m:ctrlPr>
            </m:sSupPr>
            <m:e>
              <m:d>
                <m:dPr>
                  <m:ctrlPr>
                    <w:rPr>
                      <w:rFonts w:ascii="Cambria Math" w:hAnsi="Cambria Math"/>
                      <w:b/>
                      <w:iCs/>
                    </w:rPr>
                  </m:ctrlPr>
                </m:dPr>
                <m:e>
                  <m:f>
                    <m:fPr>
                      <m:ctrlPr>
                        <w:rPr>
                          <w:rFonts w:ascii="Cambria Math" w:hAnsi="Cambria Math"/>
                          <w:iCs/>
                        </w:rPr>
                      </m:ctrlPr>
                    </m:fPr>
                    <m:num>
                      <m:sSup>
                        <m:sSupPr>
                          <m:ctrlPr>
                            <w:rPr>
                              <w:rFonts w:ascii="Cambria Math" w:hAnsi="Cambria Math" w:cs="Cambria Math"/>
                              <w:iCs/>
                            </w:rPr>
                          </m:ctrlPr>
                        </m:sSupPr>
                        <m:e>
                          <m:r>
                            <m:rPr>
                              <m:sty m:val="p"/>
                            </m:rPr>
                            <w:rPr>
                              <w:rFonts w:ascii="Cambria Math" w:hAnsi="Cambria Math" w:cs="Cambria Math"/>
                            </w:rPr>
                            <m:t>C</m:t>
                          </m:r>
                        </m:e>
                        <m:sup>
                          <m:r>
                            <m:rPr>
                              <m:sty m:val="p"/>
                            </m:rPr>
                            <w:rPr>
                              <w:rFonts w:ascii="Cambria Math" w:hAnsi="Cambria Math" w:cs="Cambria Math"/>
                            </w:rPr>
                            <m:t>n</m:t>
                          </m:r>
                        </m:sup>
                      </m:sSup>
                      <m:r>
                        <m:rPr>
                          <m:sty m:val="p"/>
                        </m:rPr>
                        <w:rPr>
                          <w:rFonts w:ascii="Cambria Math" w:hAnsi="Cambria Math" w:cs="Cambria Math"/>
                        </w:rPr>
                        <m:t xml:space="preserve"> × t</m:t>
                      </m:r>
                    </m:num>
                    <m:den>
                      <m:r>
                        <m:rPr>
                          <m:sty m:val="p"/>
                        </m:rPr>
                        <w:rPr>
                          <w:rFonts w:ascii="Cambria Math" w:hAnsi="Cambria Math" w:cs="Cambria Math"/>
                        </w:rPr>
                        <m:t>4</m:t>
                      </m:r>
                    </m:den>
                  </m:f>
                </m:e>
              </m:d>
            </m:e>
            <m:sup>
              <m:f>
                <m:fPr>
                  <m:ctrlPr>
                    <w:rPr>
                      <w:rFonts w:ascii="Cambria Math" w:hAnsi="Cambria Math"/>
                      <w:b/>
                      <w:iCs/>
                    </w:rPr>
                  </m:ctrlPr>
                </m:fPr>
                <m:num>
                  <m:r>
                    <m:rPr>
                      <m:sty m:val="b"/>
                    </m:rPr>
                    <w:rPr>
                      <w:rFonts w:ascii="Cambria Math" w:hAnsi="Cambria Math"/>
                    </w:rPr>
                    <m:t>1</m:t>
                  </m:r>
                </m:num>
                <m:den>
                  <m:r>
                    <m:rPr>
                      <m:sty m:val="b"/>
                    </m:rPr>
                    <w:rPr>
                      <w:rFonts w:ascii="Cambria Math" w:hAnsi="Cambria Math"/>
                    </w:rPr>
                    <m:t>n</m:t>
                  </m:r>
                </m:den>
              </m:f>
            </m:sup>
          </m:sSup>
          <m:r>
            <m:rPr>
              <m:sty m:val="bi"/>
            </m:rPr>
            <w:rPr>
              <w:rFonts w:ascii="Cambria Math" w:hAnsi="Cambria Math"/>
            </w:rPr>
            <m:t xml:space="preserve">=  </m:t>
          </m:r>
          <m:sSup>
            <m:sSupPr>
              <m:ctrlPr>
                <w:rPr>
                  <w:rFonts w:ascii="Cambria Math" w:hAnsi="Cambria Math"/>
                  <w:b/>
                  <w:iCs/>
                </w:rPr>
              </m:ctrlPr>
            </m:sSupPr>
            <m:e>
              <m:d>
                <m:dPr>
                  <m:ctrlPr>
                    <w:rPr>
                      <w:rFonts w:ascii="Cambria Math" w:hAnsi="Cambria Math"/>
                      <w:b/>
                      <w:iCs/>
                    </w:rPr>
                  </m:ctrlPr>
                </m:dPr>
                <m:e>
                  <m:f>
                    <m:fPr>
                      <m:ctrlPr>
                        <w:rPr>
                          <w:rFonts w:ascii="Cambria Math" w:hAnsi="Cambria Math"/>
                          <w:iCs/>
                        </w:rPr>
                      </m:ctrlPr>
                    </m:fPr>
                    <m:num>
                      <m:sSup>
                        <m:sSupPr>
                          <m:ctrlPr>
                            <w:rPr>
                              <w:rFonts w:ascii="Cambria Math" w:hAnsi="Cambria Math" w:cs="Cambria Math"/>
                              <w:iCs/>
                            </w:rPr>
                          </m:ctrlPr>
                        </m:sSupPr>
                        <m:e>
                          <m:r>
                            <m:rPr>
                              <m:sty m:val="p"/>
                            </m:rPr>
                            <w:rPr>
                              <w:rFonts w:ascii="Cambria Math" w:hAnsi="Cambria Math" w:cs="Cambria Math"/>
                            </w:rPr>
                            <m:t>13,6</m:t>
                          </m:r>
                        </m:e>
                        <m:sup>
                          <m:r>
                            <m:rPr>
                              <m:sty m:val="p"/>
                            </m:rPr>
                            <w:rPr>
                              <w:rFonts w:ascii="Cambria Math" w:hAnsi="Cambria Math" w:cs="Cambria Math"/>
                            </w:rPr>
                            <m:t>2</m:t>
                          </m:r>
                        </m:sup>
                      </m:sSup>
                      <m:r>
                        <m:rPr>
                          <m:sty m:val="p"/>
                        </m:rPr>
                        <w:rPr>
                          <w:rFonts w:ascii="Cambria Math" w:hAnsi="Cambria Math" w:cs="Cambria Math"/>
                        </w:rPr>
                        <m:t xml:space="preserve"> × 6</m:t>
                      </m:r>
                    </m:num>
                    <m:den>
                      <m:r>
                        <m:rPr>
                          <m:sty m:val="p"/>
                        </m:rPr>
                        <w:rPr>
                          <w:rFonts w:ascii="Cambria Math" w:hAnsi="Cambria Math" w:cs="Cambria Math"/>
                        </w:rPr>
                        <m:t>4</m:t>
                      </m:r>
                    </m:den>
                  </m:f>
                </m:e>
              </m:d>
            </m:e>
            <m:sup>
              <m:f>
                <m:fPr>
                  <m:ctrlPr>
                    <w:rPr>
                      <w:rFonts w:ascii="Cambria Math" w:hAnsi="Cambria Math"/>
                      <w:b/>
                      <w:iCs/>
                    </w:rPr>
                  </m:ctrlPr>
                </m:fPr>
                <m:num>
                  <m:r>
                    <m:rPr>
                      <m:sty m:val="b"/>
                    </m:rPr>
                    <w:rPr>
                      <w:rFonts w:ascii="Cambria Math" w:hAnsi="Cambria Math"/>
                    </w:rPr>
                    <m:t>1</m:t>
                  </m:r>
                </m:num>
                <m:den>
                  <m:r>
                    <m:rPr>
                      <m:sty m:val="b"/>
                    </m:rPr>
                    <w:rPr>
                      <w:rFonts w:ascii="Cambria Math" w:hAnsi="Cambria Math"/>
                    </w:rPr>
                    <m:t xml:space="preserve">2 </m:t>
                  </m:r>
                </m:den>
              </m:f>
            </m:sup>
          </m:sSup>
          <m:r>
            <m:rPr>
              <m:sty m:val="bi"/>
            </m:rPr>
            <w:rPr>
              <w:rFonts w:ascii="Cambria Math" w:hAnsi="Cambria Math"/>
            </w:rPr>
            <m:t>=16,7</m:t>
          </m:r>
        </m:oMath>
      </m:oMathPara>
    </w:p>
    <w:p w14:paraId="2444192B" w14:textId="77777777" w:rsidR="00EE41F8" w:rsidRDefault="00EE41F8" w:rsidP="00EE41F8">
      <w:pPr>
        <w:pStyle w:val="SingleTxtG"/>
        <w:rPr>
          <w:rFonts w:asciiTheme="majorBidi" w:hAnsiTheme="majorBidi" w:cstheme="majorBidi"/>
          <w:sz w:val="16"/>
          <w:szCs w:val="16"/>
          <w:lang w:val="fr-FR"/>
        </w:rPr>
      </w:pPr>
      <w:r>
        <w:rPr>
          <w:lang w:val="fr-FR"/>
        </w:rPr>
        <w:t>3.</w:t>
      </w:r>
      <w:r>
        <w:rPr>
          <w:lang w:val="fr-FR"/>
        </w:rPr>
        <w:tab/>
        <w:t>Par conséquent, la substance est classée dans la catégorie 4 selon les critères indiqués pour les vapeurs dans le tableau 3.1.1 (catégorie 4 : 10,0 &lt; ETA ≤ 20,0).</w:t>
      </w:r>
    </w:p>
    <w:p w14:paraId="31276EF8" w14:textId="7E90CA92" w:rsidR="00EE41F8" w:rsidRPr="00D73EFE" w:rsidRDefault="00EE41F8" w:rsidP="00D73EFE">
      <w:pPr>
        <w:pStyle w:val="H23G"/>
        <w:rPr>
          <w:b w:val="0"/>
          <w:bCs/>
          <w:i/>
          <w:iCs/>
          <w:lang w:val="fr-FR"/>
        </w:rPr>
      </w:pPr>
      <w:r>
        <w:rPr>
          <w:bCs/>
          <w:lang w:val="fr-FR"/>
        </w:rPr>
        <w:tab/>
      </w:r>
      <w:r>
        <w:rPr>
          <w:bCs/>
          <w:lang w:val="fr-FR"/>
        </w:rPr>
        <w:tab/>
      </w:r>
      <w:r w:rsidRPr="00D73EFE">
        <w:rPr>
          <w:bCs/>
          <w:i/>
          <w:iCs/>
          <w:lang w:val="fr-FR"/>
        </w:rPr>
        <w:t>Exemple 2</w:t>
      </w:r>
      <w:r w:rsidR="00D73EFE" w:rsidRPr="00D73EFE">
        <w:rPr>
          <w:bCs/>
          <w:i/>
          <w:iCs/>
          <w:lang w:val="fr-FR"/>
        </w:rPr>
        <w:t xml:space="preserve"> : </w:t>
      </w:r>
      <w:r w:rsidRPr="00D73EFE">
        <w:rPr>
          <w:bCs/>
          <w:i/>
          <w:iCs/>
          <w:lang w:val="fr-FR"/>
        </w:rPr>
        <w:t>Substance (solide)</w:t>
      </w:r>
    </w:p>
    <w:p w14:paraId="50D8E8C6" w14:textId="77777777" w:rsidR="00EE41F8" w:rsidRDefault="00EE41F8" w:rsidP="00EE41F8">
      <w:pPr>
        <w:pStyle w:val="SingleTxtG"/>
        <w:rPr>
          <w:lang w:val="fr-FR"/>
        </w:rPr>
      </w:pPr>
      <w:r>
        <w:rPr>
          <w:lang w:val="fr-FR"/>
        </w:rPr>
        <w:t>4.</w:t>
      </w:r>
      <w:r>
        <w:rPr>
          <w:lang w:val="fr-FR"/>
        </w:rPr>
        <w:tab/>
        <w:t>Dans cet exemple, la valeur expérimentale de la CL</w:t>
      </w:r>
      <w:r>
        <w:rPr>
          <w:vertAlign w:val="subscript"/>
          <w:lang w:val="fr-FR"/>
        </w:rPr>
        <w:t>50</w:t>
      </w:r>
      <w:r>
        <w:rPr>
          <w:lang w:val="fr-FR"/>
        </w:rPr>
        <w:t xml:space="preserve"> pour une exposition de 2 heures aux poussières de la substance est de 0,26 mg/l.</w:t>
      </w:r>
    </w:p>
    <w:p w14:paraId="2C66D51D" w14:textId="77777777" w:rsidR="00EE41F8" w:rsidRDefault="00EE41F8" w:rsidP="00EE41F8">
      <w:pPr>
        <w:pStyle w:val="SingleTxtG"/>
        <w:rPr>
          <w:u w:val="single"/>
        </w:rPr>
      </w:pPr>
      <w:r>
        <w:rPr>
          <w:u w:val="single"/>
          <w:lang w:val="fr-FR"/>
        </w:rPr>
        <w:t>Critère :</w:t>
      </w:r>
    </w:p>
    <w:p w14:paraId="000A8392" w14:textId="77777777" w:rsidR="00EE41F8" w:rsidRDefault="00BF4EB8" w:rsidP="00EE41F8">
      <w:pPr>
        <w:spacing w:after="120"/>
        <w:rPr>
          <w:u w:val="single"/>
        </w:rPr>
      </w:pPr>
      <m:oMathPara>
        <m:oMath>
          <m:sSub>
            <m:sSubPr>
              <m:ctrlPr>
                <w:rPr>
                  <w:rFonts w:ascii="Cambria Math" w:hAnsi="Cambria Math"/>
                  <w:bCs/>
                  <w:iCs/>
                </w:rPr>
              </m:ctrlPr>
            </m:sSubPr>
            <m:e>
              <m:r>
                <m:rPr>
                  <m:sty m:val="p"/>
                </m:rPr>
                <w:rPr>
                  <w:rFonts w:ascii="Cambria Math" w:hAnsi="Cambria Math"/>
                </w:rPr>
                <m:t>CL</m:t>
              </m:r>
            </m:e>
            <m:sub>
              <m:r>
                <m:rPr>
                  <m:sty m:val="p"/>
                </m:rPr>
                <w:rPr>
                  <w:rFonts w:ascii="Cambria Math" w:hAnsi="Cambria Math"/>
                </w:rPr>
                <m:t>50</m:t>
              </m:r>
            </m:sub>
          </m:sSub>
          <m:r>
            <m:rPr>
              <m:sty m:val="p"/>
            </m:rPr>
            <w:rPr>
              <w:rFonts w:ascii="Cambria Math" w:hAnsi="Cambria Math"/>
            </w:rPr>
            <m:t>(4 heures)</m:t>
          </m:r>
          <m:r>
            <m:rPr>
              <m:sty m:val="bi"/>
            </m:rPr>
            <w:rPr>
              <w:rFonts w:ascii="Cambria Math" w:hAnsi="Cambria Math"/>
            </w:rPr>
            <m:t xml:space="preserve">= </m:t>
          </m:r>
          <m:f>
            <m:fPr>
              <m:ctrlPr>
                <w:rPr>
                  <w:rFonts w:ascii="Cambria Math" w:hAnsi="Cambria Math"/>
                  <w:iCs/>
                </w:rPr>
              </m:ctrlPr>
            </m:fPr>
            <m:num>
              <m:r>
                <m:rPr>
                  <m:sty m:val="p"/>
                </m:rPr>
                <w:rPr>
                  <w:rFonts w:ascii="Cambria Math" w:hAnsi="Cambria Math" w:cs="Cambria Math"/>
                </w:rPr>
                <m:t>C ×  t</m:t>
              </m:r>
            </m:num>
            <m:den>
              <m:r>
                <m:rPr>
                  <m:sty m:val="p"/>
                </m:rPr>
                <w:rPr>
                  <w:rFonts w:ascii="Cambria Math" w:hAnsi="Cambria Math" w:cs="Cambria Math"/>
                </w:rPr>
                <m:t>4</m:t>
              </m:r>
            </m:den>
          </m:f>
        </m:oMath>
      </m:oMathPara>
    </w:p>
    <w:p w14:paraId="2E6616D6" w14:textId="77777777" w:rsidR="00EE41F8" w:rsidRDefault="00EE41F8" w:rsidP="00EE41F8">
      <w:pPr>
        <w:pStyle w:val="SingleTxtG"/>
        <w:rPr>
          <w:u w:val="single"/>
        </w:rPr>
      </w:pPr>
      <w:r>
        <w:rPr>
          <w:u w:val="single"/>
          <w:lang w:val="fr-FR"/>
        </w:rPr>
        <w:t>Calcul</w:t>
      </w:r>
    </w:p>
    <w:p w14:paraId="1D86DC53" w14:textId="77777777" w:rsidR="00EE41F8" w:rsidRDefault="00BF4EB8" w:rsidP="00EE41F8">
      <w:pPr>
        <w:spacing w:after="120"/>
      </w:pPr>
      <m:oMathPara>
        <m:oMath>
          <m:sSub>
            <m:sSubPr>
              <m:ctrlPr>
                <w:rPr>
                  <w:rFonts w:ascii="Cambria Math" w:hAnsi="Cambria Math"/>
                  <w:bCs/>
                  <w:iCs/>
                </w:rPr>
              </m:ctrlPr>
            </m:sSubPr>
            <m:e>
              <m:r>
                <m:rPr>
                  <m:sty m:val="p"/>
                </m:rPr>
                <w:rPr>
                  <w:rFonts w:ascii="Cambria Math" w:hAnsi="Cambria Math"/>
                </w:rPr>
                <m:t>CL</m:t>
              </m:r>
            </m:e>
            <m:sub>
              <m:r>
                <m:rPr>
                  <m:sty m:val="p"/>
                </m:rPr>
                <w:rPr>
                  <w:rFonts w:ascii="Cambria Math" w:hAnsi="Cambria Math"/>
                </w:rPr>
                <m:t>50</m:t>
              </m:r>
            </m:sub>
          </m:sSub>
          <m:d>
            <m:dPr>
              <m:ctrlPr>
                <w:rPr>
                  <w:rFonts w:ascii="Cambria Math" w:hAnsi="Cambria Math"/>
                </w:rPr>
              </m:ctrlPr>
            </m:dPr>
            <m:e>
              <m:r>
                <m:rPr>
                  <m:sty m:val="p"/>
                </m:rPr>
                <w:rPr>
                  <w:rFonts w:ascii="Cambria Math" w:hAnsi="Cambria Math"/>
                </w:rPr>
                <m:t>4 heures</m:t>
              </m:r>
            </m:e>
          </m:d>
          <m:r>
            <m:rPr>
              <m:sty m:val="bi"/>
            </m:rPr>
            <w:rPr>
              <w:rFonts w:ascii="Cambria Math" w:hAnsi="Cambria Math"/>
            </w:rPr>
            <m:t xml:space="preserve">= </m:t>
          </m:r>
          <m:f>
            <m:fPr>
              <m:ctrlPr>
                <w:rPr>
                  <w:rFonts w:ascii="Cambria Math" w:hAnsi="Cambria Math"/>
                  <w:iCs/>
                </w:rPr>
              </m:ctrlPr>
            </m:fPr>
            <m:num>
              <m:r>
                <m:rPr>
                  <m:sty m:val="p"/>
                </m:rPr>
                <w:rPr>
                  <w:rFonts w:ascii="Cambria Math" w:hAnsi="Cambria Math" w:cs="Cambria Math"/>
                </w:rPr>
                <m:t>C ×  t</m:t>
              </m:r>
            </m:num>
            <m:den>
              <m:r>
                <m:rPr>
                  <m:sty m:val="p"/>
                </m:rPr>
                <w:rPr>
                  <w:rFonts w:ascii="Cambria Math" w:hAnsi="Cambria Math" w:cs="Cambria Math"/>
                </w:rPr>
                <m:t>4</m:t>
              </m:r>
            </m:den>
          </m:f>
          <m:r>
            <w:rPr>
              <w:rFonts w:ascii="Cambria Math" w:hAnsi="Cambria Math"/>
            </w:rPr>
            <m:t xml:space="preserve">= </m:t>
          </m:r>
          <m:f>
            <m:fPr>
              <m:ctrlPr>
                <w:rPr>
                  <w:rFonts w:ascii="Cambria Math" w:hAnsi="Cambria Math"/>
                  <w:iCs/>
                </w:rPr>
              </m:ctrlPr>
            </m:fPr>
            <m:num>
              <m:r>
                <m:rPr>
                  <m:sty m:val="p"/>
                </m:rPr>
                <w:rPr>
                  <w:rFonts w:ascii="Cambria Math" w:hAnsi="Cambria Math" w:cs="Cambria Math"/>
                </w:rPr>
                <m:t>0,26 ×  2</m:t>
              </m:r>
            </m:num>
            <m:den>
              <m:r>
                <m:rPr>
                  <m:sty m:val="p"/>
                </m:rPr>
                <w:rPr>
                  <w:rFonts w:ascii="Cambria Math" w:hAnsi="Cambria Math" w:cs="Cambria Math"/>
                </w:rPr>
                <m:t>4</m:t>
              </m:r>
            </m:den>
          </m:f>
          <m:r>
            <w:rPr>
              <w:rFonts w:ascii="Cambria Math" w:hAnsi="Cambria Math"/>
            </w:rPr>
            <m:t xml:space="preserve">=0,13 </m:t>
          </m:r>
        </m:oMath>
      </m:oMathPara>
    </w:p>
    <w:p w14:paraId="59BF0F54" w14:textId="77777777" w:rsidR="00EE41F8" w:rsidRDefault="00EE41F8" w:rsidP="00EE41F8">
      <w:pPr>
        <w:pStyle w:val="SingleTxtG"/>
        <w:rPr>
          <w:lang w:val="fr-FR"/>
        </w:rPr>
      </w:pPr>
      <w:r>
        <w:rPr>
          <w:lang w:val="fr-FR"/>
        </w:rPr>
        <w:t>5.</w:t>
      </w:r>
      <w:r>
        <w:rPr>
          <w:lang w:val="fr-FR"/>
        </w:rPr>
        <w:tab/>
        <w:t>Par conséquent, la substance est classée dans la catégorie 2 selon les critères indiqués pour les poussières et brouillards dans le tableau 3.1.1 (catégorie 2 : 0,05 &lt; ETA ≤ 0,5). »</w:t>
      </w:r>
    </w:p>
    <w:p w14:paraId="706707B8" w14:textId="77777777" w:rsidR="00EE41F8" w:rsidRPr="004C2A3C" w:rsidRDefault="00EE41F8" w:rsidP="00EE41F8">
      <w:pPr>
        <w:keepNext/>
        <w:keepLines/>
        <w:tabs>
          <w:tab w:val="right" w:pos="851"/>
        </w:tabs>
        <w:spacing w:before="360" w:after="240" w:line="270" w:lineRule="exact"/>
        <w:ind w:left="1134" w:right="1134" w:hanging="1134"/>
        <w:rPr>
          <w:b/>
          <w:sz w:val="24"/>
          <w:lang w:val="fr-FR"/>
        </w:rPr>
      </w:pPr>
      <w:r>
        <w:rPr>
          <w:b/>
          <w:sz w:val="24"/>
          <w:lang w:val="fr-FR"/>
        </w:rPr>
        <w:tab/>
      </w:r>
      <w:r>
        <w:rPr>
          <w:b/>
          <w:sz w:val="24"/>
          <w:lang w:val="fr-FR"/>
        </w:rPr>
        <w:tab/>
      </w:r>
      <w:r w:rsidRPr="004C2A3C">
        <w:rPr>
          <w:b/>
          <w:sz w:val="24"/>
          <w:lang w:val="fr-FR"/>
        </w:rPr>
        <w:t>Chapitre 3.2</w:t>
      </w:r>
    </w:p>
    <w:p w14:paraId="3BA010EF" w14:textId="77777777" w:rsidR="00EE41F8" w:rsidRPr="004C2A3C" w:rsidRDefault="00EE41F8" w:rsidP="00EE41F8">
      <w:pPr>
        <w:spacing w:after="120"/>
        <w:ind w:left="2268" w:right="1134" w:hanging="1134"/>
        <w:jc w:val="both"/>
      </w:pPr>
      <w:r w:rsidRPr="004C2A3C">
        <w:t>3.2.1.2</w:t>
      </w:r>
      <w:r w:rsidRPr="004C2A3C">
        <w:tab/>
      </w:r>
      <w:r w:rsidRPr="004C2A3C">
        <w:tab/>
        <w:t>Remplacer la deuxième phrase par la phrase suivante :</w:t>
      </w:r>
    </w:p>
    <w:p w14:paraId="06B67AAB" w14:textId="77777777" w:rsidR="00EE41F8" w:rsidRPr="004C2A3C" w:rsidRDefault="00EE41F8" w:rsidP="00EE41F8">
      <w:pPr>
        <w:spacing w:after="120"/>
        <w:ind w:left="2268" w:right="1134"/>
        <w:jc w:val="both"/>
      </w:pPr>
      <w:r w:rsidRPr="004C2A3C">
        <w:t>« Le classement doit être fondé sur des données acceptables pour toutes les parties, produites à l</w:t>
      </w:r>
      <w:r>
        <w:t>’</w:t>
      </w:r>
      <w:r w:rsidRPr="004C2A3C">
        <w:t>aide de méthodes validées selon des procédures internationales, telles que les lignes directrices de l</w:t>
      </w:r>
      <w:r>
        <w:t>’</w:t>
      </w:r>
      <w:r w:rsidRPr="004C2A3C">
        <w:t xml:space="preserve">OCDE ou des méthodes équivalentes (voir 1.3.2.4.3). ». </w:t>
      </w:r>
    </w:p>
    <w:p w14:paraId="218C9D6F" w14:textId="77777777" w:rsidR="00EE41F8" w:rsidRPr="004C2A3C" w:rsidRDefault="00EE41F8" w:rsidP="00EE41F8">
      <w:pPr>
        <w:spacing w:after="120"/>
        <w:ind w:left="2268" w:right="1134"/>
        <w:jc w:val="both"/>
      </w:pPr>
      <w:r w:rsidRPr="004C2A3C">
        <w:t xml:space="preserve">Dans la dernière phrase, remplacer « 3.2.2.6 » par « 3.2.2.7 ». </w:t>
      </w:r>
    </w:p>
    <w:p w14:paraId="2A805E5A" w14:textId="77777777" w:rsidR="00EE41F8" w:rsidRPr="004C2A3C" w:rsidRDefault="00EE41F8" w:rsidP="00EE41F8">
      <w:pPr>
        <w:spacing w:after="120"/>
        <w:ind w:left="2268" w:right="1134" w:hanging="1134"/>
        <w:jc w:val="both"/>
      </w:pPr>
      <w:r w:rsidRPr="004C2A3C">
        <w:t>3.2.1.3</w:t>
      </w:r>
      <w:r w:rsidRPr="004C2A3C">
        <w:tab/>
      </w:r>
      <w:r w:rsidRPr="004C2A3C">
        <w:tab/>
        <w:t xml:space="preserve">Dans la première phrase, remplacer « 3.2.2.7 » par « 3.2.2.8 ». </w:t>
      </w:r>
    </w:p>
    <w:p w14:paraId="19B070EC" w14:textId="77777777" w:rsidR="00EE41F8" w:rsidRPr="004C2A3C" w:rsidRDefault="00EE41F8" w:rsidP="00EE41F8">
      <w:pPr>
        <w:spacing w:after="120"/>
        <w:ind w:left="2268" w:right="1134"/>
        <w:jc w:val="both"/>
      </w:pPr>
      <w:r w:rsidRPr="004C2A3C">
        <w:t xml:space="preserve">Dans la dernière phrase, remplacer « 3.2.2.7.3 » par « 3.2.2.8.3 » et ajouter </w:t>
      </w:r>
      <w:proofErr w:type="gramStart"/>
      <w:r w:rsidRPr="004C2A3C">
        <w:t>« ,</w:t>
      </w:r>
      <w:proofErr w:type="gramEnd"/>
      <w:r w:rsidRPr="004C2A3C">
        <w:t xml:space="preserve"> 3.2.2.7 » après « 1.3.2.4.9 » dans les références entre parenthèses à la fin du paragraphe. </w:t>
      </w:r>
    </w:p>
    <w:p w14:paraId="20E8D97D" w14:textId="77777777" w:rsidR="00EE41F8" w:rsidRPr="004C2A3C" w:rsidRDefault="00EE41F8" w:rsidP="00EE41F8">
      <w:pPr>
        <w:spacing w:after="120"/>
        <w:ind w:left="2268" w:right="1134" w:hanging="1134"/>
        <w:jc w:val="both"/>
      </w:pPr>
      <w:r w:rsidRPr="004C2A3C">
        <w:t>3.2.2.1</w:t>
      </w:r>
      <w:r w:rsidRPr="004C2A3C">
        <w:tab/>
      </w:r>
      <w:r w:rsidRPr="004C2A3C">
        <w:tab/>
        <w:t>Ajouter « </w:t>
      </w:r>
      <w:r w:rsidRPr="004C2A3C">
        <w:rPr>
          <w:b/>
          <w:bCs/>
          <w:i/>
          <w:iCs/>
        </w:rPr>
        <w:t>(étape 1 dans la figure 3.2.1)</w:t>
      </w:r>
      <w:r w:rsidRPr="004C2A3C">
        <w:t xml:space="preserve"> » à la fin du titre. </w:t>
      </w:r>
    </w:p>
    <w:p w14:paraId="1FEC5C64" w14:textId="77777777" w:rsidR="00EE41F8" w:rsidRPr="004C2A3C" w:rsidRDefault="00EE41F8" w:rsidP="00EE41F8">
      <w:pPr>
        <w:spacing w:after="120"/>
        <w:ind w:left="2268" w:right="1134" w:hanging="1134"/>
        <w:jc w:val="both"/>
      </w:pPr>
      <w:r w:rsidRPr="004C2A3C">
        <w:t>3.2.2.2</w:t>
      </w:r>
      <w:r w:rsidRPr="004C2A3C">
        <w:tab/>
      </w:r>
      <w:r w:rsidRPr="004C2A3C">
        <w:tab/>
        <w:t>Modifier le titre pour lire comme suit : « </w:t>
      </w:r>
      <w:r w:rsidRPr="004C2A3C">
        <w:rPr>
          <w:b/>
          <w:bCs/>
          <w:i/>
          <w:iCs/>
        </w:rPr>
        <w:t>Classification fondée sur des données normalisées obtenues sur les animaux (étape 1 dans la figure 3.2.1)</w:t>
      </w:r>
      <w:r w:rsidRPr="004C2A3C">
        <w:t xml:space="preserve"> ». </w:t>
      </w:r>
    </w:p>
    <w:p w14:paraId="49A122D9" w14:textId="77777777" w:rsidR="00EE41F8" w:rsidRPr="004C2A3C" w:rsidRDefault="00EE41F8" w:rsidP="00EE41F8">
      <w:pPr>
        <w:spacing w:after="120"/>
        <w:ind w:left="2268" w:right="1134"/>
        <w:jc w:val="both"/>
      </w:pPr>
      <w:r w:rsidRPr="004C2A3C">
        <w:t>Modifier le début de la première phrase pour lire comme suit : « La ligne directrice 404 de l</w:t>
      </w:r>
      <w:r>
        <w:t>’</w:t>
      </w:r>
      <w:r w:rsidRPr="004C2A3C">
        <w:t>OCDE est la méthode d</w:t>
      </w:r>
      <w:r>
        <w:t>’</w:t>
      </w:r>
      <w:r w:rsidRPr="004C2A3C">
        <w:t xml:space="preserve">essai sur </w:t>
      </w:r>
      <w:proofErr w:type="gramStart"/>
      <w:r w:rsidRPr="004C2A3C">
        <w:t>les animaux acceptée</w:t>
      </w:r>
      <w:proofErr w:type="gramEnd"/>
      <w:r w:rsidRPr="004C2A3C">
        <w:t xml:space="preserve"> au plan international... ».</w:t>
      </w:r>
    </w:p>
    <w:p w14:paraId="45C2B35A" w14:textId="77777777" w:rsidR="00EE41F8" w:rsidRPr="004C2A3C" w:rsidRDefault="00EE41F8" w:rsidP="00EE41F8">
      <w:pPr>
        <w:tabs>
          <w:tab w:val="left" w:pos="2268"/>
        </w:tabs>
        <w:spacing w:after="120"/>
        <w:ind w:left="2268" w:right="1134" w:hanging="1134"/>
        <w:jc w:val="both"/>
        <w:rPr>
          <w:b/>
          <w:i/>
          <w:iCs/>
          <w:lang w:val="fr-FR"/>
        </w:rPr>
      </w:pPr>
      <w:r w:rsidRPr="004C2A3C">
        <w:rPr>
          <w:lang w:val="fr-FR"/>
        </w:rPr>
        <w:t>3.2.2.3</w:t>
      </w:r>
      <w:r w:rsidRPr="004C2A3C">
        <w:rPr>
          <w:lang w:val="fr-FR"/>
        </w:rPr>
        <w:tab/>
        <w:t>Ajouter « </w:t>
      </w:r>
      <w:r w:rsidRPr="004C2A3C">
        <w:rPr>
          <w:b/>
          <w:i/>
          <w:iCs/>
          <w:lang w:val="fr-FR"/>
        </w:rPr>
        <w:t>(étape 2 dans la figure 3.2.1)</w:t>
      </w:r>
      <w:r w:rsidRPr="004C2A3C">
        <w:rPr>
          <w:lang w:val="fr-FR"/>
        </w:rPr>
        <w:t> » à la fin du titre.</w:t>
      </w:r>
    </w:p>
    <w:p w14:paraId="59675956" w14:textId="340CCB11" w:rsidR="00EE41F8" w:rsidRPr="004C2A3C" w:rsidRDefault="00EE41F8" w:rsidP="00EE41F8">
      <w:pPr>
        <w:tabs>
          <w:tab w:val="left" w:pos="2268"/>
        </w:tabs>
        <w:spacing w:after="120"/>
        <w:ind w:left="2268" w:right="1134" w:hanging="1134"/>
        <w:jc w:val="both"/>
        <w:rPr>
          <w:lang w:val="fr-FR"/>
        </w:rPr>
      </w:pPr>
      <w:r w:rsidRPr="004C2A3C">
        <w:rPr>
          <w:lang w:val="fr-FR"/>
        </w:rPr>
        <w:t>3.2.2.3.2</w:t>
      </w:r>
      <w:r w:rsidRPr="004C2A3C">
        <w:rPr>
          <w:lang w:val="fr-FR"/>
        </w:rPr>
        <w:tab/>
        <w:t xml:space="preserve">Remplacer la première phrase (« Dans la mesure du possible ... par ces méthodes ») par </w:t>
      </w:r>
      <w:r w:rsidR="00E0574B">
        <w:rPr>
          <w:lang w:val="fr-FR"/>
        </w:rPr>
        <w:t>ce qui suit</w:t>
      </w:r>
      <w:r w:rsidRPr="004C2A3C">
        <w:rPr>
          <w:lang w:val="fr-FR"/>
        </w:rPr>
        <w:t> :</w:t>
      </w:r>
    </w:p>
    <w:p w14:paraId="6CDB29AE" w14:textId="6CD8915E" w:rsidR="00EE41F8" w:rsidRPr="004C2A3C" w:rsidRDefault="00EE41F8" w:rsidP="00EE41F8">
      <w:pPr>
        <w:tabs>
          <w:tab w:val="left" w:pos="2268"/>
        </w:tabs>
        <w:spacing w:after="120"/>
        <w:ind w:left="2268" w:right="1134"/>
        <w:jc w:val="both"/>
        <w:rPr>
          <w:lang w:val="fr-FR"/>
        </w:rPr>
      </w:pPr>
      <w:r w:rsidRPr="004C2A3C">
        <w:rPr>
          <w:lang w:val="fr-FR"/>
        </w:rPr>
        <w:tab/>
        <w:t>« Les critères de classification des méthodes d</w:t>
      </w:r>
      <w:r>
        <w:rPr>
          <w:lang w:val="fr-FR"/>
        </w:rPr>
        <w:t>’</w:t>
      </w:r>
      <w:r w:rsidRPr="004C2A3C">
        <w:rPr>
          <w:lang w:val="fr-FR"/>
        </w:rPr>
        <w:t>essai in vitro/ex vivo actuellement disponibles, adoptés par l</w:t>
      </w:r>
      <w:r>
        <w:rPr>
          <w:lang w:val="fr-FR"/>
        </w:rPr>
        <w:t>’</w:t>
      </w:r>
      <w:r w:rsidRPr="004C2A3C">
        <w:rPr>
          <w:lang w:val="fr-FR"/>
        </w:rPr>
        <w:t>OCDE dans les lignes directrices 430, 431, 435 et 439, sont décrits dans les tableaux 3.2.6 et 3.2.7 (voir 3.2.5.3.4). D</w:t>
      </w:r>
      <w:r>
        <w:rPr>
          <w:lang w:val="fr-FR"/>
        </w:rPr>
        <w:t>’</w:t>
      </w:r>
      <w:r w:rsidRPr="004C2A3C">
        <w:rPr>
          <w:lang w:val="fr-FR"/>
        </w:rPr>
        <w:t>autres méthodes d</w:t>
      </w:r>
      <w:r>
        <w:rPr>
          <w:lang w:val="fr-FR"/>
        </w:rPr>
        <w:t>’</w:t>
      </w:r>
      <w:r w:rsidRPr="004C2A3C">
        <w:rPr>
          <w:lang w:val="fr-FR"/>
        </w:rPr>
        <w:t xml:space="preserve">essai in vitro/ex vivo validées et acceptées par certaines autorités </w:t>
      </w:r>
      <w:r w:rsidR="00673F38">
        <w:rPr>
          <w:lang w:val="fr-FR"/>
        </w:rPr>
        <w:t xml:space="preserve">compétentes </w:t>
      </w:r>
      <w:r w:rsidRPr="004C2A3C">
        <w:rPr>
          <w:lang w:val="fr-FR"/>
        </w:rPr>
        <w:t>peuvent également être envisagées. Une autorité compétente peut décider quels critères de classification doivent éventuellement être appliqués à d</w:t>
      </w:r>
      <w:r>
        <w:rPr>
          <w:lang w:val="fr-FR"/>
        </w:rPr>
        <w:t>’</w:t>
      </w:r>
      <w:r w:rsidRPr="004C2A3C">
        <w:rPr>
          <w:lang w:val="fr-FR"/>
        </w:rPr>
        <w:t>autres méthodes d</w:t>
      </w:r>
      <w:r>
        <w:rPr>
          <w:lang w:val="fr-FR"/>
        </w:rPr>
        <w:t>’</w:t>
      </w:r>
      <w:r w:rsidRPr="004C2A3C">
        <w:rPr>
          <w:lang w:val="fr-FR"/>
        </w:rPr>
        <w:t>essai pour conclure à la classification ou l</w:t>
      </w:r>
      <w:r>
        <w:rPr>
          <w:lang w:val="fr-FR"/>
        </w:rPr>
        <w:t>’</w:t>
      </w:r>
      <w:r w:rsidRPr="004C2A3C">
        <w:rPr>
          <w:lang w:val="fr-FR"/>
        </w:rPr>
        <w:t>absence de classification d</w:t>
      </w:r>
      <w:r>
        <w:rPr>
          <w:lang w:val="fr-FR"/>
        </w:rPr>
        <w:t>’</w:t>
      </w:r>
      <w:r w:rsidRPr="004C2A3C">
        <w:rPr>
          <w:lang w:val="fr-FR"/>
        </w:rPr>
        <w:t>une substance pour ses effets cutanés. ».</w:t>
      </w:r>
    </w:p>
    <w:p w14:paraId="2EDAF891" w14:textId="77777777" w:rsidR="00EE41F8" w:rsidRPr="004C2A3C" w:rsidRDefault="00EE41F8" w:rsidP="00EE41F8">
      <w:pPr>
        <w:keepNext/>
        <w:keepLines/>
        <w:tabs>
          <w:tab w:val="left" w:pos="2268"/>
        </w:tabs>
        <w:spacing w:after="120"/>
        <w:ind w:left="2268" w:right="1134" w:hanging="1134"/>
        <w:jc w:val="both"/>
        <w:rPr>
          <w:lang w:val="fr-FR"/>
        </w:rPr>
      </w:pPr>
      <w:r w:rsidRPr="004C2A3C">
        <w:rPr>
          <w:spacing w:val="-4"/>
          <w:lang w:val="fr-FR"/>
        </w:rPr>
        <w:t>3.2.2.3.3 (nouveau)</w:t>
      </w:r>
      <w:r w:rsidRPr="004C2A3C">
        <w:rPr>
          <w:lang w:val="fr-FR"/>
        </w:rPr>
        <w:tab/>
        <w:t>Placer les deux dernières phrases de l</w:t>
      </w:r>
      <w:r>
        <w:rPr>
          <w:lang w:val="fr-FR"/>
        </w:rPr>
        <w:t>’</w:t>
      </w:r>
      <w:r w:rsidRPr="004C2A3C">
        <w:rPr>
          <w:lang w:val="fr-FR"/>
        </w:rPr>
        <w:t>actuel paragraphe 3.2.2.3.2 (« Les données in vitro/ex vivo... prises en compte ») dans un nouveau paragraphe 3.2.2.3.3 et remplacer « des méthodes d</w:t>
      </w:r>
      <w:r>
        <w:rPr>
          <w:lang w:val="fr-FR"/>
        </w:rPr>
        <w:t>’</w:t>
      </w:r>
      <w:r w:rsidRPr="004C2A3C">
        <w:rPr>
          <w:lang w:val="fr-FR"/>
        </w:rPr>
        <w:t>essai utilisées » par « de la ou des méthode(s) d</w:t>
      </w:r>
      <w:r>
        <w:rPr>
          <w:lang w:val="fr-FR"/>
        </w:rPr>
        <w:t>’</w:t>
      </w:r>
      <w:r w:rsidRPr="004C2A3C">
        <w:rPr>
          <w:lang w:val="fr-FR"/>
        </w:rPr>
        <w:t>essai utilisée(s) ».</w:t>
      </w:r>
    </w:p>
    <w:p w14:paraId="217E8C00" w14:textId="77777777" w:rsidR="00EE41F8" w:rsidRPr="004C2A3C" w:rsidRDefault="00EE41F8" w:rsidP="00EE41F8">
      <w:pPr>
        <w:tabs>
          <w:tab w:val="left" w:pos="2268"/>
        </w:tabs>
        <w:spacing w:after="120"/>
        <w:ind w:left="2268" w:right="1134" w:hanging="1134"/>
        <w:jc w:val="both"/>
        <w:rPr>
          <w:lang w:val="fr-FR"/>
        </w:rPr>
      </w:pPr>
      <w:r w:rsidRPr="004C2A3C">
        <w:rPr>
          <w:lang w:val="fr-FR"/>
        </w:rPr>
        <w:t>Les paragraphes 3.2.2.2.3 à 3.2.2.3.3.3 actuels deviennent les 3.2.2.3.4 à 3.2.2.3.4.3.</w:t>
      </w:r>
    </w:p>
    <w:p w14:paraId="0ECD8DC1" w14:textId="77777777" w:rsidR="00EE41F8" w:rsidRPr="004C2A3C" w:rsidRDefault="00EE41F8" w:rsidP="00EE41F8">
      <w:pPr>
        <w:tabs>
          <w:tab w:val="left" w:pos="2268"/>
        </w:tabs>
        <w:spacing w:after="120"/>
        <w:ind w:left="2268" w:right="1134" w:hanging="1134"/>
        <w:jc w:val="both"/>
        <w:rPr>
          <w:lang w:val="fr-FR"/>
        </w:rPr>
      </w:pPr>
      <w:r w:rsidRPr="004C2A3C">
        <w:rPr>
          <w:lang w:val="fr-FR"/>
        </w:rPr>
        <w:t>3.2.2.3.4.1 (nouveau, ancien 3.2.2.3.3.1)</w:t>
      </w:r>
      <w:r w:rsidRPr="004C2A3C">
        <w:rPr>
          <w:lang w:val="fr-FR"/>
        </w:rPr>
        <w:tab/>
        <w:t>Ajouter « (voir 3.2.5.3.4) » à la fin du paragraphe, après « tableau 3.2.6 ».</w:t>
      </w:r>
    </w:p>
    <w:p w14:paraId="7EC3EFF7" w14:textId="7D4CD37B" w:rsidR="00EE41F8" w:rsidRPr="004C2A3C" w:rsidRDefault="00EE41F8" w:rsidP="00EE41F8">
      <w:pPr>
        <w:tabs>
          <w:tab w:val="left" w:pos="2268"/>
        </w:tabs>
        <w:spacing w:after="120"/>
        <w:ind w:left="2268" w:right="1134" w:hanging="1134"/>
        <w:jc w:val="both"/>
        <w:rPr>
          <w:lang w:val="fr-FR"/>
        </w:rPr>
      </w:pPr>
      <w:r w:rsidRPr="004C2A3C">
        <w:rPr>
          <w:lang w:val="fr-FR"/>
        </w:rPr>
        <w:t>Les paragraphes 3.2.2.</w:t>
      </w:r>
      <w:r w:rsidR="00673F38">
        <w:rPr>
          <w:lang w:val="fr-FR"/>
        </w:rPr>
        <w:t>3</w:t>
      </w:r>
      <w:r w:rsidRPr="004C2A3C">
        <w:rPr>
          <w:lang w:val="fr-FR"/>
        </w:rPr>
        <w:t>.4 à 3.2.2.3.4.2 actuels deviennent les 3.2.2.3.5 à 3.2.2.3.5.2.</w:t>
      </w:r>
    </w:p>
    <w:p w14:paraId="3DD9C22E" w14:textId="77777777" w:rsidR="00EE41F8" w:rsidRPr="004C2A3C" w:rsidRDefault="00EE41F8" w:rsidP="00EE41F8">
      <w:pPr>
        <w:tabs>
          <w:tab w:val="left" w:pos="2268"/>
        </w:tabs>
        <w:spacing w:after="120"/>
        <w:ind w:left="2268" w:right="1134" w:hanging="1134"/>
        <w:jc w:val="both"/>
        <w:rPr>
          <w:lang w:val="fr-FR"/>
        </w:rPr>
      </w:pPr>
      <w:r w:rsidRPr="004C2A3C">
        <w:rPr>
          <w:lang w:val="fr-FR"/>
        </w:rPr>
        <w:t>3.2.2.3.5.1 (nouveau, ancien 3.2.2.3.4.1)</w:t>
      </w:r>
      <w:r w:rsidRPr="004C2A3C">
        <w:rPr>
          <w:lang w:val="fr-FR"/>
        </w:rPr>
        <w:tab/>
        <w:t>Ajouter « (voir 3.2.5.3.4) » à la fin du paragraphe, après « tableau 3.2.7 ».</w:t>
      </w:r>
    </w:p>
    <w:p w14:paraId="65FB2478" w14:textId="77777777" w:rsidR="00EE41F8" w:rsidRPr="004C2A3C" w:rsidRDefault="00EE41F8" w:rsidP="00EE41F8">
      <w:pPr>
        <w:tabs>
          <w:tab w:val="left" w:pos="2268"/>
        </w:tabs>
        <w:spacing w:after="120"/>
        <w:ind w:left="2268" w:right="1134" w:hanging="1134"/>
        <w:jc w:val="both"/>
        <w:rPr>
          <w:lang w:val="fr-FR"/>
        </w:rPr>
      </w:pPr>
      <w:r w:rsidRPr="004C2A3C">
        <w:rPr>
          <w:lang w:val="fr-FR"/>
        </w:rPr>
        <w:t>3.2.2.3.5.2 (nouveau, ancien 3.2.2.3.4.2)</w:t>
      </w:r>
      <w:r w:rsidRPr="004C2A3C">
        <w:rPr>
          <w:lang w:val="fr-FR"/>
        </w:rPr>
        <w:tab/>
        <w:t>Supprimer la dernière phrase.</w:t>
      </w:r>
    </w:p>
    <w:p w14:paraId="6EB2ED8D" w14:textId="77777777" w:rsidR="00EE41F8" w:rsidRPr="004C2A3C" w:rsidRDefault="00EE41F8" w:rsidP="00EE41F8">
      <w:pPr>
        <w:keepNext/>
        <w:keepLines/>
        <w:tabs>
          <w:tab w:val="left" w:pos="2268"/>
        </w:tabs>
        <w:spacing w:after="120"/>
        <w:ind w:left="2268" w:right="1134" w:hanging="1134"/>
        <w:jc w:val="both"/>
        <w:rPr>
          <w:lang w:val="fr-FR"/>
        </w:rPr>
      </w:pPr>
      <w:r w:rsidRPr="004C2A3C">
        <w:rPr>
          <w:lang w:val="fr-FR"/>
        </w:rPr>
        <w:t>3.2.2.3.6 (nouveau)</w:t>
      </w:r>
      <w:r w:rsidRPr="004C2A3C">
        <w:rPr>
          <w:lang w:val="fr-FR"/>
        </w:rPr>
        <w:tab/>
        <w:t>Ajouter un nouveau titre, libellé comme suit :</w:t>
      </w:r>
    </w:p>
    <w:p w14:paraId="615031E2" w14:textId="77777777" w:rsidR="00EE41F8" w:rsidRPr="004C2A3C" w:rsidRDefault="00EE41F8" w:rsidP="00EE41F8">
      <w:pPr>
        <w:tabs>
          <w:tab w:val="left" w:pos="2268"/>
        </w:tabs>
        <w:spacing w:after="120"/>
        <w:ind w:left="2268" w:right="1134" w:hanging="1134"/>
        <w:jc w:val="both"/>
        <w:rPr>
          <w:lang w:val="fr-FR"/>
        </w:rPr>
      </w:pPr>
      <w:r w:rsidRPr="004C2A3C">
        <w:rPr>
          <w:lang w:val="fr-FR"/>
        </w:rPr>
        <w:tab/>
        <w:t>« 3.2.2.3.6</w:t>
      </w:r>
      <w:r w:rsidRPr="004C2A3C">
        <w:rPr>
          <w:lang w:val="fr-FR"/>
        </w:rPr>
        <w:tab/>
      </w:r>
      <w:r w:rsidRPr="004C2A3C">
        <w:rPr>
          <w:i/>
          <w:iCs/>
          <w:lang w:val="fr-FR"/>
        </w:rPr>
        <w:t>Absence de classement au titre des effets cutanés</w:t>
      </w:r>
      <w:r w:rsidRPr="004C2A3C">
        <w:rPr>
          <w:lang w:val="fr-FR"/>
        </w:rPr>
        <w:t> ».</w:t>
      </w:r>
    </w:p>
    <w:p w14:paraId="5C968816" w14:textId="77777777" w:rsidR="00EE41F8" w:rsidRPr="004C2A3C" w:rsidRDefault="00EE41F8" w:rsidP="00EE41F8">
      <w:pPr>
        <w:tabs>
          <w:tab w:val="left" w:pos="2268"/>
        </w:tabs>
        <w:spacing w:after="120"/>
        <w:ind w:left="2268" w:right="1134" w:hanging="1134"/>
        <w:jc w:val="both"/>
        <w:rPr>
          <w:lang w:val="fr-FR"/>
        </w:rPr>
      </w:pPr>
      <w:r w:rsidRPr="004C2A3C">
        <w:rPr>
          <w:lang w:val="fr-FR"/>
        </w:rPr>
        <w:t>3.2.2.3.6.1 (nouveau, ancien 3.2.2.3.4.3)</w:t>
      </w:r>
      <w:r w:rsidRPr="004C2A3C">
        <w:rPr>
          <w:lang w:val="fr-FR"/>
        </w:rPr>
        <w:tab/>
        <w:t>Modifier pour lire comme suit :</w:t>
      </w:r>
    </w:p>
    <w:p w14:paraId="15EF9DCB" w14:textId="77777777" w:rsidR="00EE41F8" w:rsidRPr="004C2A3C" w:rsidRDefault="00EE41F8" w:rsidP="00EE41F8">
      <w:pPr>
        <w:tabs>
          <w:tab w:val="left" w:pos="2268"/>
        </w:tabs>
        <w:spacing w:after="120"/>
        <w:ind w:left="2268" w:right="1134" w:hanging="1134"/>
        <w:jc w:val="both"/>
        <w:rPr>
          <w:lang w:val="fr-FR"/>
        </w:rPr>
      </w:pPr>
      <w:r w:rsidRPr="004C2A3C">
        <w:rPr>
          <w:lang w:val="fr-FR"/>
        </w:rPr>
        <w:tab/>
        <w:t>« 3.2.2.3.6.1</w:t>
      </w:r>
      <w:r w:rsidRPr="004C2A3C">
        <w:rPr>
          <w:lang w:val="fr-FR"/>
        </w:rPr>
        <w:tab/>
        <w:t>Lorsque les autorités compétentes n</w:t>
      </w:r>
      <w:r>
        <w:rPr>
          <w:lang w:val="fr-FR"/>
        </w:rPr>
        <w:t>’</w:t>
      </w:r>
      <w:r w:rsidRPr="004C2A3C">
        <w:rPr>
          <w:lang w:val="fr-FR"/>
        </w:rPr>
        <w:t>adoptent pas la catégorie 3, un résultat négatif obtenu à l</w:t>
      </w:r>
      <w:r>
        <w:rPr>
          <w:lang w:val="fr-FR"/>
        </w:rPr>
        <w:t>’</w:t>
      </w:r>
      <w:r w:rsidRPr="004C2A3C">
        <w:rPr>
          <w:lang w:val="fr-FR"/>
        </w:rPr>
        <w:t>aide d</w:t>
      </w:r>
      <w:r>
        <w:rPr>
          <w:lang w:val="fr-FR"/>
        </w:rPr>
        <w:t>’</w:t>
      </w:r>
      <w:r w:rsidRPr="004C2A3C">
        <w:rPr>
          <w:lang w:val="fr-FR"/>
        </w:rPr>
        <w:t>une méthode d</w:t>
      </w:r>
      <w:r>
        <w:rPr>
          <w:lang w:val="fr-FR"/>
        </w:rPr>
        <w:t>’</w:t>
      </w:r>
      <w:r w:rsidRPr="004C2A3C">
        <w:rPr>
          <w:lang w:val="fr-FR"/>
        </w:rPr>
        <w:t>essai in vitro/ex vivo pour l</w:t>
      </w:r>
      <w:r>
        <w:rPr>
          <w:lang w:val="fr-FR"/>
        </w:rPr>
        <w:t>’</w:t>
      </w:r>
      <w:r w:rsidRPr="004C2A3C">
        <w:rPr>
          <w:lang w:val="fr-FR"/>
        </w:rPr>
        <w:t>irritation cutanée qui est validée selon des procédures internationales, par exemple la ligne directrice 439 de l</w:t>
      </w:r>
      <w:r>
        <w:rPr>
          <w:lang w:val="fr-FR"/>
        </w:rPr>
        <w:t>’</w:t>
      </w:r>
      <w:r w:rsidRPr="004C2A3C">
        <w:rPr>
          <w:lang w:val="fr-FR"/>
        </w:rPr>
        <w:t>OCDE, peut être utilisé pour conclure à l</w:t>
      </w:r>
      <w:r>
        <w:rPr>
          <w:lang w:val="fr-FR"/>
        </w:rPr>
        <w:t>’</w:t>
      </w:r>
      <w:r w:rsidRPr="004C2A3C">
        <w:rPr>
          <w:lang w:val="fr-FR"/>
        </w:rPr>
        <w:t>absence de classement au titre de l</w:t>
      </w:r>
      <w:r>
        <w:rPr>
          <w:lang w:val="fr-FR"/>
        </w:rPr>
        <w:t>’</w:t>
      </w:r>
      <w:r w:rsidRPr="004C2A3C">
        <w:rPr>
          <w:lang w:val="fr-FR"/>
        </w:rPr>
        <w:t>irritation cutanée. Si les autorités compétentes adoptent la catégorie 3, des informations complémentaires sont nécessaires pour établir une distinction entre la catégorie 3 et l</w:t>
      </w:r>
      <w:r>
        <w:rPr>
          <w:lang w:val="fr-FR"/>
        </w:rPr>
        <w:t>’</w:t>
      </w:r>
      <w:r w:rsidRPr="004C2A3C">
        <w:rPr>
          <w:lang w:val="fr-FR"/>
        </w:rPr>
        <w:t>absence de classement. ».</w:t>
      </w:r>
    </w:p>
    <w:p w14:paraId="24853A82" w14:textId="77777777" w:rsidR="00EE41F8" w:rsidRPr="004C2A3C" w:rsidRDefault="00EE41F8" w:rsidP="00EE41F8">
      <w:pPr>
        <w:spacing w:after="120"/>
        <w:ind w:left="2268" w:right="1134" w:hanging="1134"/>
        <w:jc w:val="both"/>
      </w:pPr>
      <w:r w:rsidRPr="004C2A3C">
        <w:t>3.2.2.4</w:t>
      </w:r>
      <w:r w:rsidRPr="004C2A3C">
        <w:tab/>
      </w:r>
      <w:r w:rsidRPr="004C2A3C">
        <w:tab/>
        <w:t xml:space="preserve">Modifier le titre pour lire comme suit : </w:t>
      </w:r>
    </w:p>
    <w:p w14:paraId="262244D3" w14:textId="77777777" w:rsidR="00EE41F8" w:rsidRPr="004C2A3C" w:rsidRDefault="00EE41F8" w:rsidP="00EE41F8">
      <w:pPr>
        <w:spacing w:after="120"/>
        <w:ind w:left="2268" w:right="1134"/>
        <w:jc w:val="both"/>
        <w:rPr>
          <w:b/>
          <w:bCs/>
          <w:i/>
          <w:iCs/>
        </w:rPr>
      </w:pPr>
      <w:r w:rsidRPr="004C2A3C">
        <w:t>« </w:t>
      </w:r>
      <w:r w:rsidRPr="004C2A3C">
        <w:rPr>
          <w:b/>
          <w:bCs/>
        </w:rPr>
        <w:t>3.2.2.4</w:t>
      </w:r>
      <w:r w:rsidRPr="004C2A3C">
        <w:tab/>
      </w:r>
      <w:r w:rsidRPr="004C2A3C">
        <w:rPr>
          <w:b/>
          <w:bCs/>
          <w:i/>
          <w:iCs/>
        </w:rPr>
        <w:t>Classification fondée sur d</w:t>
      </w:r>
      <w:r>
        <w:rPr>
          <w:b/>
          <w:bCs/>
          <w:i/>
          <w:iCs/>
        </w:rPr>
        <w:t>’</w:t>
      </w:r>
      <w:r w:rsidRPr="004C2A3C">
        <w:rPr>
          <w:b/>
          <w:bCs/>
          <w:i/>
          <w:iCs/>
        </w:rPr>
        <w:t>autres données existantes sur des effets cutanés sur animaux (étape 3 dans la figure 3.2.1)</w:t>
      </w:r>
      <w:r w:rsidRPr="004C2A3C">
        <w:rPr>
          <w:b/>
          <w:bCs/>
        </w:rPr>
        <w:t> </w:t>
      </w:r>
      <w:r w:rsidRPr="004C2A3C">
        <w:t>».</w:t>
      </w:r>
    </w:p>
    <w:p w14:paraId="0BB723F4" w14:textId="77777777" w:rsidR="00EE41F8" w:rsidRPr="004C2A3C" w:rsidRDefault="00EE41F8" w:rsidP="00EE41F8">
      <w:pPr>
        <w:spacing w:after="120"/>
        <w:ind w:left="2268" w:right="1134" w:hanging="1134"/>
        <w:jc w:val="both"/>
        <w:rPr>
          <w:i/>
          <w:iCs/>
        </w:rPr>
      </w:pPr>
      <w:r w:rsidRPr="004C2A3C">
        <w:t>3.2.2.5</w:t>
      </w:r>
      <w:r w:rsidRPr="004C2A3C">
        <w:tab/>
      </w:r>
      <w:r w:rsidRPr="004C2A3C">
        <w:tab/>
        <w:t>Modifier pour lire comme suit :</w:t>
      </w:r>
    </w:p>
    <w:p w14:paraId="0BEAFE31" w14:textId="77777777" w:rsidR="00EE41F8" w:rsidRPr="004C2A3C" w:rsidRDefault="00EE41F8" w:rsidP="00EE41F8">
      <w:pPr>
        <w:spacing w:after="120"/>
        <w:ind w:left="2268" w:right="1134"/>
        <w:jc w:val="both"/>
        <w:rPr>
          <w:b/>
          <w:bCs/>
          <w:i/>
          <w:iCs/>
        </w:rPr>
      </w:pPr>
      <w:r w:rsidRPr="004C2A3C">
        <w:t>« </w:t>
      </w:r>
      <w:r w:rsidRPr="004C2A3C">
        <w:rPr>
          <w:b/>
          <w:bCs/>
        </w:rPr>
        <w:t>3.2.2.5</w:t>
      </w:r>
      <w:r w:rsidRPr="004C2A3C">
        <w:tab/>
      </w:r>
      <w:r w:rsidRPr="004C2A3C">
        <w:rPr>
          <w:b/>
          <w:bCs/>
          <w:i/>
          <w:iCs/>
        </w:rPr>
        <w:t>Classification fondée sur un pH extrême (≤2 ou ≥11,5) et une réserve acide ou alcaline (étape 4 dans la figure 3.2.1)</w:t>
      </w:r>
    </w:p>
    <w:p w14:paraId="51265A44" w14:textId="370823C6" w:rsidR="00EE41F8" w:rsidRPr="004C2A3C" w:rsidRDefault="002A6322" w:rsidP="002A6322">
      <w:pPr>
        <w:tabs>
          <w:tab w:val="left" w:pos="3402"/>
        </w:tabs>
        <w:spacing w:after="120"/>
        <w:ind w:left="2268" w:right="1134"/>
        <w:jc w:val="both"/>
      </w:pPr>
      <w:r>
        <w:tab/>
      </w:r>
      <w:r w:rsidR="00EE41F8" w:rsidRPr="004C2A3C">
        <w:t>En général, on peut s</w:t>
      </w:r>
      <w:r w:rsidR="00EE41F8">
        <w:t>’</w:t>
      </w:r>
      <w:r w:rsidR="00EE41F8" w:rsidRPr="004C2A3C">
        <w:t>attendre à ce que les substances ayant un pH extrême (≤ 2 ou ≥ 11,5) provoquent des effets cutanés importants, surtout lorsque ce pH est associé à une réserve acide/alcaline. Une substance dont le pH est ≤ 2 ou ≥ 11,5 est donc considérée comme corrosive pour la peau (catégorie 1) à cette étape si elle présente une réserve acide/alcaline significative ou s</w:t>
      </w:r>
      <w:r w:rsidR="00EE41F8">
        <w:t>’</w:t>
      </w:r>
      <w:r w:rsidR="00EE41F8" w:rsidRPr="004C2A3C">
        <w:t>il n</w:t>
      </w:r>
      <w:r w:rsidR="00EE41F8">
        <w:t>’</w:t>
      </w:r>
      <w:r w:rsidR="00EE41F8" w:rsidRPr="004C2A3C">
        <w:t>existe pas de données concernant la réserve acide/alcaline. Toutefois, si l</w:t>
      </w:r>
      <w:r w:rsidR="00EE41F8">
        <w:t>’</w:t>
      </w:r>
      <w:r w:rsidR="00EE41F8" w:rsidRPr="004C2A3C">
        <w:t>examen de la réserve acide/alcaline laisse penser que la substance pourrait ne pas être corrosive en dépit d</w:t>
      </w:r>
      <w:r w:rsidR="00EE41F8">
        <w:t>’</w:t>
      </w:r>
      <w:r w:rsidR="00EE41F8" w:rsidRPr="004C2A3C">
        <w:t>un pH extrême, le résultat est jugé non concluant à cette étape (voir la figure 3.2.1). Une valeur de pH &gt; 2 ou &lt; 11,5 est considérée comme non concluante et ne peut être utilisée aux fins de classement. La réserve acide/alcaline et le pH peuvent être déterminés à l</w:t>
      </w:r>
      <w:r w:rsidR="00EE41F8">
        <w:t>’</w:t>
      </w:r>
      <w:r w:rsidR="00EE41F8" w:rsidRPr="004C2A3C">
        <w:t>aide de différentes méthodes, notamment celles décrites dans la ligne directrice 122 de l</w:t>
      </w:r>
      <w:r w:rsidR="00EE41F8">
        <w:t>’</w:t>
      </w:r>
      <w:r w:rsidR="00EE41F8" w:rsidRPr="004C2A3C">
        <w:t xml:space="preserve">OCDE et dans Young </w:t>
      </w:r>
      <w:r w:rsidR="00EE41F8" w:rsidRPr="004C2A3C">
        <w:rPr>
          <w:i/>
          <w:iCs/>
        </w:rPr>
        <w:t>et al.</w:t>
      </w:r>
      <w:r w:rsidR="00EE41F8" w:rsidRPr="004C2A3C">
        <w:t xml:space="preserve"> (1988), en tenant compte des différences qui existent entre ces méthodes (voir 3.2.5.3.6). Une autorité compétente peut décider quels critères appliquer pour déterminer si une réserve acide/alcaline est significative. ».</w:t>
      </w:r>
    </w:p>
    <w:p w14:paraId="4761D2F2" w14:textId="77777777" w:rsidR="00EE41F8" w:rsidRPr="004C2A3C" w:rsidRDefault="00EE41F8" w:rsidP="00EE41F8">
      <w:pPr>
        <w:spacing w:after="120"/>
        <w:ind w:left="2268" w:right="1134" w:hanging="1134"/>
        <w:jc w:val="both"/>
        <w:rPr>
          <w:b/>
          <w:bCs/>
          <w:i/>
          <w:iCs/>
        </w:rPr>
      </w:pPr>
      <w:r w:rsidRPr="004C2A3C">
        <w:t>3.2.2.6</w:t>
      </w:r>
      <w:r w:rsidRPr="004C2A3C">
        <w:tab/>
        <w:t xml:space="preserve"> Ajouter « </w:t>
      </w:r>
      <w:r w:rsidRPr="004C2A3C">
        <w:rPr>
          <w:b/>
          <w:bCs/>
          <w:i/>
          <w:iCs/>
        </w:rPr>
        <w:t>(étape 5 dans la figure 3.2.1)</w:t>
      </w:r>
      <w:r w:rsidRPr="004C2A3C">
        <w:t> » à la fin du titre.</w:t>
      </w:r>
    </w:p>
    <w:p w14:paraId="0EE66B81" w14:textId="77777777" w:rsidR="00EE41F8" w:rsidRPr="004C2A3C" w:rsidRDefault="00EE41F8" w:rsidP="00EE41F8">
      <w:pPr>
        <w:spacing w:after="120"/>
        <w:ind w:left="2268" w:right="1134" w:hanging="1134"/>
        <w:jc w:val="both"/>
      </w:pPr>
      <w:r w:rsidRPr="004C2A3C">
        <w:t>3.2.2.6.1</w:t>
      </w:r>
      <w:r w:rsidRPr="004C2A3C">
        <w:tab/>
        <w:t xml:space="preserve">Modification sans objet en français. </w:t>
      </w:r>
    </w:p>
    <w:p w14:paraId="38B6E252" w14:textId="77777777" w:rsidR="00EE41F8" w:rsidRPr="004C2A3C" w:rsidRDefault="00EE41F8" w:rsidP="00EE41F8">
      <w:pPr>
        <w:spacing w:after="120"/>
        <w:ind w:left="2268" w:right="1134" w:hanging="1134"/>
        <w:jc w:val="both"/>
      </w:pPr>
      <w:r w:rsidRPr="004C2A3C">
        <w:t>3.2.2.7 (nouveau)</w:t>
      </w:r>
      <w:r w:rsidRPr="004C2A3C">
        <w:tab/>
        <w:t>Ajouter une nouvelle section 3.2.2.7, libellée comme suit :</w:t>
      </w:r>
    </w:p>
    <w:p w14:paraId="5B152EF1" w14:textId="77777777" w:rsidR="00EE41F8" w:rsidRPr="004C2A3C" w:rsidRDefault="00EE41F8" w:rsidP="00EE41F8">
      <w:pPr>
        <w:spacing w:after="120"/>
        <w:ind w:left="2268" w:right="1134"/>
        <w:jc w:val="both"/>
        <w:rPr>
          <w:i/>
          <w:iCs/>
        </w:rPr>
      </w:pPr>
      <w:r w:rsidRPr="004C2A3C">
        <w:t>« </w:t>
      </w:r>
      <w:r w:rsidRPr="004C2A3C">
        <w:rPr>
          <w:b/>
          <w:bCs/>
        </w:rPr>
        <w:t>3.2.2.7</w:t>
      </w:r>
      <w:r w:rsidRPr="004C2A3C">
        <w:tab/>
      </w:r>
      <w:r w:rsidRPr="004C2A3C">
        <w:rPr>
          <w:b/>
          <w:bCs/>
          <w:i/>
          <w:iCs/>
        </w:rPr>
        <w:t>Classification fondée sur une évaluation globale de la force probante des données (étape 6 dans la figure 3.2.1)</w:t>
      </w:r>
    </w:p>
    <w:p w14:paraId="56B6B482" w14:textId="77777777" w:rsidR="00EE41F8" w:rsidRPr="004C2A3C" w:rsidRDefault="00EE41F8" w:rsidP="00EE41F8">
      <w:pPr>
        <w:spacing w:after="120"/>
        <w:ind w:left="2268" w:right="1134"/>
        <w:jc w:val="both"/>
      </w:pPr>
      <w:r w:rsidRPr="004C2A3C">
        <w:t>3.2.2.7.1</w:t>
      </w:r>
      <w:r w:rsidRPr="004C2A3C">
        <w:tab/>
        <w:t>Une évaluation globale de la force probante des données est indiquée lorsqu</w:t>
      </w:r>
      <w:r>
        <w:t>’</w:t>
      </w:r>
      <w:r w:rsidRPr="004C2A3C">
        <w:t>aucune des étapes précédentes n</w:t>
      </w:r>
      <w:r>
        <w:t>’</w:t>
      </w:r>
      <w:r w:rsidRPr="004C2A3C">
        <w:t>a abouti à une conclusion définitive concernant la classification. Dans certains cas, lorsque la décision relative à la classification a été reportée jusqu</w:t>
      </w:r>
      <w:r>
        <w:t>’</w:t>
      </w:r>
      <w:r w:rsidRPr="004C2A3C">
        <w:t>à l</w:t>
      </w:r>
      <w:r>
        <w:t>’</w:t>
      </w:r>
      <w:r w:rsidRPr="004C2A3C">
        <w:t>étape de l</w:t>
      </w:r>
      <w:r>
        <w:t>’</w:t>
      </w:r>
      <w:r w:rsidRPr="004C2A3C">
        <w:t>évaluation globale de la force probante des données, mais qu</w:t>
      </w:r>
      <w:r>
        <w:t>’</w:t>
      </w:r>
      <w:r w:rsidRPr="004C2A3C">
        <w:t>aucune autre donnée n</w:t>
      </w:r>
      <w:r>
        <w:t>’</w:t>
      </w:r>
      <w:r w:rsidRPr="004C2A3C">
        <w:t>est disponible, il peut tout de même être possible de classer la substance.</w:t>
      </w:r>
    </w:p>
    <w:p w14:paraId="3A37BAB7" w14:textId="77777777" w:rsidR="00EE41F8" w:rsidRPr="004C2A3C" w:rsidRDefault="00EE41F8" w:rsidP="00EE41F8">
      <w:pPr>
        <w:spacing w:after="120"/>
        <w:ind w:left="2268" w:right="1134"/>
        <w:jc w:val="both"/>
      </w:pPr>
      <w:r w:rsidRPr="004C2A3C">
        <w:t>3.2.2.7.2</w:t>
      </w:r>
      <w:r w:rsidRPr="004C2A3C">
        <w:tab/>
        <w:t>Une substance ayant un pH extrême (≤ 2 ou ≥ 11,5) et une réserve acide/alcaline négligeable (résultat jugé non concluant à l</w:t>
      </w:r>
      <w:r>
        <w:t>’</w:t>
      </w:r>
      <w:r w:rsidRPr="004C2A3C">
        <w:t>étape 4 ; voir 3.2.2.5) et pour laquelle il n</w:t>
      </w:r>
      <w:r>
        <w:t>’</w:t>
      </w:r>
      <w:r w:rsidRPr="004C2A3C">
        <w:t>existe pas d</w:t>
      </w:r>
      <w:r>
        <w:t>’</w:t>
      </w:r>
      <w:r w:rsidRPr="004C2A3C">
        <w:t>autre information devrait être classée dans la catégorie 1 (corrosion cutanée) à cette étape. Si des données non concluantes sont également disponibles à d</w:t>
      </w:r>
      <w:r>
        <w:t>’</w:t>
      </w:r>
      <w:r w:rsidRPr="004C2A3C">
        <w:t>autres étapes, mais que l</w:t>
      </w:r>
      <w:r>
        <w:t>’</w:t>
      </w:r>
      <w:r w:rsidRPr="004C2A3C">
        <w:t>évaluation globale de la force probante des données demeure non concluante, le résultat relatif au pH extrême (≤ 2 ou ≥ 11,5) doit l</w:t>
      </w:r>
      <w:r>
        <w:t>’</w:t>
      </w:r>
      <w:r w:rsidRPr="004C2A3C">
        <w:t>emporter et la substance être classée dans la catégorie de corrosion cutanée 1 à cette étape, indépendamment de la réserve acide/alcaline. Dans le cas des mélanges, une approche différente, détaillée au 3.2.3.1.3, est appliquée. ».</w:t>
      </w:r>
    </w:p>
    <w:p w14:paraId="0702D002" w14:textId="77777777" w:rsidR="00EE41F8" w:rsidRPr="004C2A3C" w:rsidRDefault="00EE41F8" w:rsidP="00EE41F8">
      <w:pPr>
        <w:spacing w:after="120"/>
        <w:ind w:left="1134" w:right="1134"/>
        <w:jc w:val="both"/>
      </w:pPr>
      <w:r w:rsidRPr="004C2A3C">
        <w:t>L</w:t>
      </w:r>
      <w:r>
        <w:t>’</w:t>
      </w:r>
      <w:r w:rsidRPr="004C2A3C">
        <w:t xml:space="preserve">actuel paragraphe 3.2.2.7 devient le 3.2.2.8 et les paragraphes 3.2.2.7.1, 3.2.2.7.2 </w:t>
      </w:r>
      <w:proofErr w:type="gramStart"/>
      <w:r w:rsidRPr="004C2A3C">
        <w:t>et  3.2.2.7.3</w:t>
      </w:r>
      <w:proofErr w:type="gramEnd"/>
      <w:r w:rsidRPr="004C2A3C">
        <w:t xml:space="preserve"> deviennent les 3.2.2.8.1, 3.2.2.8.2 et 3.2.2.8.3.</w:t>
      </w:r>
    </w:p>
    <w:p w14:paraId="11F281D2" w14:textId="77777777" w:rsidR="00EE41F8" w:rsidRPr="004C2A3C" w:rsidRDefault="00EE41F8" w:rsidP="00EE41F8">
      <w:pPr>
        <w:tabs>
          <w:tab w:val="left" w:pos="4253"/>
        </w:tabs>
        <w:spacing w:after="120"/>
        <w:ind w:left="1134" w:right="1134"/>
        <w:jc w:val="both"/>
      </w:pPr>
      <w:r w:rsidRPr="004C2A3C">
        <w:t>3.2.2.8 (nouveau, ancien 3.2.2.7)</w:t>
      </w:r>
      <w:r w:rsidRPr="004C2A3C">
        <w:tab/>
        <w:t>Ajouter « </w:t>
      </w:r>
      <w:r w:rsidRPr="004C2A3C">
        <w:rPr>
          <w:b/>
          <w:bCs/>
          <w:i/>
          <w:iCs/>
        </w:rPr>
        <w:t>(figure 3.2.1)</w:t>
      </w:r>
      <w:r w:rsidRPr="004C2A3C">
        <w:t xml:space="preserve"> » à la fin du titre. </w:t>
      </w:r>
    </w:p>
    <w:p w14:paraId="1F6B0565" w14:textId="77777777" w:rsidR="00EE41F8" w:rsidRPr="004C2A3C" w:rsidRDefault="00EE41F8" w:rsidP="00EE41F8">
      <w:pPr>
        <w:tabs>
          <w:tab w:val="left" w:pos="4253"/>
        </w:tabs>
        <w:spacing w:after="120"/>
        <w:ind w:left="1134" w:right="1134"/>
        <w:jc w:val="both"/>
      </w:pPr>
      <w:r w:rsidRPr="004C2A3C">
        <w:t>3.2.2.8.2 (nouveau, ancien 3.2.2.7.2)</w:t>
      </w:r>
      <w:r w:rsidRPr="004C2A3C">
        <w:tab/>
        <w:t>Modifier la première phrase pour lire comme suit :</w:t>
      </w:r>
    </w:p>
    <w:p w14:paraId="67BABEB1" w14:textId="77777777" w:rsidR="00EE41F8" w:rsidRPr="004C2A3C" w:rsidRDefault="00EE41F8" w:rsidP="00EE41F8">
      <w:pPr>
        <w:spacing w:after="120"/>
        <w:ind w:left="2268" w:right="1134"/>
        <w:jc w:val="both"/>
      </w:pPr>
      <w:r w:rsidRPr="004C2A3C">
        <w:t>« Dans la méthode par étapes (figure 3.2.1), les données existantes obtenues sur l</w:t>
      </w:r>
      <w:r>
        <w:t>’</w:t>
      </w:r>
      <w:r w:rsidRPr="004C2A3C">
        <w:t>homme et les données normalisées obtenues sur les animaux constituent l</w:t>
      </w:r>
      <w:r>
        <w:t>’</w:t>
      </w:r>
      <w:r w:rsidRPr="004C2A3C">
        <w:t xml:space="preserve">étape supérieure, suivies par les données </w:t>
      </w:r>
      <w:r w:rsidRPr="004C2A3C">
        <w:rPr>
          <w:i/>
          <w:iCs/>
        </w:rPr>
        <w:t>in vitro/ex vivo</w:t>
      </w:r>
      <w:r w:rsidRPr="004C2A3C">
        <w:t>, par les autres données existantes sur des effets cutanés sur les animaux, par le pH extrême et la réserve acide/alcaline et, enfin, par les méthodes non fondées sur des essais. ».</w:t>
      </w:r>
    </w:p>
    <w:p w14:paraId="023285B0" w14:textId="77777777" w:rsidR="00EE41F8" w:rsidRPr="004C2A3C" w:rsidRDefault="00EE41F8" w:rsidP="00EE41F8">
      <w:pPr>
        <w:spacing w:after="120"/>
        <w:ind w:left="2268" w:right="1134"/>
        <w:jc w:val="both"/>
      </w:pPr>
      <w:r w:rsidRPr="004C2A3C">
        <w:t xml:space="preserve">Dans la deuxième phrase, remplacer « méthode fondée sur la force probante des données » par « évaluation de la force probante des données ». </w:t>
      </w:r>
    </w:p>
    <w:p w14:paraId="673F6E4D" w14:textId="77777777" w:rsidR="00EE41F8" w:rsidRPr="004C2A3C" w:rsidRDefault="00EE41F8" w:rsidP="00EE41F8">
      <w:pPr>
        <w:spacing w:after="120"/>
        <w:ind w:left="2268" w:right="1134" w:hanging="1134"/>
        <w:jc w:val="both"/>
      </w:pPr>
      <w:r w:rsidRPr="004C2A3C">
        <w:t xml:space="preserve">3.2.2.8.3 (nouveau, ancien 3.2.2.7.3, remplacer « méthode globale fondée sur la force probante des données » par « évaluation globale de la force probante des données » (deux occurrences). </w:t>
      </w:r>
    </w:p>
    <w:p w14:paraId="0777771D" w14:textId="77777777" w:rsidR="00EE41F8" w:rsidRPr="004C2A3C" w:rsidRDefault="00EE41F8" w:rsidP="00EE41F8">
      <w:pPr>
        <w:spacing w:after="120"/>
        <w:ind w:left="2268" w:right="1134"/>
        <w:jc w:val="both"/>
      </w:pPr>
      <w:r w:rsidRPr="004C2A3C">
        <w:t xml:space="preserve">Dans la dernière phrase, remplacer « irritation » par « irritation cutanée », remplacer « les épreuves » par « des épreuves » et ajouter « également » après « donneraient ». </w:t>
      </w:r>
    </w:p>
    <w:p w14:paraId="0D2156AD" w14:textId="20501C36" w:rsidR="00EE41F8" w:rsidRPr="004C2A3C" w:rsidRDefault="00EE41F8" w:rsidP="00EE41F8">
      <w:pPr>
        <w:keepNext/>
        <w:spacing w:after="120"/>
        <w:ind w:left="1134" w:right="1134"/>
        <w:jc w:val="both"/>
      </w:pPr>
      <w:r w:rsidRPr="004C2A3C">
        <w:t>Figure 3.2.1, modifier comme suit :</w:t>
      </w:r>
    </w:p>
    <w:p w14:paraId="5306D4BB" w14:textId="653BE0D0" w:rsidR="00EE41F8" w:rsidRPr="004C2A3C" w:rsidRDefault="00EE41F8" w:rsidP="00AB42D2">
      <w:pPr>
        <w:keepLines/>
        <w:tabs>
          <w:tab w:val="left" w:pos="2410"/>
        </w:tabs>
        <w:spacing w:after="120"/>
        <w:ind w:left="2410" w:right="1134" w:hanging="283"/>
        <w:jc w:val="both"/>
      </w:pPr>
      <w:r w:rsidRPr="004C2A3C">
        <w:t>•</w:t>
      </w:r>
      <w:r w:rsidRPr="004C2A3C">
        <w:tab/>
        <w:t>Texte entre les cases « Étape 3 » et « Étape 4 » : remplacer « </w:t>
      </w:r>
      <w:r w:rsidRPr="004C2A3C">
        <w:rPr>
          <w:i/>
          <w:iCs/>
        </w:rPr>
        <w:t xml:space="preserve">Pas de données, données aboutissant à une absence de classification ou données non </w:t>
      </w:r>
      <w:proofErr w:type="spellStart"/>
      <w:r w:rsidRPr="004C2A3C">
        <w:rPr>
          <w:i/>
          <w:iCs/>
        </w:rPr>
        <w:t>concluantes</w:t>
      </w:r>
      <w:r w:rsidRPr="004C2A3C">
        <w:rPr>
          <w:vertAlign w:val="superscript"/>
        </w:rPr>
        <w:t>b</w:t>
      </w:r>
      <w:proofErr w:type="spellEnd"/>
      <w:r w:rsidRPr="004C2A3C">
        <w:rPr>
          <w:i/>
          <w:iCs/>
        </w:rPr>
        <w:t> </w:t>
      </w:r>
      <w:r w:rsidRPr="004C2A3C">
        <w:t>» par « </w:t>
      </w:r>
      <w:r w:rsidRPr="004C2A3C">
        <w:rPr>
          <w:i/>
          <w:iCs/>
        </w:rPr>
        <w:t xml:space="preserve">Pas de données, absence de classification au titre de la corrosion/irritation cutanée ou données non </w:t>
      </w:r>
      <w:proofErr w:type="spellStart"/>
      <w:r w:rsidRPr="004C2A3C">
        <w:rPr>
          <w:i/>
          <w:iCs/>
        </w:rPr>
        <w:t>concluantes</w:t>
      </w:r>
      <w:r w:rsidRPr="004C2A3C">
        <w:rPr>
          <w:vertAlign w:val="superscript"/>
        </w:rPr>
        <w:t>b</w:t>
      </w:r>
      <w:proofErr w:type="spellEnd"/>
      <w:r w:rsidRPr="004C2A3C">
        <w:t> ».</w:t>
      </w:r>
    </w:p>
    <w:p w14:paraId="481BF861" w14:textId="31633E48" w:rsidR="00EE41F8" w:rsidRPr="004C2A3C" w:rsidRDefault="00EE41F8" w:rsidP="00AB42D2">
      <w:pPr>
        <w:tabs>
          <w:tab w:val="left" w:pos="2410"/>
        </w:tabs>
        <w:spacing w:after="120"/>
        <w:ind w:left="2410" w:right="1134" w:hanging="283"/>
        <w:jc w:val="both"/>
      </w:pPr>
      <w:r w:rsidRPr="004C2A3C">
        <w:t>•</w:t>
      </w:r>
      <w:r w:rsidRPr="004C2A3C">
        <w:tab/>
        <w:t>Texte entre les cases « Étape 4 » et « Étape 5 » : remplacer « </w:t>
      </w:r>
      <w:r w:rsidRPr="004C2A3C">
        <w:rPr>
          <w:i/>
          <w:iCs/>
        </w:rPr>
        <w:t>données démontrant une réserve acide</w:t>
      </w:r>
      <w:r w:rsidR="006A1444">
        <w:rPr>
          <w:i/>
          <w:iCs/>
        </w:rPr>
        <w:t xml:space="preserve"> ou </w:t>
      </w:r>
      <w:r w:rsidRPr="004C2A3C">
        <w:rPr>
          <w:i/>
          <w:iCs/>
        </w:rPr>
        <w:t>alcaline faible ou nulle</w:t>
      </w:r>
      <w:r w:rsidRPr="004C2A3C">
        <w:t> » par « </w:t>
      </w:r>
      <w:r w:rsidRPr="004C2A3C">
        <w:rPr>
          <w:i/>
          <w:iCs/>
        </w:rPr>
        <w:t>données démontrant une réserve acide/alcaline négligeable</w:t>
      </w:r>
      <w:r w:rsidRPr="004C2A3C">
        <w:t> ».</w:t>
      </w:r>
    </w:p>
    <w:p w14:paraId="74147109" w14:textId="77777777" w:rsidR="00EE41F8" w:rsidRPr="004C2A3C" w:rsidRDefault="00EE41F8" w:rsidP="00AB42D2">
      <w:pPr>
        <w:tabs>
          <w:tab w:val="left" w:pos="2410"/>
        </w:tabs>
        <w:spacing w:after="120"/>
        <w:ind w:left="2410" w:right="1134" w:hanging="283"/>
        <w:jc w:val="both"/>
      </w:pPr>
      <w:r w:rsidRPr="004C2A3C">
        <w:t>•</w:t>
      </w:r>
      <w:r w:rsidRPr="004C2A3C">
        <w:tab/>
        <w:t>Case « Étape 6 » : remplacer « (voir 3.2.2.7.3) » par « (voir 3.2.2.7) ».</w:t>
      </w:r>
    </w:p>
    <w:p w14:paraId="4F415144" w14:textId="77777777" w:rsidR="00EE41F8" w:rsidRPr="004C2A3C" w:rsidRDefault="00EE41F8" w:rsidP="00AB42D2">
      <w:pPr>
        <w:tabs>
          <w:tab w:val="left" w:pos="2410"/>
        </w:tabs>
        <w:spacing w:after="120"/>
        <w:ind w:left="2410" w:right="1134" w:hanging="283"/>
        <w:jc w:val="both"/>
      </w:pPr>
      <w:r w:rsidRPr="004C2A3C">
        <w:t>•</w:t>
      </w:r>
      <w:r w:rsidRPr="004C2A3C">
        <w:tab/>
        <w:t xml:space="preserve">Case de sortie « Classification impossible » : remplacer le texte par « Classification impossible pour les </w:t>
      </w:r>
      <w:proofErr w:type="spellStart"/>
      <w:r w:rsidRPr="004C2A3C">
        <w:t>substances</w:t>
      </w:r>
      <w:r w:rsidRPr="004C2A3C">
        <w:rPr>
          <w:vertAlign w:val="superscript"/>
        </w:rPr>
        <w:t>c</w:t>
      </w:r>
      <w:proofErr w:type="spellEnd"/>
      <w:r w:rsidRPr="004C2A3C">
        <w:t> ».</w:t>
      </w:r>
    </w:p>
    <w:p w14:paraId="17D7863B" w14:textId="77777777" w:rsidR="00EE41F8" w:rsidRPr="004C2A3C" w:rsidRDefault="00EE41F8" w:rsidP="00AB42D2">
      <w:pPr>
        <w:tabs>
          <w:tab w:val="left" w:pos="2410"/>
        </w:tabs>
        <w:spacing w:after="120"/>
        <w:ind w:left="2410" w:right="1134" w:hanging="283"/>
        <w:jc w:val="both"/>
      </w:pPr>
      <w:r w:rsidRPr="004C2A3C">
        <w:t>•</w:t>
      </w:r>
      <w:r w:rsidRPr="004C2A3C">
        <w:tab/>
        <w:t>Case de droite commençant par « Évaluation de la cohérence avec les étapes de rang inférieur » : remplacer « 3.2.2.7.3 » par « 3.2.2.8.3 ».</w:t>
      </w:r>
    </w:p>
    <w:p w14:paraId="424547D2" w14:textId="77777777" w:rsidR="00EE41F8" w:rsidRPr="004C2A3C" w:rsidRDefault="00EE41F8" w:rsidP="00AB42D2">
      <w:pPr>
        <w:tabs>
          <w:tab w:val="left" w:pos="2410"/>
        </w:tabs>
        <w:spacing w:after="120"/>
        <w:ind w:left="2410" w:right="1134" w:hanging="283"/>
        <w:jc w:val="both"/>
      </w:pPr>
      <w:r w:rsidRPr="004C2A3C">
        <w:t>•</w:t>
      </w:r>
      <w:r w:rsidRPr="004C2A3C">
        <w:tab/>
        <w:t>Note « a » : remplacer « 3.2.2.7 » par « 3.2.2.8 ».</w:t>
      </w:r>
    </w:p>
    <w:p w14:paraId="76E11A94" w14:textId="77777777" w:rsidR="00EE41F8" w:rsidRPr="004C2A3C" w:rsidRDefault="00EE41F8" w:rsidP="00AB42D2">
      <w:pPr>
        <w:tabs>
          <w:tab w:val="left" w:pos="2410"/>
        </w:tabs>
        <w:spacing w:after="120"/>
        <w:ind w:left="2410" w:right="1134" w:hanging="283"/>
        <w:jc w:val="both"/>
      </w:pPr>
      <w:r w:rsidRPr="004C2A3C">
        <w:t>•</w:t>
      </w:r>
      <w:r w:rsidRPr="004C2A3C">
        <w:tab/>
        <w:t>Ajouter une nouvelle note « c » libellée comme suit : « </w:t>
      </w:r>
      <w:proofErr w:type="gramStart"/>
      <w:r w:rsidRPr="004C2A3C">
        <w:rPr>
          <w:b/>
          <w:bCs/>
          <w:vertAlign w:val="superscript"/>
        </w:rPr>
        <w:t>c</w:t>
      </w:r>
      <w:r w:rsidRPr="004C2A3C">
        <w:t xml:space="preserve">  </w:t>
      </w:r>
      <w:r w:rsidRPr="004C2A3C">
        <w:rPr>
          <w:i/>
          <w:iCs/>
        </w:rPr>
        <w:t>Dans</w:t>
      </w:r>
      <w:proofErr w:type="gramEnd"/>
      <w:r w:rsidRPr="004C2A3C">
        <w:rPr>
          <w:i/>
          <w:iCs/>
        </w:rPr>
        <w:t xml:space="preserve"> le cas des mélanges, il convient de suivre le diagramme de décision de la figure 3.2.2.</w:t>
      </w:r>
      <w:r w:rsidRPr="004C2A3C">
        <w:t> ».</w:t>
      </w:r>
    </w:p>
    <w:p w14:paraId="34C5910F" w14:textId="77777777" w:rsidR="00EE41F8" w:rsidRPr="004C2A3C" w:rsidRDefault="00EE41F8" w:rsidP="00EE41F8">
      <w:pPr>
        <w:spacing w:after="120"/>
        <w:ind w:left="2268" w:right="1134" w:hanging="1134"/>
        <w:jc w:val="both"/>
      </w:pPr>
      <w:r w:rsidRPr="004C2A3C">
        <w:t>3.2.3</w:t>
      </w:r>
      <w:r w:rsidRPr="004C2A3C">
        <w:tab/>
        <w:t>Ajouter le nouveau texte et la nouvelle figure ci-après sous le titre actuel :</w:t>
      </w:r>
    </w:p>
    <w:p w14:paraId="1A5AB881" w14:textId="77777777" w:rsidR="00EE41F8" w:rsidRPr="004C2A3C" w:rsidRDefault="00EE41F8" w:rsidP="00EE41F8">
      <w:pPr>
        <w:spacing w:after="120"/>
        <w:ind w:left="2268" w:right="1134"/>
        <w:jc w:val="both"/>
      </w:pPr>
      <w:r w:rsidRPr="004C2A3C">
        <w:t>« Dans la classification de corrosion ou d</w:t>
      </w:r>
      <w:r>
        <w:t>’</w:t>
      </w:r>
      <w:r w:rsidRPr="004C2A3C">
        <w:t xml:space="preserve">irritation cutanée, on procède par étapes en fonction des informations disponibles pour le mélange en tant que tel et pour ses composants. Le processus est représenté de façon schématique dans la figure 3.2.2. </w:t>
      </w:r>
    </w:p>
    <w:p w14:paraId="2564EE5A" w14:textId="77777777" w:rsidR="00EE41F8" w:rsidRPr="004C2A3C" w:rsidRDefault="00EE41F8" w:rsidP="00EE41F8">
      <w:pPr>
        <w:keepNext/>
        <w:keepLines/>
        <w:spacing w:after="120" w:line="240" w:lineRule="auto"/>
        <w:ind w:left="1134"/>
        <w:jc w:val="center"/>
        <w:outlineLvl w:val="0"/>
        <w:rPr>
          <w:b/>
          <w:bCs/>
        </w:rPr>
      </w:pPr>
      <w:r w:rsidRPr="004C2A3C">
        <w:rPr>
          <w:b/>
          <w:bCs/>
        </w:rPr>
        <w:t>Figure 3.2.2</w:t>
      </w:r>
      <w:r w:rsidRPr="004C2A3C">
        <w:rPr>
          <w:b/>
          <w:bCs/>
        </w:rPr>
        <w:br/>
        <w:t>Étapes de la classification des mélanges pour la corrosion ou l</w:t>
      </w:r>
      <w:r>
        <w:rPr>
          <w:b/>
          <w:bCs/>
        </w:rPr>
        <w:t>’</w:t>
      </w:r>
      <w:r w:rsidRPr="004C2A3C">
        <w:rPr>
          <w:b/>
          <w:bCs/>
        </w:rPr>
        <w:t>irritation cutanée</w:t>
      </w:r>
    </w:p>
    <w:p w14:paraId="2C18C318" w14:textId="3AEE1C53" w:rsidR="00EE41F8" w:rsidRPr="004C2A3C" w:rsidRDefault="001B24C5" w:rsidP="00EE41F8">
      <w:pPr>
        <w:spacing w:after="120"/>
        <w:ind w:left="1134" w:right="1134"/>
        <w:jc w:val="center"/>
        <w:rPr>
          <w:lang w:val="en-US"/>
        </w:rPr>
      </w:pPr>
      <w:r w:rsidRPr="004C2A3C">
        <w:rPr>
          <w:noProof/>
        </w:rPr>
        <w:object w:dxaOrig="6865" w:dyaOrig="7825" w14:anchorId="7C61A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45pt;height:390.05pt" o:ole="">
            <v:imagedata r:id="rId12" o:title=""/>
          </v:shape>
          <o:OLEObject Type="Embed" ProgID="Visio.Drawing.15" ShapeID="_x0000_i1025" DrawAspect="Content" ObjectID="_1725284365" r:id="rId13"/>
        </w:object>
      </w:r>
    </w:p>
    <w:p w14:paraId="4D0145BC" w14:textId="77777777" w:rsidR="00EE41F8" w:rsidRPr="004C2A3C" w:rsidRDefault="00EE41F8" w:rsidP="00EE41F8">
      <w:pPr>
        <w:spacing w:before="240" w:after="120" w:line="220" w:lineRule="atLeast"/>
        <w:ind w:left="1134" w:right="1134" w:firstLine="170"/>
        <w:jc w:val="both"/>
        <w:rPr>
          <w:i/>
          <w:iCs/>
          <w:sz w:val="18"/>
          <w:szCs w:val="18"/>
          <w:shd w:val="clear" w:color="auto" w:fill="FFFFFF"/>
        </w:rPr>
      </w:pPr>
      <w:proofErr w:type="gramStart"/>
      <w:r w:rsidRPr="004C2A3C">
        <w:rPr>
          <w:b/>
          <w:bCs/>
          <w:i/>
          <w:iCs/>
          <w:sz w:val="18"/>
          <w:szCs w:val="18"/>
          <w:vertAlign w:val="superscript"/>
        </w:rPr>
        <w:t>a</w:t>
      </w:r>
      <w:r w:rsidRPr="004C2A3C">
        <w:rPr>
          <w:sz w:val="18"/>
          <w:szCs w:val="18"/>
        </w:rPr>
        <w:t xml:space="preserve">  </w:t>
      </w:r>
      <w:r w:rsidRPr="004C2A3C">
        <w:rPr>
          <w:i/>
          <w:iCs/>
          <w:sz w:val="18"/>
          <w:szCs w:val="18"/>
        </w:rPr>
        <w:t>Les</w:t>
      </w:r>
      <w:proofErr w:type="gramEnd"/>
      <w:r w:rsidRPr="004C2A3C">
        <w:rPr>
          <w:i/>
          <w:iCs/>
          <w:sz w:val="18"/>
          <w:szCs w:val="18"/>
        </w:rPr>
        <w:t xml:space="preserve"> cases entourées d</w:t>
      </w:r>
      <w:r>
        <w:rPr>
          <w:i/>
          <w:iCs/>
          <w:sz w:val="18"/>
          <w:szCs w:val="18"/>
        </w:rPr>
        <w:t>’</w:t>
      </w:r>
      <w:r w:rsidRPr="004C2A3C">
        <w:rPr>
          <w:i/>
          <w:iCs/>
          <w:sz w:val="18"/>
          <w:szCs w:val="18"/>
        </w:rPr>
        <w:t>une ligne tiretée représentent une sous-étape particulière à l</w:t>
      </w:r>
      <w:r>
        <w:rPr>
          <w:i/>
          <w:iCs/>
          <w:sz w:val="18"/>
          <w:szCs w:val="18"/>
        </w:rPr>
        <w:t>’</w:t>
      </w:r>
      <w:r w:rsidRPr="004C2A3C">
        <w:rPr>
          <w:i/>
          <w:iCs/>
          <w:sz w:val="18"/>
          <w:szCs w:val="18"/>
        </w:rPr>
        <w:t>étape des données concluantes sur le mélange en tant que tel.</w:t>
      </w:r>
      <w:r w:rsidRPr="004C2A3C">
        <w:rPr>
          <w:sz w:val="18"/>
          <w:szCs w:val="18"/>
        </w:rPr>
        <w:t xml:space="preserve"> </w:t>
      </w:r>
      <w:r w:rsidRPr="004C2A3C">
        <w:rPr>
          <w:i/>
          <w:iCs/>
          <w:sz w:val="18"/>
          <w:szCs w:val="18"/>
        </w:rPr>
        <w:t>Toutefois, contrairement aux prescriptions concernant les substances, dans le cas des mélanges présentant « un pH extrême (≤ 2 ou ≥ 11,5) et une réserve acide/alcaline négligeable », mais pour lesquels il n</w:t>
      </w:r>
      <w:r>
        <w:rPr>
          <w:i/>
          <w:iCs/>
          <w:sz w:val="18"/>
          <w:szCs w:val="18"/>
        </w:rPr>
        <w:t>’</w:t>
      </w:r>
      <w:r w:rsidRPr="004C2A3C">
        <w:rPr>
          <w:i/>
          <w:iCs/>
          <w:sz w:val="18"/>
          <w:szCs w:val="18"/>
        </w:rPr>
        <w:t>existe pas d</w:t>
      </w:r>
      <w:r>
        <w:rPr>
          <w:i/>
          <w:iCs/>
          <w:sz w:val="18"/>
          <w:szCs w:val="18"/>
        </w:rPr>
        <w:t>’</w:t>
      </w:r>
      <w:r w:rsidRPr="004C2A3C">
        <w:rPr>
          <w:i/>
          <w:iCs/>
          <w:sz w:val="18"/>
          <w:szCs w:val="18"/>
        </w:rPr>
        <w:t>autres données concluantes sur le mélange en tant que tel, ou pour lesquels l</w:t>
      </w:r>
      <w:r>
        <w:rPr>
          <w:i/>
          <w:iCs/>
          <w:sz w:val="18"/>
          <w:szCs w:val="18"/>
        </w:rPr>
        <w:t>’</w:t>
      </w:r>
      <w:r w:rsidRPr="004C2A3C">
        <w:rPr>
          <w:i/>
          <w:iCs/>
          <w:sz w:val="18"/>
          <w:szCs w:val="18"/>
        </w:rPr>
        <w:t>évaluation globale de la force probante des données à partir de l</w:t>
      </w:r>
      <w:r>
        <w:rPr>
          <w:i/>
          <w:iCs/>
          <w:sz w:val="18"/>
          <w:szCs w:val="18"/>
        </w:rPr>
        <w:t>’</w:t>
      </w:r>
      <w:r w:rsidRPr="004C2A3C">
        <w:rPr>
          <w:i/>
          <w:iCs/>
          <w:sz w:val="18"/>
          <w:szCs w:val="18"/>
        </w:rPr>
        <w:t>ensemble des données disponibles sur le mélange en tant que tel n</w:t>
      </w:r>
      <w:r>
        <w:rPr>
          <w:i/>
          <w:iCs/>
          <w:sz w:val="18"/>
          <w:szCs w:val="18"/>
        </w:rPr>
        <w:t>’</w:t>
      </w:r>
      <w:r w:rsidRPr="004C2A3C">
        <w:rPr>
          <w:i/>
          <w:iCs/>
          <w:sz w:val="18"/>
          <w:szCs w:val="18"/>
        </w:rPr>
        <w:t>est pas concluante, les données sont considérées comme non concluantes à chaque sous-étape de l</w:t>
      </w:r>
      <w:r>
        <w:rPr>
          <w:i/>
          <w:iCs/>
          <w:sz w:val="18"/>
          <w:szCs w:val="18"/>
        </w:rPr>
        <w:t>’</w:t>
      </w:r>
      <w:r w:rsidRPr="004C2A3C">
        <w:rPr>
          <w:i/>
          <w:iCs/>
          <w:sz w:val="18"/>
          <w:szCs w:val="18"/>
        </w:rPr>
        <w:t>étape des données concluantes sur le mélange en tant que tel.</w:t>
      </w:r>
      <w:r w:rsidRPr="004C2A3C">
        <w:rPr>
          <w:sz w:val="18"/>
          <w:szCs w:val="18"/>
        </w:rPr>
        <w:t xml:space="preserve"> </w:t>
      </w:r>
      <w:r w:rsidRPr="004C2A3C">
        <w:rPr>
          <w:i/>
          <w:iCs/>
          <w:sz w:val="18"/>
          <w:szCs w:val="18"/>
        </w:rPr>
        <w:t>Ces mélanges doivent faire l</w:t>
      </w:r>
      <w:r>
        <w:rPr>
          <w:i/>
          <w:iCs/>
          <w:sz w:val="18"/>
          <w:szCs w:val="18"/>
        </w:rPr>
        <w:t>’</w:t>
      </w:r>
      <w:r w:rsidRPr="004C2A3C">
        <w:rPr>
          <w:i/>
          <w:iCs/>
          <w:sz w:val="18"/>
          <w:szCs w:val="18"/>
        </w:rPr>
        <w:t>objet d</w:t>
      </w:r>
      <w:r>
        <w:rPr>
          <w:i/>
          <w:iCs/>
          <w:sz w:val="18"/>
          <w:szCs w:val="18"/>
        </w:rPr>
        <w:t>’</w:t>
      </w:r>
      <w:r w:rsidRPr="004C2A3C">
        <w:rPr>
          <w:i/>
          <w:iCs/>
          <w:sz w:val="18"/>
          <w:szCs w:val="18"/>
        </w:rPr>
        <w:t>une évaluation conformément aux principes d</w:t>
      </w:r>
      <w:r>
        <w:rPr>
          <w:i/>
          <w:iCs/>
          <w:sz w:val="18"/>
          <w:szCs w:val="18"/>
        </w:rPr>
        <w:t>’</w:t>
      </w:r>
      <w:r w:rsidRPr="004C2A3C">
        <w:rPr>
          <w:i/>
          <w:iCs/>
          <w:sz w:val="18"/>
          <w:szCs w:val="18"/>
        </w:rPr>
        <w:t>extrapolation avant que le pH extrême puisse être considéré comme concluant aux fins de la classification.</w:t>
      </w:r>
      <w:r w:rsidRPr="004C2A3C">
        <w:rPr>
          <w:sz w:val="18"/>
          <w:szCs w:val="18"/>
        </w:rPr>
        <w:t> ».</w:t>
      </w:r>
    </w:p>
    <w:p w14:paraId="44DD2B37" w14:textId="77777777" w:rsidR="00EE41F8" w:rsidRPr="004C2A3C" w:rsidRDefault="00EE41F8" w:rsidP="00EE41F8">
      <w:pPr>
        <w:spacing w:after="120"/>
        <w:ind w:left="2268" w:right="1134" w:hanging="1134"/>
        <w:jc w:val="both"/>
      </w:pPr>
      <w:r w:rsidRPr="004C2A3C">
        <w:t>3.2.3.1.1</w:t>
      </w:r>
      <w:r w:rsidRPr="004C2A3C">
        <w:tab/>
        <w:t>Dans la dernière phrase, remplacer « méthode de calcul » par « classification fondée sur les composants ».</w:t>
      </w:r>
    </w:p>
    <w:p w14:paraId="73CFC8B9" w14:textId="77777777" w:rsidR="00EE41F8" w:rsidRPr="004C2A3C" w:rsidRDefault="00EE41F8" w:rsidP="00EE41F8">
      <w:pPr>
        <w:keepNext/>
        <w:spacing w:after="120"/>
        <w:ind w:left="2268" w:right="1134" w:hanging="1134"/>
      </w:pPr>
      <w:bookmarkStart w:id="0" w:name="_Hlk69887375"/>
      <w:r w:rsidRPr="004C2A3C">
        <w:t>3.2.3.1.2</w:t>
      </w:r>
      <w:r w:rsidRPr="004C2A3C">
        <w:tab/>
        <w:t xml:space="preserve">Modifier la première phrase pour lire comme suit : </w:t>
      </w:r>
    </w:p>
    <w:p w14:paraId="0554690E" w14:textId="77777777" w:rsidR="00EE41F8" w:rsidRPr="004C2A3C" w:rsidRDefault="00EE41F8" w:rsidP="00EE41F8">
      <w:pPr>
        <w:spacing w:after="120"/>
        <w:ind w:left="2268" w:right="1134"/>
        <w:jc w:val="both"/>
      </w:pPr>
      <w:r w:rsidRPr="004C2A3C">
        <w:t>« Les méthodes d</w:t>
      </w:r>
      <w:r>
        <w:t>’</w:t>
      </w:r>
      <w:r w:rsidRPr="004C2A3C">
        <w:t xml:space="preserve">essai </w:t>
      </w:r>
      <w:r w:rsidRPr="004C2A3C">
        <w:rPr>
          <w:i/>
          <w:iCs/>
        </w:rPr>
        <w:t>in vitro/ex vivo</w:t>
      </w:r>
      <w:r w:rsidRPr="004C2A3C">
        <w:t xml:space="preserve"> validées selon des procédures internationales peuvent ne pas avoir été validées en utilisant des mélanges ; bien que ces méthodes soient considérées comme étant largement applicables à ceux-ci, elles ne peuvent être utilisées pour le classement des mélanges que si tous les ingrédients les composant relèvent du domaine d</w:t>
      </w:r>
      <w:r>
        <w:t>’</w:t>
      </w:r>
      <w:r w:rsidRPr="004C2A3C">
        <w:t>application de la ou des méthodes d</w:t>
      </w:r>
      <w:r>
        <w:t>’</w:t>
      </w:r>
      <w:r w:rsidRPr="004C2A3C">
        <w:t xml:space="preserve">essai utilisées. ». </w:t>
      </w:r>
    </w:p>
    <w:bookmarkEnd w:id="0"/>
    <w:p w14:paraId="124EFDB4" w14:textId="77777777" w:rsidR="00EE41F8" w:rsidRPr="004C2A3C" w:rsidRDefault="00EE41F8" w:rsidP="00EE41F8">
      <w:pPr>
        <w:keepNext/>
        <w:keepLines/>
        <w:spacing w:after="120"/>
        <w:ind w:left="1134" w:right="1134"/>
        <w:jc w:val="both"/>
      </w:pPr>
      <w:r w:rsidRPr="004C2A3C">
        <w:t>3.2.3.1.3</w:t>
      </w:r>
      <w:r w:rsidRPr="004C2A3C">
        <w:tab/>
        <w:t>Modifier pour lire comme suit :</w:t>
      </w:r>
    </w:p>
    <w:p w14:paraId="7B679E08" w14:textId="77777777" w:rsidR="00EE41F8" w:rsidRPr="004C2A3C" w:rsidRDefault="00EE41F8" w:rsidP="00EE41F8">
      <w:pPr>
        <w:spacing w:after="120"/>
        <w:ind w:left="2268" w:right="1134"/>
        <w:jc w:val="both"/>
      </w:pPr>
      <w:r w:rsidRPr="004C2A3C">
        <w:t>« Un mélange ayant un pH extrême (≤ 2 ou ≥ 11,5) est considéré comme corrosif (catégorie 1) à l</w:t>
      </w:r>
      <w:r>
        <w:t>’</w:t>
      </w:r>
      <w:r w:rsidRPr="004C2A3C">
        <w:t>étape 4 s</w:t>
      </w:r>
      <w:r>
        <w:t>’</w:t>
      </w:r>
      <w:r w:rsidRPr="004C2A3C">
        <w:t>il présente une réserve acide/alcaline significative ou s</w:t>
      </w:r>
      <w:r>
        <w:t>’</w:t>
      </w:r>
      <w:r w:rsidRPr="004C2A3C">
        <w:t>il n</w:t>
      </w:r>
      <w:r>
        <w:t>’</w:t>
      </w:r>
      <w:r w:rsidRPr="004C2A3C">
        <w:t>existe pas de données concernant la réserve acide/alcaline. Toutefois, si l</w:t>
      </w:r>
      <w:r>
        <w:t>’</w:t>
      </w:r>
      <w:r w:rsidRPr="004C2A3C">
        <w:t>examen de la réserve acide/alcaline laisse penser que le mélange pourrait ne pas être corrosif en dépit d</w:t>
      </w:r>
      <w:r>
        <w:t>’</w:t>
      </w:r>
      <w:r w:rsidRPr="004C2A3C">
        <w:t>un pH extrême, le résultat est jugé non concluant à l</w:t>
      </w:r>
      <w:r>
        <w:t>’</w:t>
      </w:r>
      <w:r w:rsidRPr="004C2A3C">
        <w:t>étape 4 (voir la figure 3.2.1). Si l</w:t>
      </w:r>
      <w:r>
        <w:t>’</w:t>
      </w:r>
      <w:r w:rsidRPr="004C2A3C">
        <w:t>évaluation globale de la force probante des données n</w:t>
      </w:r>
      <w:r>
        <w:t>’</w:t>
      </w:r>
      <w:r w:rsidRPr="004C2A3C">
        <w:t>est toujours pas concluante ou s</w:t>
      </w:r>
      <w:r>
        <w:t>’</w:t>
      </w:r>
      <w:r w:rsidRPr="004C2A3C">
        <w:t>il n</w:t>
      </w:r>
      <w:r>
        <w:t>’</w:t>
      </w:r>
      <w:r w:rsidRPr="004C2A3C">
        <w:t>existe pas d</w:t>
      </w:r>
      <w:r>
        <w:t>’</w:t>
      </w:r>
      <w:r w:rsidRPr="004C2A3C">
        <w:t>autres données que le pH et la réserve acide/alcaline, les mélanges ayant un pH extrême (≤ 2 ou ≥ 11,5) et une réserve acide/alcaline négligeable doivent être évalués à l</w:t>
      </w:r>
      <w:r>
        <w:t>’</w:t>
      </w:r>
      <w:r w:rsidRPr="004C2A3C">
        <w:t>aide des principes d</w:t>
      </w:r>
      <w:r>
        <w:t>’</w:t>
      </w:r>
      <w:r w:rsidRPr="004C2A3C">
        <w:t>extrapolation décrits au 3.2.3.2. Si les principes d</w:t>
      </w:r>
      <w:r>
        <w:t>’</w:t>
      </w:r>
      <w:r w:rsidRPr="004C2A3C">
        <w:t>extrapolation ne peuvent être appliqués, les mélanges ayant un pH extrême (≤ 2 ou ≥ 11,5) et une réserve acide/alcaline négligeable doivent être classés dans la catégorie 1 en ce qui concerne les effets cutanés (voir la figure 3.2.2). Une valeur de pH &gt; 2 ou &lt; 11,5 est considérée comme non concluante et ne peut être utilisée aux fins de classement. La réserve acide/alcaline et le pH peuvent être déterminés à l</w:t>
      </w:r>
      <w:r>
        <w:t>’</w:t>
      </w:r>
      <w:r w:rsidRPr="004C2A3C">
        <w:t>aide de différentes méthodes, notamment celles décrites dans la ligne directrice 122 de l</w:t>
      </w:r>
      <w:r>
        <w:t>’</w:t>
      </w:r>
      <w:r w:rsidRPr="004C2A3C">
        <w:t xml:space="preserve">OCDE et dans Young </w:t>
      </w:r>
      <w:r w:rsidRPr="004C2A3C">
        <w:rPr>
          <w:i/>
          <w:iCs/>
        </w:rPr>
        <w:t>et al.</w:t>
      </w:r>
      <w:r w:rsidRPr="004C2A3C">
        <w:t xml:space="preserve"> (1988), en tenant compte des différences qui existent entre ces méthodes (voir 3.2.5.3.6). Une autorité compétente peut décider quels critères appliquer pour déterminer si une réserve acide/alcaline est significative. ».</w:t>
      </w:r>
    </w:p>
    <w:p w14:paraId="51268939" w14:textId="77777777" w:rsidR="00EE41F8" w:rsidRPr="004C2A3C" w:rsidRDefault="00EE41F8" w:rsidP="00EE41F8">
      <w:pPr>
        <w:spacing w:after="120"/>
        <w:ind w:left="1134" w:right="1134"/>
        <w:jc w:val="both"/>
      </w:pPr>
      <w:r w:rsidRPr="004C2A3C">
        <w:t>3.2.3.2.5</w:t>
      </w:r>
      <w:r w:rsidRPr="004C2A3C">
        <w:tab/>
        <w:t>Modification sans objet en français.</w:t>
      </w:r>
    </w:p>
    <w:p w14:paraId="4E6B3456" w14:textId="77777777" w:rsidR="00EE41F8" w:rsidRPr="004C2A3C" w:rsidRDefault="00EE41F8" w:rsidP="00EE41F8">
      <w:pPr>
        <w:spacing w:after="120"/>
        <w:ind w:left="2268" w:right="1134" w:hanging="1134"/>
        <w:jc w:val="both"/>
      </w:pPr>
      <w:r w:rsidRPr="004C2A3C">
        <w:t>3.2.3.3.4</w:t>
      </w:r>
      <w:r w:rsidRPr="004C2A3C">
        <w:tab/>
        <w:t>Modifier le milieu de la troisième phrase pour lire comme suit : « …le pH est le critère de classification (voir 3.2.3.1.3) car le pH extrême offre... ».</w:t>
      </w:r>
    </w:p>
    <w:p w14:paraId="01C39EEA" w14:textId="77777777" w:rsidR="00EE41F8" w:rsidRPr="004C2A3C" w:rsidRDefault="00EE41F8" w:rsidP="00EE41F8">
      <w:pPr>
        <w:spacing w:after="120"/>
        <w:ind w:left="2268" w:right="1134" w:hanging="1134"/>
        <w:jc w:val="both"/>
      </w:pPr>
      <w:r w:rsidRPr="004C2A3C">
        <w:t>3.2.5.1</w:t>
      </w:r>
      <w:r w:rsidRPr="004C2A3C">
        <w:tab/>
      </w:r>
      <w:r w:rsidRPr="004C2A3C">
        <w:tab/>
        <w:t>Dans le diagramme de décision 3.2.1, modifier la question commençant par « </w:t>
      </w:r>
      <w:r w:rsidRPr="004C2A3C">
        <w:rPr>
          <w:b/>
          <w:bCs/>
        </w:rPr>
        <w:t>La substance ou le mélange</w:t>
      </w:r>
      <w:r w:rsidRPr="004C2A3C">
        <w:t xml:space="preserve"> sont-ils » pour lire comme suit :</w:t>
      </w:r>
    </w:p>
    <w:p w14:paraId="48B4180D" w14:textId="77777777" w:rsidR="00EE41F8" w:rsidRPr="004C2A3C" w:rsidRDefault="00EE41F8" w:rsidP="00EE41F8">
      <w:pPr>
        <w:spacing w:after="120"/>
        <w:ind w:left="2268" w:right="1134"/>
        <w:jc w:val="both"/>
      </w:pPr>
      <w:r w:rsidRPr="004C2A3C">
        <w:t>« </w:t>
      </w:r>
      <w:r w:rsidRPr="004C2A3C">
        <w:rPr>
          <w:b/>
          <w:bCs/>
        </w:rPr>
        <w:t>La substance ou le mélange</w:t>
      </w:r>
      <w:r w:rsidRPr="004C2A3C">
        <w:t xml:space="preserve"> sont-ils </w:t>
      </w:r>
      <w:r w:rsidRPr="004C2A3C">
        <w:rPr>
          <w:b/>
          <w:bCs/>
        </w:rPr>
        <w:t>corrosifs, irritants ou irritants légers</w:t>
      </w:r>
      <w:r w:rsidRPr="004C2A3C">
        <w:t xml:space="preserve"> (voir 3.2.2 et 3.2.3.1) conformément à la méthode par étapes (voir 3.2.2.8 et figures 3.2.1 et 3.2.2) ? ».</w:t>
      </w:r>
    </w:p>
    <w:p w14:paraId="400B8889" w14:textId="77777777" w:rsidR="00EE41F8" w:rsidRPr="004C2A3C" w:rsidRDefault="00EE41F8" w:rsidP="00EE41F8">
      <w:pPr>
        <w:suppressAutoHyphens w:val="0"/>
        <w:kinsoku/>
        <w:overflowPunct/>
        <w:autoSpaceDE/>
        <w:autoSpaceDN/>
        <w:adjustRightInd/>
        <w:snapToGrid/>
        <w:spacing w:after="200" w:line="276" w:lineRule="auto"/>
      </w:pPr>
      <w:r w:rsidRPr="004C2A3C">
        <w:br w:type="page"/>
      </w:r>
    </w:p>
    <w:p w14:paraId="1581CA23" w14:textId="77777777" w:rsidR="00EE41F8" w:rsidRPr="004C2A3C" w:rsidRDefault="00EE41F8" w:rsidP="00EE41F8">
      <w:pPr>
        <w:tabs>
          <w:tab w:val="left" w:pos="2268"/>
        </w:tabs>
        <w:spacing w:line="240" w:lineRule="auto"/>
        <w:ind w:left="1134"/>
        <w:rPr>
          <w:bCs/>
        </w:rPr>
      </w:pPr>
      <w:r w:rsidRPr="004C2A3C">
        <w:t>3.2.5.2</w:t>
      </w:r>
      <w:r w:rsidRPr="004C2A3C">
        <w:tab/>
        <w:t>Remplacer le diagramme de décision 3.2.2 par ce qui suit :</w:t>
      </w:r>
    </w:p>
    <w:p w14:paraId="2F345671" w14:textId="77777777" w:rsidR="00EE41F8" w:rsidRPr="004C2A3C" w:rsidRDefault="00EE41F8" w:rsidP="00EE41F8">
      <w:pPr>
        <w:spacing w:line="240" w:lineRule="auto"/>
        <w:ind w:left="1134"/>
      </w:pPr>
      <w:r w:rsidRPr="004C2A3C">
        <w:t xml:space="preserve">« </w:t>
      </w:r>
    </w:p>
    <w:p w14:paraId="05E4E999" w14:textId="1F8DB81F" w:rsidR="00EE41F8" w:rsidRPr="004C2A3C" w:rsidRDefault="00EF4779" w:rsidP="00EE41F8">
      <w:pPr>
        <w:spacing w:after="120"/>
        <w:ind w:left="1134" w:right="1134"/>
        <w:jc w:val="both"/>
        <w:rPr>
          <w:lang w:val="en-US"/>
        </w:rPr>
      </w:pPr>
      <w:r w:rsidRPr="004C2A3C">
        <w:rPr>
          <w:noProof/>
        </w:rPr>
        <w:object w:dxaOrig="7753" w:dyaOrig="11497" w14:anchorId="49089710">
          <v:shape id="_x0000_i1026" type="#_x0000_t75" alt="" style="width:367.7pt;height:545.95pt" o:ole="">
            <v:imagedata r:id="rId14" o:title=""/>
          </v:shape>
          <o:OLEObject Type="Embed" ProgID="Visio.Drawing.15" ShapeID="_x0000_i1026" DrawAspect="Content" ObjectID="_1725284366" r:id="rId15"/>
        </w:object>
      </w:r>
    </w:p>
    <w:p w14:paraId="39E23D11" w14:textId="77777777" w:rsidR="00EE41F8" w:rsidRPr="004C2A3C" w:rsidRDefault="00EE41F8" w:rsidP="00EE41F8">
      <w:pPr>
        <w:spacing w:line="240" w:lineRule="auto"/>
        <w:ind w:left="567" w:right="1134"/>
        <w:jc w:val="right"/>
      </w:pPr>
      <w:r w:rsidRPr="004C2A3C">
        <w:rPr>
          <w:lang w:val="fr-FR"/>
        </w:rPr>
        <w:t> </w:t>
      </w:r>
      <w:r w:rsidRPr="004C2A3C">
        <w:t>».</w:t>
      </w:r>
    </w:p>
    <w:p w14:paraId="374D8EA4" w14:textId="77777777" w:rsidR="00EE41F8" w:rsidRPr="004C2A3C" w:rsidRDefault="00EE41F8" w:rsidP="00EE41F8">
      <w:pPr>
        <w:spacing w:after="120"/>
        <w:ind w:left="1134" w:right="1134"/>
        <w:jc w:val="both"/>
      </w:pPr>
      <w:r w:rsidRPr="004C2A3C">
        <w:t>Dans la note 2 de bas de page, remplacer « </w:t>
      </w:r>
      <w:r w:rsidRPr="004C2A3C">
        <w:rPr>
          <w:i/>
          <w:iCs/>
        </w:rPr>
        <w:t>voir 3.2.3.3.6</w:t>
      </w:r>
      <w:r w:rsidRPr="004C2A3C">
        <w:t> » par « </w:t>
      </w:r>
      <w:r w:rsidRPr="004C2A3C">
        <w:rPr>
          <w:i/>
          <w:iCs/>
        </w:rPr>
        <w:t>voir 3.2.3.3.5 et 3.2.3.3.6</w:t>
      </w:r>
      <w:r w:rsidRPr="004C2A3C">
        <w:t> ».</w:t>
      </w:r>
    </w:p>
    <w:p w14:paraId="3565FEC6" w14:textId="77777777" w:rsidR="00EE41F8" w:rsidRPr="004C2A3C" w:rsidRDefault="00EE41F8" w:rsidP="00EE41F8">
      <w:pPr>
        <w:spacing w:after="120"/>
        <w:ind w:left="2268" w:right="1134" w:hanging="1134"/>
        <w:jc w:val="both"/>
      </w:pPr>
      <w:r w:rsidRPr="004C2A3C">
        <w:t xml:space="preserve">3.2.5.3.1 </w:t>
      </w:r>
      <w:r w:rsidRPr="004C2A3C">
        <w:tab/>
        <w:t xml:space="preserve">Remplacer « méthode fondée sur la force probante des données » par « évaluation de la force probante des données ». </w:t>
      </w:r>
    </w:p>
    <w:p w14:paraId="24EBB990" w14:textId="69E08B41" w:rsidR="00EE41F8" w:rsidRPr="004C2A3C" w:rsidRDefault="00EE41F8" w:rsidP="00EE41F8">
      <w:pPr>
        <w:spacing w:after="120"/>
        <w:ind w:left="2268" w:right="1134" w:hanging="1134"/>
        <w:jc w:val="both"/>
      </w:pPr>
      <w:r w:rsidRPr="004C2A3C">
        <w:t>3.2.5.3.4</w:t>
      </w:r>
      <w:r w:rsidRPr="004C2A3C">
        <w:tab/>
      </w:r>
      <w:r w:rsidR="0078524F">
        <w:t>La m</w:t>
      </w:r>
      <w:r w:rsidRPr="004C2A3C">
        <w:t xml:space="preserve">odifications </w:t>
      </w:r>
      <w:r w:rsidR="0078524F">
        <w:t xml:space="preserve">concernant le titre du paragraphe est </w:t>
      </w:r>
      <w:r w:rsidRPr="004C2A3C">
        <w:t xml:space="preserve">sans objet en français. </w:t>
      </w:r>
      <w:r w:rsidR="0078524F">
        <w:t xml:space="preserve">Dans la première phrase, remplacer « et </w:t>
      </w:r>
      <w:r w:rsidR="00E42D92">
        <w:t>439 » par « et/ou 439 ».</w:t>
      </w:r>
    </w:p>
    <w:p w14:paraId="023A95AB" w14:textId="77777777" w:rsidR="00EE41F8" w:rsidRPr="004C2A3C" w:rsidRDefault="00EE41F8" w:rsidP="00EE41F8">
      <w:pPr>
        <w:keepNext/>
        <w:keepLines/>
        <w:spacing w:after="120"/>
        <w:ind w:left="2268" w:right="1134" w:hanging="1134"/>
        <w:jc w:val="both"/>
      </w:pPr>
      <w:r w:rsidRPr="004C2A3C">
        <w:t>3.2.5.3.6</w:t>
      </w:r>
      <w:r w:rsidRPr="004C2A3C">
        <w:tab/>
        <w:t>Ajouter les nouveaux paragraphes ci-après :</w:t>
      </w:r>
    </w:p>
    <w:p w14:paraId="1C8C781F" w14:textId="77777777" w:rsidR="00EE41F8" w:rsidRPr="004C2A3C" w:rsidRDefault="00EE41F8" w:rsidP="00EE41F8">
      <w:pPr>
        <w:keepNext/>
        <w:keepLines/>
        <w:spacing w:after="120"/>
        <w:ind w:left="2268" w:right="1134"/>
        <w:rPr>
          <w:i/>
          <w:iCs/>
        </w:rPr>
      </w:pPr>
      <w:r w:rsidRPr="004C2A3C">
        <w:t>« 3.2.5.3.6</w:t>
      </w:r>
      <w:r w:rsidRPr="004C2A3C">
        <w:tab/>
      </w:r>
      <w:r w:rsidRPr="004C2A3C">
        <w:rPr>
          <w:i/>
          <w:iCs/>
        </w:rPr>
        <w:t>Instructions d</w:t>
      </w:r>
      <w:r>
        <w:rPr>
          <w:i/>
          <w:iCs/>
        </w:rPr>
        <w:t>’</w:t>
      </w:r>
      <w:r w:rsidRPr="004C2A3C">
        <w:rPr>
          <w:i/>
          <w:iCs/>
        </w:rPr>
        <w:t>utilisation du pH et de la réserve acide/alcaline pour le classement au titre de la corrosion cutanée ou de l</w:t>
      </w:r>
      <w:r>
        <w:rPr>
          <w:i/>
          <w:iCs/>
        </w:rPr>
        <w:t>’</w:t>
      </w:r>
      <w:r w:rsidRPr="004C2A3C">
        <w:rPr>
          <w:i/>
          <w:iCs/>
        </w:rPr>
        <w:t>irritation cutanée</w:t>
      </w:r>
    </w:p>
    <w:p w14:paraId="53E8FD2D" w14:textId="77777777" w:rsidR="00EE41F8" w:rsidRPr="004C2A3C" w:rsidRDefault="00EE41F8" w:rsidP="00EE41F8">
      <w:pPr>
        <w:keepNext/>
        <w:keepLines/>
        <w:spacing w:after="120"/>
        <w:ind w:left="2268" w:right="1134"/>
        <w:jc w:val="both"/>
      </w:pPr>
      <w:r w:rsidRPr="004C2A3C">
        <w:t>3.2.5.3.6.1</w:t>
      </w:r>
      <w:r w:rsidRPr="004C2A3C">
        <w:tab/>
        <w:t>Les méthodes permettant de déterminer le pH, telles que la ligne directrice 122 de l</w:t>
      </w:r>
      <w:r>
        <w:t>’</w:t>
      </w:r>
      <w:r w:rsidRPr="004C2A3C">
        <w:t xml:space="preserve">OCDE et la méthode décrite par Young </w:t>
      </w:r>
      <w:r w:rsidRPr="004C2A3C">
        <w:rPr>
          <w:i/>
          <w:iCs/>
        </w:rPr>
        <w:t>et al.</w:t>
      </w:r>
      <w:r w:rsidRPr="004C2A3C">
        <w:t xml:space="preserve"> (1988), divergent en ce qui concerne la concentration de la substance ou du mélange dont le pH est déterminé, avec des valeurs de 1 %, 10 % et 100 %. La réserve acide/alcaline est aussi déterminée différemment entre ces méthodes, à savoir jusqu</w:t>
      </w:r>
      <w:r>
        <w:t>’</w:t>
      </w:r>
      <w:r w:rsidRPr="004C2A3C">
        <w:t>à un pH de 7 pour les acides et les bases (ligne directrice 122 de l</w:t>
      </w:r>
      <w:r>
        <w:t>’</w:t>
      </w:r>
      <w:r w:rsidRPr="004C2A3C">
        <w:t>OCDE) ou jusqu</w:t>
      </w:r>
      <w:r>
        <w:t>’</w:t>
      </w:r>
      <w:r w:rsidRPr="004C2A3C">
        <w:t xml:space="preserve">à un pH de 4 pour les acides et de 10 pour les bases (Young </w:t>
      </w:r>
      <w:r w:rsidRPr="004C2A3C">
        <w:rPr>
          <w:i/>
          <w:iCs/>
        </w:rPr>
        <w:t>et al.</w:t>
      </w:r>
      <w:r w:rsidRPr="004C2A3C">
        <w:t>, 1988). En outre, les unités utilisées pour exprimer la réserve acide/alcaline sont différentes entre ces deux méthodes.</w:t>
      </w:r>
    </w:p>
    <w:p w14:paraId="2C4595DE" w14:textId="77777777" w:rsidR="00EE41F8" w:rsidRPr="004C2A3C" w:rsidRDefault="00EE41F8" w:rsidP="00EE41F8">
      <w:pPr>
        <w:keepNext/>
        <w:keepLines/>
        <w:spacing w:after="120"/>
        <w:ind w:left="2268" w:right="1134"/>
        <w:jc w:val="both"/>
      </w:pPr>
      <w:r w:rsidRPr="004C2A3C">
        <w:t>3.2.5.3.6.2</w:t>
      </w:r>
      <w:r w:rsidRPr="004C2A3C">
        <w:tab/>
        <w:t>Des critères permettant de déterminer les substances et les mélanges devant être classés dans la catégorie 1 pour les effets cutanés en fonction du pH et de la réserve acide/alcaline ont été mis au point, à partir d</w:t>
      </w:r>
      <w:r>
        <w:t>’</w:t>
      </w:r>
      <w:r w:rsidRPr="004C2A3C">
        <w:t xml:space="preserve">une combinaison de valeurs de pH et de réserve acide/alcaline calculées selon une méthode particulière (Young </w:t>
      </w:r>
      <w:r w:rsidRPr="004C2A3C">
        <w:rPr>
          <w:i/>
          <w:iCs/>
        </w:rPr>
        <w:t>et al.</w:t>
      </w:r>
      <w:r w:rsidRPr="004C2A3C">
        <w:t>, 1988). Il se peut donc que ces critères ne soient pas directement applicables lorsque d</w:t>
      </w:r>
      <w:r>
        <w:t>’</w:t>
      </w:r>
      <w:r w:rsidRPr="004C2A3C">
        <w:t>autres concentrations ou méthodes d</w:t>
      </w:r>
      <w:r>
        <w:t>’</w:t>
      </w:r>
      <w:r w:rsidRPr="004C2A3C">
        <w:t>essai sont utilisées pour mesurer le pH et la réserve acide/alcaline. Par ailleurs, l</w:t>
      </w:r>
      <w:r>
        <w:t>’</w:t>
      </w:r>
      <w:r w:rsidRPr="004C2A3C">
        <w:t xml:space="preserve">étalonnage et la validation de ces critères étaient fondés sur un ensemble de données limité concernant les effets cutanés. La valeur prédictive de la combinaison du pH et de la réserve acide/alcaline pour la classification dans la catégorie 1 au titre des effets cutanés est donc limitée, en particulier pour les substances et les mélanges présentant un pH extrême, mais une réserve acide/alcaline négligeable. Les critères élaborés par Young </w:t>
      </w:r>
      <w:r w:rsidRPr="004C2A3C">
        <w:rPr>
          <w:i/>
          <w:iCs/>
        </w:rPr>
        <w:t>et al.</w:t>
      </w:r>
      <w:r w:rsidRPr="004C2A3C">
        <w:t xml:space="preserve"> (1988) pour la classification dans la catégorie 1 peuvent servir de point de départ pour déterminer si une substance ou un mélange a une réserve acide/alcaline significative ou négligeable. Une autorité compétente peut décider quels critères appliquer pour déterminer si une réserve acide/alcaline est significative. ».</w:t>
      </w:r>
    </w:p>
    <w:p w14:paraId="04933C6B" w14:textId="77777777" w:rsidR="00EE41F8" w:rsidRPr="004C2A3C" w:rsidRDefault="00EE41F8" w:rsidP="00EE41F8">
      <w:pPr>
        <w:spacing w:after="120"/>
        <w:ind w:left="1134" w:right="1134"/>
        <w:rPr>
          <w:lang w:val="en-US"/>
        </w:rPr>
      </w:pPr>
      <w:r w:rsidRPr="004C2A3C">
        <w:rPr>
          <w:lang w:val="en-US"/>
        </w:rPr>
        <w:t>______________</w:t>
      </w:r>
    </w:p>
    <w:p w14:paraId="1F819563" w14:textId="77777777" w:rsidR="00EE41F8" w:rsidRPr="004C2A3C" w:rsidRDefault="00EE41F8" w:rsidP="00EE41F8">
      <w:pPr>
        <w:suppressAutoHyphens w:val="0"/>
        <w:kinsoku/>
        <w:overflowPunct/>
        <w:snapToGrid/>
        <w:spacing w:before="240" w:after="240" w:line="220" w:lineRule="atLeast"/>
        <w:ind w:left="1134" w:right="1134"/>
        <w:outlineLvl w:val="2"/>
        <w:rPr>
          <w:color w:val="000000"/>
          <w:sz w:val="22"/>
          <w:szCs w:val="22"/>
          <w:lang w:eastAsia="fr-FR"/>
        </w:rPr>
      </w:pPr>
      <w:r w:rsidRPr="004C2A3C">
        <w:rPr>
          <w:color w:val="000000"/>
          <w:lang w:val="en-US" w:eastAsia="fr-FR"/>
        </w:rPr>
        <w:t xml:space="preserve">*  </w:t>
      </w:r>
      <w:proofErr w:type="spellStart"/>
      <w:proofErr w:type="gramStart"/>
      <w:r w:rsidRPr="004C2A3C">
        <w:rPr>
          <w:i/>
          <w:iCs/>
          <w:color w:val="000000"/>
          <w:sz w:val="18"/>
          <w:szCs w:val="18"/>
          <w:lang w:val="en-US" w:eastAsia="fr-FR"/>
        </w:rPr>
        <w:t>Références</w:t>
      </w:r>
      <w:proofErr w:type="spellEnd"/>
      <w:r w:rsidRPr="004C2A3C">
        <w:rPr>
          <w:i/>
          <w:iCs/>
          <w:color w:val="000000"/>
          <w:sz w:val="18"/>
          <w:szCs w:val="18"/>
          <w:lang w:val="en-US" w:eastAsia="fr-FR"/>
        </w:rPr>
        <w:t> :</w:t>
      </w:r>
      <w:proofErr w:type="gramEnd"/>
      <w:r w:rsidRPr="004C2A3C">
        <w:rPr>
          <w:i/>
          <w:iCs/>
          <w:color w:val="000000"/>
          <w:sz w:val="18"/>
          <w:szCs w:val="18"/>
          <w:lang w:val="en-US" w:eastAsia="fr-FR"/>
        </w:rPr>
        <w:t xml:space="preserve"> J. R. Young, M. J. How, A. P. Walker et W. M. Worth. 1988. Classification as corrosive or irritant to skin of preparations containing acidic or alkaline substances, without testing on animals. </w:t>
      </w:r>
      <w:proofErr w:type="spellStart"/>
      <w:r w:rsidRPr="004C2A3C">
        <w:rPr>
          <w:i/>
          <w:iCs/>
          <w:color w:val="000000"/>
          <w:sz w:val="18"/>
          <w:szCs w:val="18"/>
          <w:lang w:eastAsia="fr-FR"/>
        </w:rPr>
        <w:t>Toxicol</w:t>
      </w:r>
      <w:proofErr w:type="spellEnd"/>
      <w:r w:rsidRPr="004C2A3C">
        <w:rPr>
          <w:i/>
          <w:iCs/>
          <w:color w:val="000000"/>
          <w:sz w:val="18"/>
          <w:szCs w:val="18"/>
          <w:lang w:eastAsia="fr-FR"/>
        </w:rPr>
        <w:t>. In Vitro, 2(1</w:t>
      </w:r>
      <w:proofErr w:type="gramStart"/>
      <w:r w:rsidRPr="004C2A3C">
        <w:rPr>
          <w:i/>
          <w:iCs/>
          <w:color w:val="000000"/>
          <w:sz w:val="18"/>
          <w:szCs w:val="18"/>
          <w:lang w:eastAsia="fr-FR"/>
        </w:rPr>
        <w:t>):</w:t>
      </w:r>
      <w:proofErr w:type="gramEnd"/>
      <w:r w:rsidRPr="004C2A3C">
        <w:rPr>
          <w:i/>
          <w:iCs/>
          <w:color w:val="000000"/>
          <w:sz w:val="18"/>
          <w:szCs w:val="18"/>
          <w:lang w:eastAsia="fr-FR"/>
        </w:rPr>
        <w:t xml:space="preserve"> 19-26. </w:t>
      </w:r>
      <w:proofErr w:type="spellStart"/>
      <w:proofErr w:type="gramStart"/>
      <w:r w:rsidRPr="004C2A3C">
        <w:rPr>
          <w:i/>
          <w:iCs/>
          <w:color w:val="000000"/>
          <w:sz w:val="18"/>
          <w:szCs w:val="18"/>
          <w:lang w:eastAsia="fr-FR"/>
        </w:rPr>
        <w:t>doi</w:t>
      </w:r>
      <w:proofErr w:type="spellEnd"/>
      <w:r w:rsidRPr="004C2A3C">
        <w:rPr>
          <w:i/>
          <w:iCs/>
          <w:color w:val="000000"/>
          <w:sz w:val="18"/>
          <w:szCs w:val="18"/>
          <w:lang w:eastAsia="fr-FR"/>
        </w:rPr>
        <w:t>:</w:t>
      </w:r>
      <w:proofErr w:type="gramEnd"/>
      <w:r w:rsidRPr="004C2A3C">
        <w:rPr>
          <w:i/>
          <w:iCs/>
          <w:color w:val="000000"/>
          <w:sz w:val="18"/>
          <w:szCs w:val="18"/>
          <w:lang w:eastAsia="fr-FR"/>
        </w:rPr>
        <w:t xml:space="preserve"> 10.1016/0887-2333(88)90032-x.</w:t>
      </w:r>
      <w:r w:rsidRPr="004C2A3C">
        <w:rPr>
          <w:color w:val="000000"/>
          <w:sz w:val="22"/>
          <w:szCs w:val="22"/>
          <w:lang w:eastAsia="fr-FR"/>
        </w:rPr>
        <w:t> ».</w:t>
      </w:r>
    </w:p>
    <w:p w14:paraId="1F7548BB" w14:textId="77777777" w:rsidR="00EE41F8" w:rsidRPr="004C2A3C" w:rsidRDefault="00EE41F8" w:rsidP="00EE41F8">
      <w:pPr>
        <w:keepNext/>
        <w:keepLines/>
        <w:tabs>
          <w:tab w:val="right" w:pos="851"/>
        </w:tabs>
        <w:spacing w:before="360" w:after="240" w:line="270" w:lineRule="exact"/>
        <w:ind w:left="1134" w:right="1134" w:hanging="1134"/>
        <w:rPr>
          <w:b/>
          <w:sz w:val="24"/>
          <w:lang w:val="fr-FR"/>
        </w:rPr>
      </w:pPr>
      <w:r w:rsidRPr="004C2A3C">
        <w:rPr>
          <w:b/>
          <w:sz w:val="24"/>
          <w:lang w:val="fr-FR"/>
        </w:rPr>
        <w:tab/>
      </w:r>
      <w:r w:rsidRPr="004C2A3C">
        <w:rPr>
          <w:b/>
          <w:sz w:val="24"/>
          <w:lang w:val="fr-FR"/>
        </w:rPr>
        <w:tab/>
        <w:t>Chapitre 3.3</w:t>
      </w:r>
    </w:p>
    <w:p w14:paraId="7173F09E" w14:textId="77777777" w:rsidR="00EE41F8" w:rsidRPr="004C2A3C" w:rsidRDefault="00EE41F8" w:rsidP="00EE41F8">
      <w:pPr>
        <w:tabs>
          <w:tab w:val="left" w:pos="2268"/>
        </w:tabs>
        <w:spacing w:after="120"/>
        <w:ind w:left="1134" w:right="1134"/>
        <w:jc w:val="both"/>
        <w:rPr>
          <w:color w:val="000000" w:themeColor="text1"/>
          <w:lang w:val="fr-FR"/>
        </w:rPr>
      </w:pPr>
      <w:r w:rsidRPr="004C2A3C">
        <w:rPr>
          <w:color w:val="000000" w:themeColor="text1"/>
          <w:lang w:val="fr-FR"/>
        </w:rPr>
        <w:t>3.3.1.2</w:t>
      </w:r>
      <w:r w:rsidRPr="004C2A3C">
        <w:rPr>
          <w:color w:val="000000" w:themeColor="text1"/>
          <w:lang w:val="fr-FR"/>
        </w:rPr>
        <w:tab/>
        <w:t>Remplacer le texte actuel par le texte suivant :</w:t>
      </w:r>
    </w:p>
    <w:p w14:paraId="07E2D091" w14:textId="77777777" w:rsidR="00EE41F8" w:rsidRPr="004C2A3C" w:rsidRDefault="00EE41F8" w:rsidP="00EE41F8">
      <w:pPr>
        <w:spacing w:after="120"/>
        <w:ind w:left="2268" w:right="1134"/>
        <w:jc w:val="both"/>
        <w:rPr>
          <w:color w:val="000000" w:themeColor="text1"/>
          <w:sz w:val="24"/>
          <w:lang w:val="fr-FR"/>
        </w:rPr>
      </w:pPr>
      <w:r w:rsidRPr="004C2A3C">
        <w:rPr>
          <w:color w:val="000000" w:themeColor="text1"/>
          <w:lang w:val="fr-FR"/>
        </w:rPr>
        <w:t>« 3.3.1.2</w:t>
      </w:r>
      <w:r w:rsidRPr="004C2A3C">
        <w:rPr>
          <w:color w:val="000000" w:themeColor="text1"/>
          <w:lang w:val="fr-FR"/>
        </w:rPr>
        <w:tab/>
        <w:t>À des fins de classement, toutes les informations disponibles et utiles sur les lésions oculaires graves/l</w:t>
      </w:r>
      <w:r>
        <w:rPr>
          <w:color w:val="000000" w:themeColor="text1"/>
          <w:lang w:val="fr-FR"/>
        </w:rPr>
        <w:t>’</w:t>
      </w:r>
      <w:r w:rsidRPr="004C2A3C">
        <w:rPr>
          <w:color w:val="000000" w:themeColor="text1"/>
          <w:lang w:val="fr-FR"/>
        </w:rPr>
        <w:t>irritation oculaire sont collectées, et leur qualité est évaluée en fonction de leur pertinence et de leur fiabilité. Le classement doit être fondé sur des données/des résultats acceptables pour toutes les parties, obtenus au moyen de méthodes et/ou de méthodes définies</w:t>
      </w:r>
      <w:r w:rsidRPr="004C2A3C">
        <w:rPr>
          <w:color w:val="000000" w:themeColor="text1"/>
          <w:sz w:val="18"/>
          <w:szCs w:val="18"/>
          <w:vertAlign w:val="superscript"/>
          <w:lang w:val="fr-FR"/>
        </w:rPr>
        <w:t>1</w:t>
      </w:r>
      <w:r w:rsidRPr="004C2A3C">
        <w:rPr>
          <w:color w:val="000000" w:themeColor="text1"/>
          <w:lang w:val="fr-FR"/>
        </w:rPr>
        <w:t xml:space="preserve"> validées selon des procédures internationales. Il s</w:t>
      </w:r>
      <w:r>
        <w:rPr>
          <w:color w:val="000000" w:themeColor="text1"/>
          <w:lang w:val="fr-FR"/>
        </w:rPr>
        <w:t>’</w:t>
      </w:r>
      <w:r w:rsidRPr="004C2A3C">
        <w:rPr>
          <w:color w:val="000000" w:themeColor="text1"/>
          <w:lang w:val="fr-FR"/>
        </w:rPr>
        <w:t>agit notamment des lignes directrices de l</w:t>
      </w:r>
      <w:r>
        <w:rPr>
          <w:color w:val="000000" w:themeColor="text1"/>
          <w:lang w:val="fr-FR"/>
        </w:rPr>
        <w:t>’</w:t>
      </w:r>
      <w:r w:rsidRPr="004C2A3C">
        <w:rPr>
          <w:color w:val="000000" w:themeColor="text1"/>
          <w:lang w:val="fr-FR"/>
        </w:rPr>
        <w:t>OCDE et des méthodes équivalentes/méthodes définies (voir 1.3.2.4.3). On trouvera dans les sections 3.3.2.1 à 3.3.2.8 des critères de classification pour les différents types d</w:t>
      </w:r>
      <w:r>
        <w:rPr>
          <w:color w:val="000000" w:themeColor="text1"/>
          <w:lang w:val="fr-FR"/>
        </w:rPr>
        <w:t>’</w:t>
      </w:r>
      <w:r w:rsidRPr="004C2A3C">
        <w:rPr>
          <w:color w:val="000000" w:themeColor="text1"/>
          <w:lang w:val="fr-FR"/>
        </w:rPr>
        <w:t>informations pouvant être disponibles. ».</w:t>
      </w:r>
      <w:bookmarkStart w:id="1" w:name="_Hlk69397694"/>
      <w:bookmarkEnd w:id="1"/>
    </w:p>
    <w:p w14:paraId="23680532" w14:textId="77777777" w:rsidR="00EE41F8" w:rsidRPr="004C2A3C" w:rsidRDefault="00EE41F8" w:rsidP="00EE41F8">
      <w:pPr>
        <w:keepNext/>
        <w:spacing w:after="120"/>
        <w:ind w:left="2268" w:right="1134"/>
        <w:jc w:val="both"/>
        <w:rPr>
          <w:color w:val="000000" w:themeColor="text1"/>
          <w:lang w:val="fr-FR"/>
        </w:rPr>
      </w:pPr>
      <w:r w:rsidRPr="004C2A3C">
        <w:rPr>
          <w:color w:val="000000" w:themeColor="text1"/>
          <w:lang w:val="fr-FR"/>
        </w:rPr>
        <w:t>Ajouter la nouvelle note de bas de page 1, comme suit :</w:t>
      </w:r>
    </w:p>
    <w:p w14:paraId="689C23AE" w14:textId="77777777" w:rsidR="00EE41F8" w:rsidRPr="004C2A3C" w:rsidRDefault="00EE41F8" w:rsidP="00EE41F8">
      <w:pPr>
        <w:spacing w:after="120"/>
        <w:ind w:left="2268" w:right="1134"/>
        <w:jc w:val="both"/>
        <w:rPr>
          <w:i/>
          <w:iCs/>
          <w:lang w:val="fr-FR"/>
        </w:rPr>
      </w:pPr>
      <w:r w:rsidRPr="004C2A3C">
        <w:rPr>
          <w:lang w:val="fr-FR"/>
        </w:rPr>
        <w:tab/>
      </w:r>
      <w:r w:rsidRPr="004C2A3C">
        <w:rPr>
          <w:i/>
          <w:iCs/>
          <w:lang w:val="fr-FR"/>
        </w:rPr>
        <w:t>« </w:t>
      </w:r>
      <w:r w:rsidRPr="004C2A3C">
        <w:rPr>
          <w:i/>
          <w:iCs/>
          <w:vertAlign w:val="superscript"/>
          <w:lang w:val="fr-FR"/>
        </w:rPr>
        <w:t>1</w:t>
      </w:r>
      <w:r w:rsidRPr="004C2A3C">
        <w:rPr>
          <w:i/>
          <w:iCs/>
          <w:lang w:val="fr-FR"/>
        </w:rPr>
        <w:tab/>
        <w:t>Selon le document d</w:t>
      </w:r>
      <w:r>
        <w:rPr>
          <w:i/>
          <w:iCs/>
          <w:lang w:val="fr-FR"/>
        </w:rPr>
        <w:t>’</w:t>
      </w:r>
      <w:r w:rsidRPr="004C2A3C">
        <w:rPr>
          <w:i/>
          <w:iCs/>
          <w:lang w:val="fr-FR"/>
        </w:rPr>
        <w:t>orientation 255 de l</w:t>
      </w:r>
      <w:r>
        <w:rPr>
          <w:i/>
          <w:iCs/>
          <w:lang w:val="fr-FR"/>
        </w:rPr>
        <w:t>’</w:t>
      </w:r>
      <w:r w:rsidRPr="004C2A3C">
        <w:rPr>
          <w:i/>
          <w:iCs/>
          <w:lang w:val="fr-FR"/>
        </w:rPr>
        <w:t>OCDE concernant la notification des méthodes définies à utiliser dans le cadre des méthodes intégrées d</w:t>
      </w:r>
      <w:r>
        <w:rPr>
          <w:i/>
          <w:iCs/>
          <w:lang w:val="fr-FR"/>
        </w:rPr>
        <w:t>’</w:t>
      </w:r>
      <w:r w:rsidRPr="004C2A3C">
        <w:rPr>
          <w:i/>
          <w:iCs/>
          <w:lang w:val="fr-FR"/>
        </w:rPr>
        <w:t>essai et d</w:t>
      </w:r>
      <w:r>
        <w:rPr>
          <w:i/>
          <w:iCs/>
          <w:lang w:val="fr-FR"/>
        </w:rPr>
        <w:t>’</w:t>
      </w:r>
      <w:r w:rsidRPr="004C2A3C">
        <w:rPr>
          <w:i/>
          <w:iCs/>
          <w:lang w:val="fr-FR"/>
        </w:rPr>
        <w:t>évaluation, les méthodes définies d</w:t>
      </w:r>
      <w:r>
        <w:rPr>
          <w:i/>
          <w:iCs/>
          <w:lang w:val="fr-FR"/>
        </w:rPr>
        <w:t>’</w:t>
      </w:r>
      <w:r w:rsidRPr="004C2A3C">
        <w:rPr>
          <w:i/>
          <w:iCs/>
          <w:lang w:val="fr-FR"/>
        </w:rPr>
        <w:t>essai et d</w:t>
      </w:r>
      <w:r>
        <w:rPr>
          <w:i/>
          <w:iCs/>
          <w:lang w:val="fr-FR"/>
        </w:rPr>
        <w:t>’</w:t>
      </w:r>
      <w:r w:rsidRPr="004C2A3C">
        <w:rPr>
          <w:i/>
          <w:iCs/>
          <w:lang w:val="fr-FR"/>
        </w:rPr>
        <w:t>évaluation consistent à appliquer une procédure déterminée d</w:t>
      </w:r>
      <w:r>
        <w:rPr>
          <w:i/>
          <w:iCs/>
          <w:lang w:val="fr-FR"/>
        </w:rPr>
        <w:t>’</w:t>
      </w:r>
      <w:r w:rsidRPr="004C2A3C">
        <w:rPr>
          <w:i/>
          <w:iCs/>
          <w:lang w:val="fr-FR"/>
        </w:rPr>
        <w:t>interprétation des données aux données obtenues à partir d</w:t>
      </w:r>
      <w:r>
        <w:rPr>
          <w:i/>
          <w:iCs/>
          <w:lang w:val="fr-FR"/>
        </w:rPr>
        <w:t>’</w:t>
      </w:r>
      <w:r w:rsidRPr="004C2A3C">
        <w:rPr>
          <w:i/>
          <w:iCs/>
          <w:lang w:val="fr-FR"/>
        </w:rPr>
        <w:t>un ensemble défini de sources d</w:t>
      </w:r>
      <w:r>
        <w:rPr>
          <w:i/>
          <w:iCs/>
          <w:lang w:val="fr-FR"/>
        </w:rPr>
        <w:t>’</w:t>
      </w:r>
      <w:r w:rsidRPr="004C2A3C">
        <w:rPr>
          <w:i/>
          <w:iCs/>
          <w:lang w:val="fr-FR"/>
        </w:rPr>
        <w:t>information, afin d</w:t>
      </w:r>
      <w:r>
        <w:rPr>
          <w:i/>
          <w:iCs/>
          <w:lang w:val="fr-FR"/>
        </w:rPr>
        <w:t>’</w:t>
      </w:r>
      <w:r w:rsidRPr="004C2A3C">
        <w:rPr>
          <w:i/>
          <w:iCs/>
          <w:lang w:val="fr-FR"/>
        </w:rPr>
        <w:t>obtenir des résultats qui puissent être utilisés seuls, ou avec d</w:t>
      </w:r>
      <w:r>
        <w:rPr>
          <w:i/>
          <w:iCs/>
          <w:lang w:val="fr-FR"/>
        </w:rPr>
        <w:t>’</w:t>
      </w:r>
      <w:r w:rsidRPr="004C2A3C">
        <w:rPr>
          <w:i/>
          <w:iCs/>
          <w:lang w:val="fr-FR"/>
        </w:rPr>
        <w:t>autres sources d</w:t>
      </w:r>
      <w:r>
        <w:rPr>
          <w:i/>
          <w:iCs/>
          <w:lang w:val="fr-FR"/>
        </w:rPr>
        <w:t>’</w:t>
      </w:r>
      <w:r w:rsidRPr="004C2A3C">
        <w:rPr>
          <w:i/>
          <w:iCs/>
          <w:lang w:val="fr-FR"/>
        </w:rPr>
        <w:t>information dans le cadre d</w:t>
      </w:r>
      <w:r>
        <w:rPr>
          <w:i/>
          <w:iCs/>
          <w:lang w:val="fr-FR"/>
        </w:rPr>
        <w:t>’</w:t>
      </w:r>
      <w:r w:rsidRPr="004C2A3C">
        <w:rPr>
          <w:i/>
          <w:iCs/>
          <w:lang w:val="fr-FR"/>
        </w:rPr>
        <w:t>une évaluation globale de la force probante des données, de façon à répondre à un besoin particulier en matière de réglementation. ».</w:t>
      </w:r>
    </w:p>
    <w:p w14:paraId="4911C638" w14:textId="77777777" w:rsidR="00EE41F8" w:rsidRPr="004C2A3C" w:rsidRDefault="00EE41F8" w:rsidP="00EE41F8">
      <w:pPr>
        <w:keepNext/>
        <w:spacing w:after="120"/>
        <w:ind w:left="1134" w:right="1134"/>
        <w:jc w:val="both"/>
        <w:rPr>
          <w:color w:val="000000" w:themeColor="text1"/>
          <w:lang w:val="fr-FR"/>
        </w:rPr>
      </w:pPr>
      <w:r w:rsidRPr="004C2A3C">
        <w:rPr>
          <w:color w:val="000000" w:themeColor="text1"/>
          <w:lang w:val="fr-FR"/>
        </w:rPr>
        <w:t>3.3.1.3 et 3.3.1.4</w:t>
      </w:r>
      <w:r w:rsidRPr="004C2A3C">
        <w:rPr>
          <w:color w:val="000000" w:themeColor="text1"/>
          <w:lang w:val="fr-FR"/>
        </w:rPr>
        <w:tab/>
        <w:t>Ajouter les deux nouveaux paragraphes suivants :</w:t>
      </w:r>
    </w:p>
    <w:p w14:paraId="49EE1D6C" w14:textId="77777777" w:rsidR="00EE41F8" w:rsidRPr="004C2A3C" w:rsidRDefault="00EE41F8" w:rsidP="00EE41F8">
      <w:pPr>
        <w:spacing w:after="120"/>
        <w:ind w:left="2268" w:right="1134"/>
        <w:jc w:val="both"/>
        <w:rPr>
          <w:color w:val="000000" w:themeColor="text1"/>
          <w:lang w:val="fr-FR"/>
        </w:rPr>
      </w:pPr>
      <w:bookmarkStart w:id="2" w:name="_Hlk69397739"/>
      <w:r w:rsidRPr="004C2A3C">
        <w:rPr>
          <w:color w:val="000000" w:themeColor="text1"/>
          <w:lang w:val="fr-FR"/>
        </w:rPr>
        <w:t>« 3.3.1.3</w:t>
      </w:r>
      <w:r w:rsidRPr="004C2A3C">
        <w:rPr>
          <w:color w:val="000000" w:themeColor="text1"/>
          <w:lang w:val="fr-FR"/>
        </w:rPr>
        <w:tab/>
        <w:t xml:space="preserve">Une </w:t>
      </w:r>
      <w:r w:rsidRPr="004C2A3C">
        <w:rPr>
          <w:i/>
          <w:iCs/>
          <w:color w:val="000000" w:themeColor="text1"/>
          <w:lang w:val="fr-FR"/>
        </w:rPr>
        <w:t>méthode par étapes</w:t>
      </w:r>
      <w:r w:rsidRPr="004C2A3C">
        <w:rPr>
          <w:color w:val="000000" w:themeColor="text1"/>
          <w:lang w:val="fr-FR"/>
        </w:rPr>
        <w:t xml:space="preserve"> (voir 3.3.2.10) organise les informations disponibles par niveaux ou étapes permettant de prendre des décisions d</w:t>
      </w:r>
      <w:r>
        <w:rPr>
          <w:color w:val="000000" w:themeColor="text1"/>
          <w:lang w:val="fr-FR"/>
        </w:rPr>
        <w:t>’</w:t>
      </w:r>
      <w:r w:rsidRPr="004C2A3C">
        <w:rPr>
          <w:color w:val="000000" w:themeColor="text1"/>
          <w:lang w:val="fr-FR"/>
        </w:rPr>
        <w:t>une manière structurée et progressive. Le classement s</w:t>
      </w:r>
      <w:r>
        <w:rPr>
          <w:color w:val="000000" w:themeColor="text1"/>
          <w:lang w:val="fr-FR"/>
        </w:rPr>
        <w:t>’</w:t>
      </w:r>
      <w:r w:rsidRPr="004C2A3C">
        <w:rPr>
          <w:color w:val="000000" w:themeColor="text1"/>
          <w:lang w:val="fr-FR"/>
        </w:rPr>
        <w:t>effectue automatiquement quand les informations répondent systématiquement aux critères. Cependant, lorsque les informations disponibles donnent des résultats incohérents ou contradictoires à une même étape, le classement d</w:t>
      </w:r>
      <w:r>
        <w:rPr>
          <w:color w:val="000000" w:themeColor="text1"/>
          <w:lang w:val="fr-FR"/>
        </w:rPr>
        <w:t>’</w:t>
      </w:r>
      <w:r w:rsidRPr="004C2A3C">
        <w:rPr>
          <w:color w:val="000000" w:themeColor="text1"/>
          <w:lang w:val="fr-FR"/>
        </w:rPr>
        <w:t>une substance ou d</w:t>
      </w:r>
      <w:r>
        <w:rPr>
          <w:color w:val="000000" w:themeColor="text1"/>
          <w:lang w:val="fr-FR"/>
        </w:rPr>
        <w:t>’</w:t>
      </w:r>
      <w:r w:rsidRPr="004C2A3C">
        <w:rPr>
          <w:color w:val="000000" w:themeColor="text1"/>
          <w:lang w:val="fr-FR"/>
        </w:rPr>
        <w:t>un mélange s</w:t>
      </w:r>
      <w:r>
        <w:rPr>
          <w:color w:val="000000" w:themeColor="text1"/>
          <w:lang w:val="fr-FR"/>
        </w:rPr>
        <w:t>’</w:t>
      </w:r>
      <w:r w:rsidRPr="004C2A3C">
        <w:rPr>
          <w:color w:val="000000" w:themeColor="text1"/>
          <w:lang w:val="fr-FR"/>
        </w:rPr>
        <w:t>effectue sur la base de la force probante des données à cette étape. Dans certains cas, lorsque les informations provenant de différentes étapes donnent des résultats incohérents ou contradictoires (voir 3.3.2.10.3), ou lorsque, prises séparément, les données ne sont pas suffisantes pour déterminer le classement, on a recours à une évaluation globale de la force probante des données (voir 1.3.2.4.9, 3.3.2.9 et 3.3.5.3.1).</w:t>
      </w:r>
    </w:p>
    <w:p w14:paraId="4EEB9239" w14:textId="77777777" w:rsidR="00EE41F8" w:rsidRPr="004C2A3C" w:rsidRDefault="00EE41F8" w:rsidP="00EE41F8">
      <w:pPr>
        <w:spacing w:after="120"/>
        <w:ind w:left="2268" w:right="1134"/>
        <w:jc w:val="both"/>
        <w:rPr>
          <w:color w:val="000000" w:themeColor="text1"/>
          <w:lang w:val="fr-FR"/>
        </w:rPr>
      </w:pPr>
      <w:r w:rsidRPr="004C2A3C">
        <w:rPr>
          <w:color w:val="000000" w:themeColor="text1"/>
          <w:lang w:val="fr-FR"/>
        </w:rPr>
        <w:t>3.3.1.4</w:t>
      </w:r>
      <w:r w:rsidRPr="004C2A3C">
        <w:rPr>
          <w:color w:val="000000" w:themeColor="text1"/>
          <w:lang w:val="fr-FR"/>
        </w:rPr>
        <w:tab/>
      </w:r>
      <w:r w:rsidRPr="004C2A3C">
        <w:rPr>
          <w:color w:val="000000" w:themeColor="text1"/>
          <w:lang w:val="fr-FR"/>
        </w:rPr>
        <w:tab/>
        <w:t>On trouve dans le 3.3.5.3 des indications relatives à l</w:t>
      </w:r>
      <w:r>
        <w:rPr>
          <w:color w:val="000000" w:themeColor="text1"/>
          <w:lang w:val="fr-FR"/>
        </w:rPr>
        <w:t>’</w:t>
      </w:r>
      <w:r w:rsidRPr="004C2A3C">
        <w:rPr>
          <w:color w:val="000000" w:themeColor="text1"/>
          <w:lang w:val="fr-FR"/>
        </w:rPr>
        <w:t>interprétation des critères et des renvois aux documents d</w:t>
      </w:r>
      <w:r>
        <w:rPr>
          <w:color w:val="000000" w:themeColor="text1"/>
          <w:lang w:val="fr-FR"/>
        </w:rPr>
        <w:t>’</w:t>
      </w:r>
      <w:r w:rsidRPr="004C2A3C">
        <w:rPr>
          <w:color w:val="000000" w:themeColor="text1"/>
          <w:lang w:val="fr-FR"/>
        </w:rPr>
        <w:t>orientation pertinents. ».</w:t>
      </w:r>
    </w:p>
    <w:bookmarkEnd w:id="2"/>
    <w:p w14:paraId="3E557451" w14:textId="77777777" w:rsidR="00EE41F8" w:rsidRPr="004C2A3C" w:rsidRDefault="00EE41F8" w:rsidP="00EE41F8">
      <w:pPr>
        <w:spacing w:after="120"/>
        <w:ind w:left="2268" w:right="1134" w:hanging="1134"/>
        <w:jc w:val="both"/>
        <w:rPr>
          <w:color w:val="000000" w:themeColor="text1"/>
          <w:lang w:val="fr-FR"/>
        </w:rPr>
      </w:pPr>
      <w:r w:rsidRPr="004C2A3C">
        <w:rPr>
          <w:color w:val="000000" w:themeColor="text1"/>
          <w:lang w:val="fr-FR"/>
        </w:rPr>
        <w:t>3.3.2</w:t>
      </w:r>
      <w:r w:rsidRPr="004C2A3C">
        <w:rPr>
          <w:color w:val="000000" w:themeColor="text1"/>
          <w:lang w:val="fr-FR"/>
        </w:rPr>
        <w:tab/>
        <w:t>Supprimer « (voir tableau 3.3.1) » à l</w:t>
      </w:r>
      <w:r>
        <w:rPr>
          <w:color w:val="000000" w:themeColor="text1"/>
          <w:lang w:val="fr-FR"/>
        </w:rPr>
        <w:t>’</w:t>
      </w:r>
      <w:r w:rsidRPr="004C2A3C">
        <w:rPr>
          <w:color w:val="000000" w:themeColor="text1"/>
          <w:lang w:val="fr-FR"/>
        </w:rPr>
        <w:t>alinéa a) et « (voir tableau 3.3.2) » à l</w:t>
      </w:r>
      <w:r>
        <w:rPr>
          <w:color w:val="000000" w:themeColor="text1"/>
          <w:lang w:val="fr-FR"/>
        </w:rPr>
        <w:t>’</w:t>
      </w:r>
      <w:r w:rsidRPr="004C2A3C">
        <w:rPr>
          <w:color w:val="000000" w:themeColor="text1"/>
          <w:lang w:val="fr-FR"/>
        </w:rPr>
        <w:t>alinéa b) et dans la dernière phrase.</w:t>
      </w:r>
    </w:p>
    <w:p w14:paraId="6F5C1892" w14:textId="59EF508E" w:rsidR="00EE41F8" w:rsidRPr="004C2A3C" w:rsidRDefault="00EE41F8" w:rsidP="00EE41F8">
      <w:pPr>
        <w:keepNext/>
        <w:spacing w:after="120"/>
        <w:ind w:left="2268" w:right="1134" w:hanging="1134"/>
        <w:jc w:val="both"/>
        <w:rPr>
          <w:color w:val="000000" w:themeColor="text1"/>
          <w:lang w:val="fr-FR"/>
        </w:rPr>
      </w:pPr>
      <w:r w:rsidRPr="004C2A3C">
        <w:rPr>
          <w:color w:val="000000" w:themeColor="text1"/>
          <w:lang w:val="fr-FR"/>
        </w:rPr>
        <w:t>3.3.2.1 et 3.3.2.2 (nouveaux)</w:t>
      </w:r>
      <w:r w:rsidRPr="004C2A3C">
        <w:rPr>
          <w:color w:val="000000" w:themeColor="text1"/>
          <w:lang w:val="fr-FR"/>
        </w:rPr>
        <w:tab/>
        <w:t>Ajouter les nouveaux paragraphes suivants :</w:t>
      </w:r>
    </w:p>
    <w:p w14:paraId="3B278E61" w14:textId="77777777" w:rsidR="00EE41F8" w:rsidRPr="004C2A3C" w:rsidRDefault="00EE41F8" w:rsidP="00EE41F8">
      <w:pPr>
        <w:spacing w:after="120"/>
        <w:ind w:left="2268" w:right="1134"/>
        <w:jc w:val="both"/>
        <w:rPr>
          <w:b/>
          <w:bCs/>
          <w:i/>
          <w:iCs/>
          <w:color w:val="000000" w:themeColor="text1"/>
          <w:lang w:val="fr-FR"/>
        </w:rPr>
      </w:pPr>
      <w:r w:rsidRPr="004C2A3C">
        <w:rPr>
          <w:color w:val="000000" w:themeColor="text1"/>
          <w:lang w:val="fr-FR"/>
        </w:rPr>
        <w:t>« </w:t>
      </w:r>
      <w:r w:rsidRPr="004C2A3C">
        <w:rPr>
          <w:b/>
          <w:bCs/>
          <w:color w:val="000000" w:themeColor="text1"/>
          <w:lang w:val="fr-FR"/>
        </w:rPr>
        <w:t>3.3.2.1</w:t>
      </w:r>
      <w:r w:rsidRPr="004C2A3C">
        <w:rPr>
          <w:b/>
          <w:bCs/>
          <w:color w:val="000000" w:themeColor="text1"/>
          <w:lang w:val="fr-FR"/>
        </w:rPr>
        <w:tab/>
      </w:r>
      <w:r w:rsidRPr="004C2A3C">
        <w:rPr>
          <w:b/>
          <w:bCs/>
          <w:i/>
          <w:iCs/>
          <w:color w:val="000000" w:themeColor="text1"/>
          <w:lang w:val="fr-FR"/>
        </w:rPr>
        <w:t>Classification fondée sur des données obtenues sur l</w:t>
      </w:r>
      <w:r>
        <w:rPr>
          <w:b/>
          <w:bCs/>
          <w:i/>
          <w:iCs/>
          <w:color w:val="000000" w:themeColor="text1"/>
          <w:lang w:val="fr-FR"/>
        </w:rPr>
        <w:t>’</w:t>
      </w:r>
      <w:r w:rsidRPr="004C2A3C">
        <w:rPr>
          <w:b/>
          <w:bCs/>
          <w:i/>
          <w:iCs/>
          <w:color w:val="000000" w:themeColor="text1"/>
          <w:lang w:val="fr-FR"/>
        </w:rPr>
        <w:t>homme (étape 1 de la figure 3.3.1)</w:t>
      </w:r>
    </w:p>
    <w:p w14:paraId="778DE418" w14:textId="17B860F3" w:rsidR="00EE41F8" w:rsidRPr="004C2A3C" w:rsidRDefault="00EE41F8" w:rsidP="00EE41F8">
      <w:pPr>
        <w:tabs>
          <w:tab w:val="left" w:pos="3402"/>
        </w:tabs>
        <w:spacing w:after="120"/>
        <w:ind w:left="2268" w:right="1134" w:firstLine="1134"/>
        <w:jc w:val="both"/>
        <w:rPr>
          <w:color w:val="000000" w:themeColor="text1"/>
          <w:lang w:val="fr-FR"/>
        </w:rPr>
      </w:pPr>
      <w:r w:rsidRPr="004C2A3C">
        <w:rPr>
          <w:color w:val="000000" w:themeColor="text1"/>
          <w:lang w:val="fr-FR"/>
        </w:rPr>
        <w:t>Les données fiables et de bonne qualité existantes relatives aux lésions oculaires graves/à l</w:t>
      </w:r>
      <w:r>
        <w:rPr>
          <w:color w:val="000000" w:themeColor="text1"/>
          <w:lang w:val="fr-FR"/>
        </w:rPr>
        <w:t>’</w:t>
      </w:r>
      <w:r w:rsidRPr="004C2A3C">
        <w:rPr>
          <w:color w:val="000000" w:themeColor="text1"/>
          <w:lang w:val="fr-FR"/>
        </w:rPr>
        <w:t>irritation oculaire obtenues sur l</w:t>
      </w:r>
      <w:r>
        <w:rPr>
          <w:color w:val="000000" w:themeColor="text1"/>
          <w:lang w:val="fr-FR"/>
        </w:rPr>
        <w:t>’</w:t>
      </w:r>
      <w:r w:rsidRPr="004C2A3C">
        <w:rPr>
          <w:color w:val="000000" w:themeColor="text1"/>
          <w:lang w:val="fr-FR"/>
        </w:rPr>
        <w:t>homme devraient être dûment exploitées lorsqu</w:t>
      </w:r>
      <w:r>
        <w:rPr>
          <w:color w:val="000000" w:themeColor="text1"/>
          <w:lang w:val="fr-FR"/>
        </w:rPr>
        <w:t>’</w:t>
      </w:r>
      <w:r w:rsidRPr="004C2A3C">
        <w:rPr>
          <w:color w:val="000000" w:themeColor="text1"/>
          <w:lang w:val="fr-FR"/>
        </w:rPr>
        <w:t xml:space="preserve">elles présentent un intérêt pour le classement (voir 3.3.5.3.2) et devraient être évaluées en premier lieu, dans la mesure où elles </w:t>
      </w:r>
      <w:proofErr w:type="gramStart"/>
      <w:r w:rsidRPr="004C2A3C">
        <w:rPr>
          <w:color w:val="000000" w:themeColor="text1"/>
          <w:lang w:val="fr-FR"/>
        </w:rPr>
        <w:t>donnent</w:t>
      </w:r>
      <w:proofErr w:type="gramEnd"/>
      <w:r w:rsidRPr="004C2A3C">
        <w:rPr>
          <w:color w:val="000000" w:themeColor="text1"/>
          <w:lang w:val="fr-FR"/>
        </w:rPr>
        <w:t xml:space="preserve"> des informations en relation directe avec les effets sur l</w:t>
      </w:r>
      <w:r>
        <w:rPr>
          <w:color w:val="000000" w:themeColor="text1"/>
          <w:lang w:val="fr-FR"/>
        </w:rPr>
        <w:t>’</w:t>
      </w:r>
      <w:r w:rsidRPr="004C2A3C">
        <w:rPr>
          <w:color w:val="000000" w:themeColor="text1"/>
          <w:lang w:val="fr-FR"/>
        </w:rPr>
        <w:t>œil. Les données existantes obtenues sur l</w:t>
      </w:r>
      <w:r>
        <w:rPr>
          <w:color w:val="000000" w:themeColor="text1"/>
          <w:lang w:val="fr-FR"/>
        </w:rPr>
        <w:t>’</w:t>
      </w:r>
      <w:r w:rsidRPr="004C2A3C">
        <w:rPr>
          <w:color w:val="000000" w:themeColor="text1"/>
          <w:lang w:val="fr-FR"/>
        </w:rPr>
        <w:t>homme peuvent résulter d</w:t>
      </w:r>
      <w:r>
        <w:rPr>
          <w:color w:val="000000" w:themeColor="text1"/>
          <w:lang w:val="fr-FR"/>
        </w:rPr>
        <w:t>’</w:t>
      </w:r>
      <w:r w:rsidRPr="004C2A3C">
        <w:rPr>
          <w:color w:val="000000" w:themeColor="text1"/>
          <w:lang w:val="fr-FR"/>
        </w:rPr>
        <w:t>une exposition unique ou d</w:t>
      </w:r>
      <w:r>
        <w:rPr>
          <w:color w:val="000000" w:themeColor="text1"/>
          <w:lang w:val="fr-FR"/>
        </w:rPr>
        <w:t>’</w:t>
      </w:r>
      <w:r w:rsidRPr="004C2A3C">
        <w:rPr>
          <w:color w:val="000000" w:themeColor="text1"/>
          <w:lang w:val="fr-FR"/>
        </w:rPr>
        <w:t xml:space="preserve">expositions répétées dans divers cas de figure relevant, par exemple, de la vie professionnelle, de </w:t>
      </w:r>
      <w:r w:rsidR="00C37810">
        <w:rPr>
          <w:color w:val="000000" w:themeColor="text1"/>
          <w:lang w:val="fr-FR"/>
        </w:rPr>
        <w:t>l’utilisation par les consommateurs</w:t>
      </w:r>
      <w:r w:rsidRPr="004C2A3C">
        <w:rPr>
          <w:color w:val="000000" w:themeColor="text1"/>
          <w:lang w:val="fr-FR"/>
        </w:rPr>
        <w:t>, des transports ou des interventions d</w:t>
      </w:r>
      <w:r>
        <w:rPr>
          <w:color w:val="000000" w:themeColor="text1"/>
          <w:lang w:val="fr-FR"/>
        </w:rPr>
        <w:t>’</w:t>
      </w:r>
      <w:r w:rsidRPr="004C2A3C">
        <w:rPr>
          <w:color w:val="000000" w:themeColor="text1"/>
          <w:lang w:val="fr-FR"/>
        </w:rPr>
        <w:t>urgence, et être rapportées dans des études cliniques et épidémiologiques et dans des études de cas et des observations bien étayées (voir 1.1.2.5 c), 1.3.2.4.7 et 1.3.2.4.9). Bien que les données obtenues sur l</w:t>
      </w:r>
      <w:r>
        <w:rPr>
          <w:color w:val="000000" w:themeColor="text1"/>
          <w:lang w:val="fr-FR"/>
        </w:rPr>
        <w:t>’</w:t>
      </w:r>
      <w:r w:rsidRPr="004C2A3C">
        <w:rPr>
          <w:color w:val="000000" w:themeColor="text1"/>
          <w:lang w:val="fr-FR"/>
        </w:rPr>
        <w:t>homme provenant des bases de données sur les accidents ou de celles des centres antipoison puissent servir aux fins de la classification, l</w:t>
      </w:r>
      <w:r>
        <w:rPr>
          <w:color w:val="000000" w:themeColor="text1"/>
          <w:lang w:val="fr-FR"/>
        </w:rPr>
        <w:t>’</w:t>
      </w:r>
      <w:r w:rsidRPr="004C2A3C">
        <w:rPr>
          <w:color w:val="000000" w:themeColor="text1"/>
          <w:lang w:val="fr-FR"/>
        </w:rPr>
        <w:t>absence d</w:t>
      </w:r>
      <w:r>
        <w:rPr>
          <w:color w:val="000000" w:themeColor="text1"/>
          <w:lang w:val="fr-FR"/>
        </w:rPr>
        <w:t>’</w:t>
      </w:r>
      <w:r w:rsidRPr="004C2A3C">
        <w:rPr>
          <w:color w:val="000000" w:themeColor="text1"/>
          <w:lang w:val="fr-FR"/>
        </w:rPr>
        <w:t>incidents ne suffit pas à elle seule à justifier l</w:t>
      </w:r>
      <w:r>
        <w:rPr>
          <w:color w:val="000000" w:themeColor="text1"/>
          <w:lang w:val="fr-FR"/>
        </w:rPr>
        <w:t>’</w:t>
      </w:r>
      <w:r w:rsidRPr="004C2A3C">
        <w:rPr>
          <w:color w:val="000000" w:themeColor="text1"/>
          <w:lang w:val="fr-FR"/>
        </w:rPr>
        <w:t>absence de classification, étant donné que les expositions sont généralement inconnues ou incertaines.</w:t>
      </w:r>
    </w:p>
    <w:p w14:paraId="19746A27" w14:textId="77777777" w:rsidR="00EE41F8" w:rsidRPr="004C2A3C" w:rsidRDefault="00EE41F8" w:rsidP="00EE41F8">
      <w:pPr>
        <w:tabs>
          <w:tab w:val="left" w:pos="2268"/>
          <w:tab w:val="left" w:pos="3402"/>
        </w:tabs>
        <w:spacing w:after="120"/>
        <w:ind w:left="2268" w:right="1134"/>
        <w:jc w:val="both"/>
        <w:rPr>
          <w:b/>
          <w:bCs/>
          <w:i/>
          <w:iCs/>
          <w:color w:val="000000" w:themeColor="text1"/>
          <w:lang w:val="fr-FR"/>
        </w:rPr>
      </w:pPr>
      <w:r w:rsidRPr="004C2A3C">
        <w:rPr>
          <w:b/>
          <w:bCs/>
          <w:color w:val="000000" w:themeColor="text1"/>
          <w:lang w:val="fr-FR"/>
        </w:rPr>
        <w:t>3.3.2.2</w:t>
      </w:r>
      <w:r w:rsidRPr="004C2A3C">
        <w:rPr>
          <w:b/>
          <w:bCs/>
          <w:color w:val="000000" w:themeColor="text1"/>
          <w:lang w:val="fr-FR"/>
        </w:rPr>
        <w:tab/>
      </w:r>
      <w:r w:rsidRPr="004C2A3C">
        <w:rPr>
          <w:b/>
          <w:bCs/>
          <w:i/>
          <w:iCs/>
          <w:color w:val="000000" w:themeColor="text1"/>
          <w:lang w:val="fr-FR"/>
        </w:rPr>
        <w:t>Classification fondée sur les résultats d</w:t>
      </w:r>
      <w:r>
        <w:rPr>
          <w:b/>
          <w:bCs/>
          <w:i/>
          <w:iCs/>
          <w:color w:val="000000" w:themeColor="text1"/>
          <w:lang w:val="fr-FR"/>
        </w:rPr>
        <w:t>’</w:t>
      </w:r>
      <w:r w:rsidRPr="004C2A3C">
        <w:rPr>
          <w:b/>
          <w:bCs/>
          <w:i/>
          <w:iCs/>
          <w:color w:val="000000" w:themeColor="text1"/>
          <w:lang w:val="fr-FR"/>
        </w:rPr>
        <w:t>essais normalisés sur les animaux (étape 1 de la figure 3.3.1)</w:t>
      </w:r>
    </w:p>
    <w:p w14:paraId="22191058" w14:textId="77777777" w:rsidR="00EE41F8" w:rsidRPr="004C2A3C" w:rsidRDefault="00EE41F8" w:rsidP="00EE41F8">
      <w:pPr>
        <w:tabs>
          <w:tab w:val="left" w:pos="3402"/>
        </w:tabs>
        <w:spacing w:after="120"/>
        <w:ind w:left="2268" w:right="1134" w:firstLine="1134"/>
        <w:jc w:val="both"/>
        <w:rPr>
          <w:color w:val="000000" w:themeColor="text1"/>
          <w:lang w:val="fr-FR"/>
        </w:rPr>
      </w:pPr>
      <w:r w:rsidRPr="004C2A3C">
        <w:rPr>
          <w:color w:val="000000" w:themeColor="text1"/>
          <w:lang w:val="fr-FR"/>
        </w:rPr>
        <w:t>La ligne directrice 405 de l</w:t>
      </w:r>
      <w:r>
        <w:rPr>
          <w:color w:val="000000" w:themeColor="text1"/>
          <w:lang w:val="fr-FR"/>
        </w:rPr>
        <w:t>’</w:t>
      </w:r>
      <w:r w:rsidRPr="004C2A3C">
        <w:rPr>
          <w:color w:val="000000" w:themeColor="text1"/>
          <w:lang w:val="fr-FR"/>
        </w:rPr>
        <w:t>OCDE est la méthode d</w:t>
      </w:r>
      <w:r>
        <w:rPr>
          <w:color w:val="000000" w:themeColor="text1"/>
          <w:lang w:val="fr-FR"/>
        </w:rPr>
        <w:t>’</w:t>
      </w:r>
      <w:r w:rsidRPr="004C2A3C">
        <w:rPr>
          <w:color w:val="000000" w:themeColor="text1"/>
          <w:lang w:val="fr-FR"/>
        </w:rPr>
        <w:t xml:space="preserve">essai sur les animaux disponible actuellement et acceptée </w:t>
      </w:r>
      <w:proofErr w:type="gramStart"/>
      <w:r w:rsidRPr="004C2A3C">
        <w:rPr>
          <w:color w:val="000000" w:themeColor="text1"/>
          <w:lang w:val="fr-FR"/>
        </w:rPr>
        <w:t>au</w:t>
      </w:r>
      <w:proofErr w:type="gramEnd"/>
      <w:r w:rsidRPr="004C2A3C">
        <w:rPr>
          <w:color w:val="000000" w:themeColor="text1"/>
          <w:lang w:val="fr-FR"/>
        </w:rPr>
        <w:t xml:space="preserve"> plan international aux fins de la classification au titre des lésions oculaires graves ou une irritation oculaire (voir tableaux 3.3.1 et 3.3.2, respectivement) ; c</w:t>
      </w:r>
      <w:r>
        <w:rPr>
          <w:color w:val="000000" w:themeColor="text1"/>
          <w:lang w:val="fr-FR"/>
        </w:rPr>
        <w:t>’</w:t>
      </w:r>
      <w:r w:rsidRPr="004C2A3C">
        <w:rPr>
          <w:color w:val="000000" w:themeColor="text1"/>
          <w:lang w:val="fr-FR"/>
        </w:rPr>
        <w:t>est en outre l</w:t>
      </w:r>
      <w:r>
        <w:rPr>
          <w:color w:val="000000" w:themeColor="text1"/>
          <w:lang w:val="fr-FR"/>
        </w:rPr>
        <w:t>’</w:t>
      </w:r>
      <w:r w:rsidRPr="004C2A3C">
        <w:rPr>
          <w:color w:val="000000" w:themeColor="text1"/>
          <w:lang w:val="fr-FR"/>
        </w:rPr>
        <w:t>essai normalisé sur les animaux. Dans sa version actuelle, la ligne directrice 405 nécessite d</w:t>
      </w:r>
      <w:r>
        <w:rPr>
          <w:color w:val="000000" w:themeColor="text1"/>
          <w:lang w:val="fr-FR"/>
        </w:rPr>
        <w:t>’</w:t>
      </w:r>
      <w:r w:rsidRPr="004C2A3C">
        <w:rPr>
          <w:color w:val="000000" w:themeColor="text1"/>
          <w:lang w:val="fr-FR"/>
        </w:rPr>
        <w:t>utiliser au maximum trois animaux. Les résultats des études menées sur les animaux en application des précédentes versions de la ligne directrice 405, pour lesquelles on utilisait plus de trois animaux, sont également considérés comme des essais normalisés sur les animaux lorsqu</w:t>
      </w:r>
      <w:r>
        <w:rPr>
          <w:color w:val="000000" w:themeColor="text1"/>
          <w:lang w:val="fr-FR"/>
        </w:rPr>
        <w:t>’</w:t>
      </w:r>
      <w:r w:rsidRPr="004C2A3C">
        <w:rPr>
          <w:color w:val="000000" w:themeColor="text1"/>
          <w:lang w:val="fr-FR"/>
        </w:rPr>
        <w:t>ils sont interprétés conformément au 3.3.5.3.3. ».</w:t>
      </w:r>
    </w:p>
    <w:p w14:paraId="3694BFF5" w14:textId="77777777" w:rsidR="00EE41F8" w:rsidRPr="004C2A3C" w:rsidRDefault="00EE41F8" w:rsidP="00EE41F8">
      <w:pPr>
        <w:spacing w:after="120"/>
        <w:ind w:left="2268" w:right="1134" w:hanging="1134"/>
        <w:jc w:val="both"/>
        <w:rPr>
          <w:color w:val="000000" w:themeColor="text1"/>
          <w:lang w:val="fr-FR"/>
        </w:rPr>
      </w:pPr>
      <w:r w:rsidRPr="004C2A3C">
        <w:rPr>
          <w:color w:val="000000" w:themeColor="text1"/>
          <w:lang w:val="fr-FR"/>
        </w:rPr>
        <w:t>3.3.2.1.1 à 3.3.2.1.2.3</w:t>
      </w:r>
      <w:r w:rsidRPr="004C2A3C">
        <w:rPr>
          <w:color w:val="000000" w:themeColor="text1"/>
          <w:lang w:val="fr-FR"/>
        </w:rPr>
        <w:tab/>
        <w:t>Les paragraphes actuels 3.3.2.1.1 à 3.3.2.1.2.3 deviennent les nouveaux paragraphes 3.3.2.2.1 à 3.3.2.2.2.3.</w:t>
      </w:r>
    </w:p>
    <w:p w14:paraId="0394F87E" w14:textId="77777777" w:rsidR="00EE41F8" w:rsidRPr="004C2A3C" w:rsidRDefault="00EE41F8" w:rsidP="00EE41F8">
      <w:pPr>
        <w:spacing w:after="120"/>
        <w:ind w:left="2268" w:right="1134" w:hanging="1134"/>
        <w:jc w:val="both"/>
        <w:rPr>
          <w:color w:val="000000" w:themeColor="text1"/>
          <w:lang w:val="fr-FR"/>
        </w:rPr>
      </w:pPr>
      <w:r w:rsidRPr="004C2A3C">
        <w:rPr>
          <w:color w:val="000000" w:themeColor="text1"/>
          <w:spacing w:val="-2"/>
          <w:lang w:val="fr-FR"/>
        </w:rPr>
        <w:t>Tableau 3.3.1</w:t>
      </w:r>
      <w:r w:rsidRPr="004C2A3C">
        <w:rPr>
          <w:color w:val="000000" w:themeColor="text1"/>
          <w:lang w:val="fr-FR"/>
        </w:rPr>
        <w:tab/>
        <w:t xml:space="preserve">Supprimer la note « a ». Les notes « b » et « c » actuelles deviennent </w:t>
      </w:r>
      <w:proofErr w:type="gramStart"/>
      <w:r w:rsidRPr="004C2A3C">
        <w:rPr>
          <w:color w:val="000000" w:themeColor="text1"/>
          <w:lang w:val="fr-FR"/>
        </w:rPr>
        <w:t>« a »</w:t>
      </w:r>
      <w:proofErr w:type="gramEnd"/>
      <w:r w:rsidRPr="004C2A3C">
        <w:rPr>
          <w:color w:val="000000" w:themeColor="text1"/>
          <w:lang w:val="fr-FR"/>
        </w:rPr>
        <w:t xml:space="preserve"> et « b » respectivement.</w:t>
      </w:r>
    </w:p>
    <w:p w14:paraId="050DAF20" w14:textId="77777777" w:rsidR="00EE41F8" w:rsidRPr="004C2A3C" w:rsidRDefault="00EE41F8" w:rsidP="00EE41F8">
      <w:pPr>
        <w:spacing w:after="120"/>
        <w:ind w:left="2268" w:right="1134"/>
        <w:jc w:val="both"/>
        <w:rPr>
          <w:color w:val="000000" w:themeColor="text1"/>
          <w:lang w:val="fr-FR"/>
        </w:rPr>
      </w:pPr>
      <w:r w:rsidRPr="004C2A3C">
        <w:rPr>
          <w:color w:val="000000" w:themeColor="text1"/>
          <w:lang w:val="fr-FR"/>
        </w:rPr>
        <w:t>Dans la note « b », remplacer « 3.3.5.3 » par « 3.3.5.3.3 ».</w:t>
      </w:r>
    </w:p>
    <w:p w14:paraId="79041EAF" w14:textId="77777777" w:rsidR="00EE41F8" w:rsidRPr="004C2A3C" w:rsidRDefault="00EE41F8" w:rsidP="00EE41F8">
      <w:pPr>
        <w:tabs>
          <w:tab w:val="left" w:pos="2268"/>
        </w:tabs>
        <w:spacing w:after="120"/>
        <w:ind w:left="2268" w:right="1134" w:hanging="1134"/>
        <w:jc w:val="both"/>
        <w:rPr>
          <w:color w:val="000000" w:themeColor="text1"/>
          <w:lang w:val="fr-FR"/>
        </w:rPr>
      </w:pPr>
      <w:r w:rsidRPr="004C2A3C">
        <w:rPr>
          <w:color w:val="000000" w:themeColor="text1"/>
          <w:lang w:val="fr-FR"/>
        </w:rPr>
        <w:t>3.3.2.2.2.1 (nouveau, ancien 3.3.2.1.2.1)</w:t>
      </w:r>
      <w:r w:rsidRPr="004C2A3C">
        <w:rPr>
          <w:color w:val="000000" w:themeColor="text1"/>
          <w:lang w:val="fr-FR"/>
        </w:rPr>
        <w:tab/>
        <w:t>Dans la dernière phrase, remplacer « un produit chimique » par « une substance ».</w:t>
      </w:r>
    </w:p>
    <w:p w14:paraId="2E1A2B64" w14:textId="77777777" w:rsidR="00EE41F8" w:rsidRPr="004C2A3C" w:rsidRDefault="00EE41F8" w:rsidP="00EE41F8">
      <w:pPr>
        <w:tabs>
          <w:tab w:val="left" w:pos="2268"/>
        </w:tabs>
        <w:spacing w:after="120"/>
        <w:ind w:left="2268" w:right="1134" w:hanging="1134"/>
        <w:jc w:val="both"/>
        <w:rPr>
          <w:color w:val="000000" w:themeColor="text1"/>
          <w:lang w:val="fr-FR"/>
        </w:rPr>
      </w:pPr>
      <w:r w:rsidRPr="004C2A3C">
        <w:rPr>
          <w:color w:val="000000" w:themeColor="text1"/>
          <w:lang w:val="fr-FR"/>
        </w:rPr>
        <w:t>3.3.2.2.2.2 (nouveau, ancien 3.3.2.1.2.2)</w:t>
      </w:r>
      <w:r w:rsidRPr="004C2A3C">
        <w:rPr>
          <w:color w:val="000000" w:themeColor="text1"/>
          <w:lang w:val="fr-FR"/>
        </w:rPr>
        <w:tab/>
        <w:t>Remplacer « Catégories 2A et 2B » par « catégorie 2A et catégorie 2B ».</w:t>
      </w:r>
    </w:p>
    <w:p w14:paraId="3CFF7312" w14:textId="77777777" w:rsidR="00EE41F8" w:rsidRPr="004C2A3C" w:rsidRDefault="00EE41F8" w:rsidP="00EE41F8">
      <w:pPr>
        <w:spacing w:after="120"/>
        <w:ind w:left="2268" w:right="1134" w:hanging="1134"/>
        <w:jc w:val="both"/>
        <w:rPr>
          <w:color w:val="000000" w:themeColor="text1"/>
          <w:lang w:val="fr-FR"/>
        </w:rPr>
      </w:pPr>
      <w:r w:rsidRPr="004C2A3C">
        <w:rPr>
          <w:color w:val="000000" w:themeColor="text1"/>
          <w:spacing w:val="-2"/>
          <w:lang w:val="fr-FR"/>
        </w:rPr>
        <w:t>Tableau 3.3.2</w:t>
      </w:r>
      <w:r w:rsidRPr="004C2A3C">
        <w:rPr>
          <w:color w:val="000000" w:themeColor="text1"/>
          <w:lang w:val="fr-FR"/>
        </w:rPr>
        <w:tab/>
        <w:t xml:space="preserve">Supprimer la note « a ». Les notes « b » et « c » actuelles deviennent </w:t>
      </w:r>
      <w:proofErr w:type="gramStart"/>
      <w:r w:rsidRPr="004C2A3C">
        <w:rPr>
          <w:color w:val="000000" w:themeColor="text1"/>
          <w:lang w:val="fr-FR"/>
        </w:rPr>
        <w:t>« a »</w:t>
      </w:r>
      <w:proofErr w:type="gramEnd"/>
      <w:r w:rsidRPr="004C2A3C">
        <w:rPr>
          <w:color w:val="000000" w:themeColor="text1"/>
          <w:lang w:val="fr-FR"/>
        </w:rPr>
        <w:t xml:space="preserve"> et « b », respectivement.</w:t>
      </w:r>
    </w:p>
    <w:p w14:paraId="2EEE47EA" w14:textId="77777777" w:rsidR="00EE41F8" w:rsidRPr="004C2A3C" w:rsidRDefault="00EE41F8" w:rsidP="00EE41F8">
      <w:pPr>
        <w:spacing w:after="120"/>
        <w:ind w:left="2268" w:right="1134"/>
        <w:jc w:val="both"/>
        <w:rPr>
          <w:color w:val="000000" w:themeColor="text1"/>
          <w:lang w:val="fr-FR"/>
        </w:rPr>
      </w:pPr>
      <w:r w:rsidRPr="004C2A3C">
        <w:rPr>
          <w:color w:val="000000" w:themeColor="text1"/>
          <w:lang w:val="fr-FR"/>
        </w:rPr>
        <w:t>Dans la note « b », remplacer « 3.3.5.3 » par « 3.3.5.3.3 ».</w:t>
      </w:r>
    </w:p>
    <w:p w14:paraId="0649B5B3" w14:textId="77777777" w:rsidR="00EE41F8" w:rsidRPr="004C2A3C" w:rsidRDefault="00EE41F8" w:rsidP="00EE41F8">
      <w:pPr>
        <w:tabs>
          <w:tab w:val="left" w:pos="2268"/>
        </w:tabs>
        <w:spacing w:after="120"/>
        <w:ind w:left="2268" w:right="1134" w:hanging="1134"/>
        <w:jc w:val="both"/>
        <w:rPr>
          <w:color w:val="000000" w:themeColor="text1"/>
          <w:lang w:val="fr-FR"/>
        </w:rPr>
      </w:pPr>
      <w:r w:rsidRPr="004C2A3C">
        <w:rPr>
          <w:color w:val="000000" w:themeColor="text1"/>
          <w:lang w:val="fr-FR"/>
        </w:rPr>
        <w:t>3.3.2.2 et 3.3.2.2.1</w:t>
      </w:r>
      <w:r w:rsidRPr="004C2A3C">
        <w:rPr>
          <w:color w:val="000000" w:themeColor="text1"/>
          <w:lang w:val="fr-FR"/>
        </w:rPr>
        <w:tab/>
      </w:r>
      <w:r w:rsidRPr="004C2A3C">
        <w:rPr>
          <w:color w:val="000000" w:themeColor="text1"/>
          <w:lang w:val="fr-FR"/>
        </w:rPr>
        <w:tab/>
        <w:t>Les paragraphes 3.3.2.2 et 3.3.2.2.1 actuels deviennent les nouveaux paragraphes 3.3.2.10 et 3.3.2.10.1.</w:t>
      </w:r>
    </w:p>
    <w:p w14:paraId="54CC57C3" w14:textId="77777777" w:rsidR="00EE41F8" w:rsidRPr="004C2A3C" w:rsidRDefault="00EE41F8" w:rsidP="00EE41F8">
      <w:pPr>
        <w:spacing w:after="120"/>
        <w:ind w:left="2268" w:right="1134"/>
        <w:jc w:val="both"/>
        <w:rPr>
          <w:color w:val="000000" w:themeColor="text1"/>
          <w:lang w:val="fr-FR"/>
        </w:rPr>
      </w:pPr>
      <w:r w:rsidRPr="004C2A3C">
        <w:rPr>
          <w:color w:val="000000" w:themeColor="text1"/>
          <w:lang w:val="fr-FR"/>
        </w:rPr>
        <w:t>Supprimer les paragraphes 3.3.2.2.2, 3.3.2.2.3, 3.3.2.2.4, 3.3.2.2.5 et 3.3.2.2.6.</w:t>
      </w:r>
    </w:p>
    <w:p w14:paraId="3E4FB579" w14:textId="77777777" w:rsidR="00EE41F8" w:rsidRPr="004C2A3C" w:rsidRDefault="00EE41F8" w:rsidP="00EE41F8">
      <w:pPr>
        <w:spacing w:after="120"/>
        <w:ind w:left="2268" w:right="1134" w:hanging="1134"/>
        <w:jc w:val="both"/>
        <w:rPr>
          <w:color w:val="000000" w:themeColor="text1"/>
          <w:lang w:val="fr-FR"/>
        </w:rPr>
      </w:pPr>
      <w:r w:rsidRPr="004C2A3C">
        <w:rPr>
          <w:color w:val="000000" w:themeColor="text1"/>
          <w:lang w:val="fr-FR"/>
        </w:rPr>
        <w:t>3.3.2.3 à 3.3.2.9</w:t>
      </w:r>
      <w:r w:rsidRPr="004C2A3C">
        <w:rPr>
          <w:color w:val="000000" w:themeColor="text1"/>
          <w:lang w:val="fr-FR"/>
        </w:rPr>
        <w:tab/>
        <w:t>Ajouter les nouveaux paragraphes suivants (et les notes de bas de page 2 et 3 correspondantes) :</w:t>
      </w:r>
    </w:p>
    <w:p w14:paraId="12F1B070" w14:textId="77777777" w:rsidR="00EE41F8" w:rsidRPr="004C2A3C" w:rsidRDefault="00EE41F8" w:rsidP="00EE41F8">
      <w:pPr>
        <w:spacing w:after="120"/>
        <w:ind w:left="2268" w:right="1134"/>
        <w:jc w:val="both"/>
        <w:rPr>
          <w:b/>
          <w:i/>
          <w:color w:val="000000" w:themeColor="text1"/>
          <w:lang w:val="fr-FR"/>
        </w:rPr>
      </w:pPr>
      <w:r w:rsidRPr="004C2A3C">
        <w:rPr>
          <w:color w:val="000000" w:themeColor="text1"/>
        </w:rPr>
        <w:t>« </w:t>
      </w:r>
      <w:r w:rsidRPr="004C2A3C">
        <w:rPr>
          <w:b/>
          <w:bCs/>
          <w:color w:val="000000" w:themeColor="text1"/>
          <w:lang w:val="fr-FR"/>
        </w:rPr>
        <w:t>3.3.2.3</w:t>
      </w:r>
      <w:r w:rsidRPr="004C2A3C">
        <w:rPr>
          <w:color w:val="000000" w:themeColor="text1"/>
          <w:lang w:val="fr-FR"/>
        </w:rPr>
        <w:tab/>
      </w:r>
      <w:r w:rsidRPr="004C2A3C">
        <w:rPr>
          <w:b/>
          <w:bCs/>
          <w:i/>
          <w:iCs/>
          <w:color w:val="000000" w:themeColor="text1"/>
          <w:lang w:val="fr-FR"/>
        </w:rPr>
        <w:t>Classification fondée sur des méthodes définies (étape 2 de la figure 3.3.1)</w:t>
      </w:r>
    </w:p>
    <w:p w14:paraId="5D0A651E" w14:textId="77777777" w:rsidR="00EE41F8" w:rsidRPr="004C2A3C" w:rsidRDefault="00EE41F8" w:rsidP="00EE41F8">
      <w:pPr>
        <w:tabs>
          <w:tab w:val="left" w:pos="3402"/>
        </w:tabs>
        <w:spacing w:after="120"/>
        <w:ind w:left="2268" w:right="1134" w:firstLine="1134"/>
        <w:jc w:val="both"/>
        <w:rPr>
          <w:color w:val="000000" w:themeColor="text1"/>
          <w:lang w:val="fr-FR"/>
        </w:rPr>
      </w:pPr>
      <w:r w:rsidRPr="004C2A3C">
        <w:rPr>
          <w:color w:val="000000" w:themeColor="text1"/>
          <w:lang w:val="fr-FR"/>
        </w:rPr>
        <w:t>Les méthodes définies consistent à utiliser une combinaison, fondée sur des règles, de données obtenues à partir d</w:t>
      </w:r>
      <w:r>
        <w:rPr>
          <w:color w:val="000000" w:themeColor="text1"/>
          <w:lang w:val="fr-FR"/>
        </w:rPr>
        <w:t>’</w:t>
      </w:r>
      <w:r w:rsidRPr="004C2A3C">
        <w:rPr>
          <w:color w:val="000000" w:themeColor="text1"/>
          <w:lang w:val="fr-FR"/>
        </w:rPr>
        <w:t>un ensemble prédéfini de sources d</w:t>
      </w:r>
      <w:r>
        <w:rPr>
          <w:color w:val="000000" w:themeColor="text1"/>
          <w:lang w:val="fr-FR"/>
        </w:rPr>
        <w:t>’</w:t>
      </w:r>
      <w:r w:rsidRPr="004C2A3C">
        <w:rPr>
          <w:color w:val="000000" w:themeColor="text1"/>
          <w:lang w:val="fr-FR"/>
        </w:rPr>
        <w:t xml:space="preserve">information différentes (par exemple, méthodes </w:t>
      </w:r>
      <w:r w:rsidRPr="004C2A3C">
        <w:rPr>
          <w:i/>
          <w:iCs/>
          <w:color w:val="000000" w:themeColor="text1"/>
          <w:lang w:val="fr-FR"/>
        </w:rPr>
        <w:t>in vitro</w:t>
      </w:r>
      <w:r w:rsidRPr="004C2A3C">
        <w:rPr>
          <w:color w:val="000000" w:themeColor="text1"/>
          <w:lang w:val="fr-FR"/>
        </w:rPr>
        <w:t xml:space="preserve">, méthodes </w:t>
      </w:r>
      <w:r w:rsidRPr="004C2A3C">
        <w:rPr>
          <w:i/>
          <w:iCs/>
          <w:color w:val="000000" w:themeColor="text1"/>
          <w:lang w:val="fr-FR"/>
        </w:rPr>
        <w:t>ex vivo</w:t>
      </w:r>
      <w:r w:rsidRPr="004C2A3C">
        <w:rPr>
          <w:color w:val="000000" w:themeColor="text1"/>
          <w:lang w:val="fr-FR"/>
        </w:rPr>
        <w:t xml:space="preserve">, propriétés physico-chimiques ou méthodes non fondées sur des essais). Il est reconnu que la plupart des méthodes </w:t>
      </w:r>
      <w:r w:rsidRPr="004C2A3C">
        <w:rPr>
          <w:i/>
          <w:iCs/>
          <w:color w:val="000000" w:themeColor="text1"/>
          <w:lang w:val="fr-FR"/>
        </w:rPr>
        <w:t>in vitro</w:t>
      </w:r>
      <w:r w:rsidRPr="004C2A3C">
        <w:rPr>
          <w:iCs/>
          <w:color w:val="000000" w:themeColor="text1"/>
          <w:lang w:val="fr-FR"/>
        </w:rPr>
        <w:t>/</w:t>
      </w:r>
      <w:r w:rsidRPr="004C2A3C">
        <w:rPr>
          <w:i/>
          <w:iCs/>
          <w:color w:val="000000" w:themeColor="text1"/>
          <w:lang w:val="fr-FR"/>
        </w:rPr>
        <w:t>ex vivo</w:t>
      </w:r>
      <w:r w:rsidRPr="004C2A3C">
        <w:rPr>
          <w:color w:val="000000" w:themeColor="text1"/>
          <w:lang w:val="fr-FR"/>
        </w:rPr>
        <w:t xml:space="preserve"> appliquées séparément ne sont pas en mesure de remplacer entièrement les méthodes </w:t>
      </w:r>
      <w:r w:rsidRPr="004C2A3C">
        <w:rPr>
          <w:i/>
          <w:iCs/>
          <w:color w:val="000000" w:themeColor="text1"/>
          <w:lang w:val="fr-FR"/>
        </w:rPr>
        <w:t>in vivo</w:t>
      </w:r>
      <w:r w:rsidRPr="004C2A3C">
        <w:rPr>
          <w:color w:val="000000" w:themeColor="text1"/>
          <w:lang w:val="fr-FR"/>
        </w:rPr>
        <w:t xml:space="preserve"> pour la plupart des critères terminaux d</w:t>
      </w:r>
      <w:r>
        <w:rPr>
          <w:color w:val="000000" w:themeColor="text1"/>
          <w:lang w:val="fr-FR"/>
        </w:rPr>
        <w:t>’</w:t>
      </w:r>
      <w:r w:rsidRPr="004C2A3C">
        <w:rPr>
          <w:color w:val="000000" w:themeColor="text1"/>
          <w:lang w:val="fr-FR"/>
        </w:rPr>
        <w:t>évaluation prévus par les réglementations. Dans ce contexte, les méthodes définies peuvent avantageusement servir à combiner des données pour la classification des substances et des mélanges. Les résultats obtenus avec une méthode définie validée selon des procédures internationales, telles qu</w:t>
      </w:r>
      <w:r>
        <w:rPr>
          <w:color w:val="000000" w:themeColor="text1"/>
          <w:lang w:val="fr-FR"/>
        </w:rPr>
        <w:t>’</w:t>
      </w:r>
      <w:r w:rsidRPr="004C2A3C">
        <w:rPr>
          <w:color w:val="000000" w:themeColor="text1"/>
          <w:lang w:val="fr-FR"/>
        </w:rPr>
        <w:t>une ligne directrice de l</w:t>
      </w:r>
      <w:r>
        <w:rPr>
          <w:color w:val="000000" w:themeColor="text1"/>
          <w:lang w:val="fr-FR"/>
        </w:rPr>
        <w:t>’</w:t>
      </w:r>
      <w:r w:rsidRPr="004C2A3C">
        <w:rPr>
          <w:color w:val="000000" w:themeColor="text1"/>
          <w:lang w:val="fr-FR"/>
        </w:rPr>
        <w:t>OCDE sur une méthode définie ou une méthode équivalente, sont concluants pour la classification des lésions oculaires graves/de l</w:t>
      </w:r>
      <w:r>
        <w:rPr>
          <w:color w:val="000000" w:themeColor="text1"/>
          <w:lang w:val="fr-FR"/>
        </w:rPr>
        <w:t>’</w:t>
      </w:r>
      <w:r w:rsidRPr="004C2A3C">
        <w:rPr>
          <w:color w:val="000000" w:themeColor="text1"/>
          <w:lang w:val="fr-FR"/>
        </w:rPr>
        <w:t>irritation oculaire si les critères</w:t>
      </w:r>
      <w:r w:rsidRPr="004C2A3C">
        <w:rPr>
          <w:i/>
          <w:iCs/>
          <w:color w:val="000000" w:themeColor="text1"/>
          <w:lang w:val="fr-FR"/>
        </w:rPr>
        <w:t xml:space="preserve"> </w:t>
      </w:r>
      <w:r w:rsidRPr="004C2A3C">
        <w:rPr>
          <w:color w:val="000000" w:themeColor="text1"/>
          <w:lang w:val="fr-FR"/>
        </w:rPr>
        <w:t>de la méthode définie sont satisfaits</w:t>
      </w:r>
      <w:r w:rsidRPr="004C2A3C">
        <w:rPr>
          <w:i/>
          <w:iCs/>
          <w:color w:val="000000" w:themeColor="text1"/>
          <w:lang w:val="fr-FR"/>
        </w:rPr>
        <w:t xml:space="preserve"> </w:t>
      </w:r>
      <w:r w:rsidRPr="004C2A3C">
        <w:rPr>
          <w:color w:val="000000" w:themeColor="text1"/>
          <w:lang w:val="fr-FR"/>
        </w:rPr>
        <w:t>(voir 3.3.5.3.4)</w:t>
      </w:r>
      <w:r w:rsidRPr="004C2A3C">
        <w:rPr>
          <w:color w:val="000000" w:themeColor="text1"/>
          <w:sz w:val="18"/>
          <w:szCs w:val="18"/>
          <w:vertAlign w:val="superscript"/>
          <w:lang w:val="fr-FR"/>
        </w:rPr>
        <w:t>2</w:t>
      </w:r>
      <w:r w:rsidRPr="004C2A3C">
        <w:rPr>
          <w:color w:val="000000" w:themeColor="text1"/>
          <w:lang w:val="fr-FR"/>
        </w:rPr>
        <w:t>. Les données obtenues au moyen d</w:t>
      </w:r>
      <w:r>
        <w:rPr>
          <w:color w:val="000000" w:themeColor="text1"/>
          <w:lang w:val="fr-FR"/>
        </w:rPr>
        <w:t>’</w:t>
      </w:r>
      <w:r w:rsidRPr="004C2A3C">
        <w:rPr>
          <w:color w:val="000000" w:themeColor="text1"/>
          <w:lang w:val="fr-FR"/>
        </w:rPr>
        <w:t>une méthode définie ne peuvent être utilisées à des fins de classement que lorsque la substance soumise à l</w:t>
      </w:r>
      <w:r>
        <w:rPr>
          <w:color w:val="000000" w:themeColor="text1"/>
          <w:lang w:val="fr-FR"/>
        </w:rPr>
        <w:t>’</w:t>
      </w:r>
      <w:r w:rsidRPr="004C2A3C">
        <w:rPr>
          <w:color w:val="000000" w:themeColor="text1"/>
          <w:lang w:val="fr-FR"/>
        </w:rPr>
        <w:t>essai relève du domaine d</w:t>
      </w:r>
      <w:r>
        <w:rPr>
          <w:color w:val="000000" w:themeColor="text1"/>
          <w:lang w:val="fr-FR"/>
        </w:rPr>
        <w:t>’</w:t>
      </w:r>
      <w:r w:rsidRPr="004C2A3C">
        <w:rPr>
          <w:color w:val="000000" w:themeColor="text1"/>
          <w:lang w:val="fr-FR"/>
        </w:rPr>
        <w:t>application de ladite méthode définie. Les limites supplémentaires décrites dans les documents publiés sur la question doivent également être prises en compte.</w:t>
      </w:r>
    </w:p>
    <w:p w14:paraId="72D62515" w14:textId="77777777" w:rsidR="00EE41F8" w:rsidRPr="004C2A3C" w:rsidRDefault="00EE41F8" w:rsidP="00EE41F8">
      <w:pPr>
        <w:tabs>
          <w:tab w:val="left" w:pos="2268"/>
          <w:tab w:val="left" w:pos="3402"/>
        </w:tabs>
        <w:spacing w:after="120"/>
        <w:ind w:left="2268" w:right="1134"/>
        <w:jc w:val="both"/>
        <w:rPr>
          <w:b/>
          <w:bCs/>
          <w:i/>
          <w:iCs/>
          <w:color w:val="000000" w:themeColor="text1"/>
          <w:lang w:val="fr-FR"/>
        </w:rPr>
      </w:pPr>
      <w:r w:rsidRPr="004C2A3C">
        <w:rPr>
          <w:b/>
          <w:bCs/>
          <w:color w:val="000000" w:themeColor="text1"/>
          <w:lang w:val="fr-FR"/>
        </w:rPr>
        <w:t>3.3.2.4</w:t>
      </w:r>
      <w:r w:rsidRPr="004C2A3C">
        <w:rPr>
          <w:b/>
          <w:bCs/>
          <w:color w:val="000000" w:themeColor="text1"/>
          <w:lang w:val="fr-FR"/>
        </w:rPr>
        <w:tab/>
      </w:r>
      <w:r w:rsidRPr="004C2A3C">
        <w:rPr>
          <w:b/>
          <w:bCs/>
          <w:i/>
          <w:iCs/>
          <w:color w:val="000000" w:themeColor="text1"/>
          <w:lang w:val="fr-FR"/>
        </w:rPr>
        <w:t>Classification fondée sur des données in vitro/ex vivo (étape 2 de la figure 3.3.1)</w:t>
      </w:r>
    </w:p>
    <w:p w14:paraId="1C599A21" w14:textId="77777777" w:rsidR="00EE41F8" w:rsidRPr="004C2A3C" w:rsidRDefault="00EE41F8" w:rsidP="00EE41F8">
      <w:pPr>
        <w:tabs>
          <w:tab w:val="left" w:pos="2268"/>
          <w:tab w:val="left" w:pos="3402"/>
        </w:tabs>
        <w:spacing w:after="120"/>
        <w:ind w:left="2268" w:right="1134"/>
        <w:jc w:val="both"/>
        <w:rPr>
          <w:color w:val="000000" w:themeColor="text1"/>
          <w:lang w:val="fr-FR"/>
        </w:rPr>
      </w:pPr>
      <w:r w:rsidRPr="004C2A3C">
        <w:rPr>
          <w:color w:val="000000" w:themeColor="text1"/>
          <w:spacing w:val="-2"/>
          <w:lang w:val="fr-FR"/>
        </w:rPr>
        <w:t>3.3.2.4.1</w:t>
      </w:r>
      <w:r w:rsidRPr="004C2A3C">
        <w:rPr>
          <w:color w:val="000000" w:themeColor="text1"/>
          <w:spacing w:val="-2"/>
          <w:lang w:val="fr-FR"/>
        </w:rPr>
        <w:tab/>
        <w:t>Les critères de classification des</w:t>
      </w:r>
      <w:r w:rsidRPr="004C2A3C">
        <w:rPr>
          <w:i/>
          <w:iCs/>
          <w:color w:val="000000" w:themeColor="text1"/>
          <w:spacing w:val="-2"/>
          <w:lang w:val="fr-FR"/>
        </w:rPr>
        <w:t xml:space="preserve"> </w:t>
      </w:r>
      <w:r w:rsidRPr="004C2A3C">
        <w:rPr>
          <w:color w:val="000000" w:themeColor="text1"/>
          <w:spacing w:val="-2"/>
          <w:lang w:val="fr-FR"/>
        </w:rPr>
        <w:t>méthodes d</w:t>
      </w:r>
      <w:r>
        <w:rPr>
          <w:color w:val="000000" w:themeColor="text1"/>
          <w:spacing w:val="-2"/>
          <w:lang w:val="fr-FR"/>
        </w:rPr>
        <w:t>’</w:t>
      </w:r>
      <w:r w:rsidRPr="004C2A3C">
        <w:rPr>
          <w:color w:val="000000" w:themeColor="text1"/>
          <w:spacing w:val="-2"/>
          <w:lang w:val="fr-FR"/>
        </w:rPr>
        <w:t>essai</w:t>
      </w:r>
      <w:r w:rsidRPr="004C2A3C">
        <w:rPr>
          <w:i/>
          <w:iCs/>
          <w:color w:val="000000" w:themeColor="text1"/>
          <w:spacing w:val="-2"/>
          <w:lang w:val="fr-FR"/>
        </w:rPr>
        <w:t xml:space="preserve"> in vitro</w:t>
      </w:r>
      <w:r w:rsidRPr="004C2A3C">
        <w:rPr>
          <w:iCs/>
          <w:color w:val="000000" w:themeColor="text1"/>
          <w:spacing w:val="-2"/>
          <w:lang w:val="fr-FR"/>
        </w:rPr>
        <w:t>/</w:t>
      </w:r>
      <w:r w:rsidRPr="004C2A3C">
        <w:rPr>
          <w:i/>
          <w:iCs/>
          <w:color w:val="000000" w:themeColor="text1"/>
          <w:spacing w:val="-2"/>
          <w:lang w:val="fr-FR"/>
        </w:rPr>
        <w:t xml:space="preserve">ex vivo </w:t>
      </w:r>
      <w:r w:rsidRPr="004C2A3C">
        <w:rPr>
          <w:color w:val="000000" w:themeColor="text1"/>
          <w:spacing w:val="-2"/>
          <w:lang w:val="fr-FR"/>
        </w:rPr>
        <w:t>actuellement disponibles, adoptés par l</w:t>
      </w:r>
      <w:r>
        <w:rPr>
          <w:color w:val="000000" w:themeColor="text1"/>
          <w:spacing w:val="-2"/>
          <w:lang w:val="fr-FR"/>
        </w:rPr>
        <w:t>’</w:t>
      </w:r>
      <w:r w:rsidRPr="004C2A3C">
        <w:rPr>
          <w:color w:val="000000" w:themeColor="text1"/>
          <w:spacing w:val="-2"/>
          <w:lang w:val="fr-FR"/>
        </w:rPr>
        <w:t xml:space="preserve">OCDE dans les lignes directrices 437, 438, 460, 491, 492, 494 et 496, sont décrits dans le tableau 3.3.6 (voir 3.3.5.3.5.1). Considérées individuellement, ces lignes directrices pour les essais </w:t>
      </w:r>
      <w:r w:rsidRPr="004C2A3C">
        <w:rPr>
          <w:i/>
          <w:iCs/>
          <w:color w:val="000000" w:themeColor="text1"/>
          <w:spacing w:val="-2"/>
          <w:lang w:val="fr-FR"/>
        </w:rPr>
        <w:t>in vitro</w:t>
      </w:r>
      <w:r w:rsidRPr="004C2A3C">
        <w:rPr>
          <w:iCs/>
          <w:color w:val="000000" w:themeColor="text1"/>
          <w:spacing w:val="-2"/>
          <w:lang w:val="fr-FR"/>
        </w:rPr>
        <w:t>/</w:t>
      </w:r>
      <w:r w:rsidRPr="004C2A3C">
        <w:rPr>
          <w:i/>
          <w:iCs/>
          <w:color w:val="000000" w:themeColor="text1"/>
          <w:spacing w:val="-2"/>
          <w:lang w:val="fr-FR"/>
        </w:rPr>
        <w:t>ex vivo</w:t>
      </w:r>
      <w:r w:rsidRPr="004C2A3C">
        <w:rPr>
          <w:color w:val="000000" w:themeColor="text1"/>
          <w:spacing w:val="-2"/>
          <w:lang w:val="fr-FR"/>
        </w:rPr>
        <w:t xml:space="preserve"> traitent des lésions oculaires graves ou de l</w:t>
      </w:r>
      <w:r>
        <w:rPr>
          <w:color w:val="000000" w:themeColor="text1"/>
          <w:spacing w:val="-2"/>
          <w:lang w:val="fr-FR"/>
        </w:rPr>
        <w:t>’</w:t>
      </w:r>
      <w:r w:rsidRPr="004C2A3C">
        <w:rPr>
          <w:color w:val="000000" w:themeColor="text1"/>
          <w:spacing w:val="-2"/>
          <w:lang w:val="fr-FR"/>
        </w:rPr>
        <w:t>absence de classification concernant le danger pour l</w:t>
      </w:r>
      <w:r>
        <w:rPr>
          <w:color w:val="000000" w:themeColor="text1"/>
          <w:spacing w:val="-2"/>
          <w:lang w:val="fr-FR"/>
        </w:rPr>
        <w:t>’</w:t>
      </w:r>
      <w:r w:rsidRPr="004C2A3C">
        <w:rPr>
          <w:color w:val="000000" w:themeColor="text1"/>
          <w:spacing w:val="-2"/>
          <w:lang w:val="fr-FR"/>
        </w:rPr>
        <w:t>œil, mais ne traitent pas de l</w:t>
      </w:r>
      <w:r>
        <w:rPr>
          <w:color w:val="000000" w:themeColor="text1"/>
          <w:spacing w:val="-2"/>
          <w:lang w:val="fr-FR"/>
        </w:rPr>
        <w:t>’</w:t>
      </w:r>
      <w:r w:rsidRPr="004C2A3C">
        <w:rPr>
          <w:color w:val="000000" w:themeColor="text1"/>
          <w:spacing w:val="-2"/>
          <w:lang w:val="fr-FR"/>
        </w:rPr>
        <w:t>irritation oculaire. Par conséquent, les données provenant d</w:t>
      </w:r>
      <w:r>
        <w:rPr>
          <w:color w:val="000000" w:themeColor="text1"/>
          <w:spacing w:val="-2"/>
          <w:lang w:val="fr-FR"/>
        </w:rPr>
        <w:t>’</w:t>
      </w:r>
      <w:r w:rsidRPr="004C2A3C">
        <w:rPr>
          <w:color w:val="000000" w:themeColor="text1"/>
          <w:spacing w:val="-2"/>
          <w:lang w:val="fr-FR"/>
        </w:rPr>
        <w:t>un essai conforme à une ligne directrice de l</w:t>
      </w:r>
      <w:r>
        <w:rPr>
          <w:color w:val="000000" w:themeColor="text1"/>
          <w:spacing w:val="-2"/>
          <w:lang w:val="fr-FR"/>
        </w:rPr>
        <w:t>’</w:t>
      </w:r>
      <w:r w:rsidRPr="004C2A3C">
        <w:rPr>
          <w:color w:val="000000" w:themeColor="text1"/>
          <w:spacing w:val="-2"/>
          <w:lang w:val="fr-FR"/>
        </w:rPr>
        <w:t>OCDE pour les essais</w:t>
      </w:r>
      <w:r w:rsidRPr="004C2A3C">
        <w:rPr>
          <w:i/>
          <w:iCs/>
          <w:color w:val="000000" w:themeColor="text1"/>
          <w:spacing w:val="-2"/>
          <w:lang w:val="fr-FR"/>
        </w:rPr>
        <w:t xml:space="preserve"> in vitro</w:t>
      </w:r>
      <w:r w:rsidRPr="004C2A3C">
        <w:rPr>
          <w:iCs/>
          <w:color w:val="000000" w:themeColor="text1"/>
          <w:spacing w:val="-2"/>
          <w:lang w:val="fr-FR"/>
        </w:rPr>
        <w:t>/</w:t>
      </w:r>
      <w:r w:rsidRPr="004C2A3C">
        <w:rPr>
          <w:i/>
          <w:iCs/>
          <w:color w:val="000000" w:themeColor="text1"/>
          <w:spacing w:val="-2"/>
          <w:lang w:val="fr-FR"/>
        </w:rPr>
        <w:t>ex vivo</w:t>
      </w:r>
      <w:r w:rsidRPr="004C2A3C">
        <w:rPr>
          <w:color w:val="000000" w:themeColor="text1"/>
          <w:spacing w:val="-2"/>
          <w:lang w:val="fr-FR"/>
        </w:rPr>
        <w:t xml:space="preserve"> prise individuellement peuvent être utilisées uniquement pour conclure à une classification dans la catégorie 1 ou à l</w:t>
      </w:r>
      <w:r>
        <w:rPr>
          <w:color w:val="000000" w:themeColor="text1"/>
          <w:spacing w:val="-2"/>
          <w:lang w:val="fr-FR"/>
        </w:rPr>
        <w:t>’</w:t>
      </w:r>
      <w:r w:rsidRPr="004C2A3C">
        <w:rPr>
          <w:color w:val="000000" w:themeColor="text1"/>
          <w:spacing w:val="-2"/>
          <w:lang w:val="fr-FR"/>
        </w:rPr>
        <w:t>absence de classification, et ne peuvent être utilisées pour conclure à une classification dans la catégorie 2.</w:t>
      </w:r>
      <w:r w:rsidRPr="004C2A3C">
        <w:rPr>
          <w:color w:val="000000" w:themeColor="text1"/>
          <w:lang w:val="fr-FR"/>
        </w:rPr>
        <w:t xml:space="preserve"> Lorsque le résultat obtenu au moyen d</w:t>
      </w:r>
      <w:r>
        <w:rPr>
          <w:color w:val="000000" w:themeColor="text1"/>
          <w:lang w:val="fr-FR"/>
        </w:rPr>
        <w:t>’</w:t>
      </w:r>
      <w:r w:rsidRPr="004C2A3C">
        <w:rPr>
          <w:color w:val="000000" w:themeColor="text1"/>
          <w:lang w:val="fr-FR"/>
        </w:rPr>
        <w:t xml:space="preserve">une méthode </w:t>
      </w:r>
      <w:r w:rsidRPr="004C2A3C">
        <w:rPr>
          <w:i/>
          <w:iCs/>
          <w:color w:val="000000" w:themeColor="text1"/>
          <w:lang w:val="fr-FR"/>
        </w:rPr>
        <w:t>in vitro</w:t>
      </w:r>
      <w:r w:rsidRPr="004C2A3C">
        <w:rPr>
          <w:iCs/>
          <w:color w:val="000000" w:themeColor="text1"/>
          <w:lang w:val="fr-FR"/>
        </w:rPr>
        <w:t>/</w:t>
      </w:r>
      <w:r w:rsidRPr="004C2A3C">
        <w:rPr>
          <w:i/>
          <w:iCs/>
          <w:color w:val="000000" w:themeColor="text1"/>
          <w:lang w:val="fr-FR"/>
        </w:rPr>
        <w:t>ex vivo</w:t>
      </w:r>
      <w:r w:rsidRPr="004C2A3C">
        <w:rPr>
          <w:color w:val="000000" w:themeColor="text1"/>
          <w:lang w:val="fr-FR"/>
        </w:rPr>
        <w:t xml:space="preserve"> appliquée individuellement est « qu</w:t>
      </w:r>
      <w:r>
        <w:rPr>
          <w:color w:val="000000" w:themeColor="text1"/>
          <w:lang w:val="fr-FR"/>
        </w:rPr>
        <w:t>’</w:t>
      </w:r>
      <w:r w:rsidRPr="004C2A3C">
        <w:rPr>
          <w:color w:val="000000" w:themeColor="text1"/>
          <w:lang w:val="fr-FR"/>
        </w:rPr>
        <w:t>aucune prédiction ne peut être faite sur la base de ce seul essai » (voir par exemple le tableau 3.3.6), une conclusion ne peut être tirée sur la base de ce seul résultat et des données supplémentaires sont donc nécessaires pour effectuer la classification (voir 3.3.5.3.4.3 et 3.3.5.3.4.4).</w:t>
      </w:r>
    </w:p>
    <w:p w14:paraId="347AB570" w14:textId="77777777" w:rsidR="00EE41F8" w:rsidRPr="004C2A3C" w:rsidRDefault="00EE41F8" w:rsidP="00EE41F8">
      <w:pPr>
        <w:spacing w:after="120"/>
        <w:ind w:left="2268" w:right="1134"/>
        <w:jc w:val="both"/>
        <w:rPr>
          <w:color w:val="000000" w:themeColor="text1"/>
          <w:lang w:val="fr-FR"/>
        </w:rPr>
      </w:pPr>
      <w:r w:rsidRPr="004C2A3C">
        <w:rPr>
          <w:color w:val="000000" w:themeColor="text1"/>
          <w:lang w:val="fr-FR"/>
        </w:rPr>
        <w:t>3.3.2.4.2</w:t>
      </w:r>
      <w:r w:rsidRPr="004C2A3C">
        <w:rPr>
          <w:color w:val="000000" w:themeColor="text1"/>
          <w:lang w:val="fr-FR"/>
        </w:rPr>
        <w:tab/>
        <w:t>D</w:t>
      </w:r>
      <w:r>
        <w:rPr>
          <w:color w:val="000000" w:themeColor="text1"/>
          <w:lang w:val="fr-FR"/>
        </w:rPr>
        <w:t>’</w:t>
      </w:r>
      <w:r w:rsidRPr="004C2A3C">
        <w:rPr>
          <w:color w:val="000000" w:themeColor="text1"/>
          <w:lang w:val="fr-FR"/>
        </w:rPr>
        <w:t>autres méthodes d</w:t>
      </w:r>
      <w:r>
        <w:rPr>
          <w:color w:val="000000" w:themeColor="text1"/>
          <w:lang w:val="fr-FR"/>
        </w:rPr>
        <w:t>’</w:t>
      </w:r>
      <w:r w:rsidRPr="004C2A3C">
        <w:rPr>
          <w:color w:val="000000" w:themeColor="text1"/>
          <w:lang w:val="fr-FR"/>
        </w:rPr>
        <w:t xml:space="preserve">essai </w:t>
      </w:r>
      <w:r w:rsidRPr="004C2A3C">
        <w:rPr>
          <w:i/>
          <w:iCs/>
          <w:color w:val="000000" w:themeColor="text1"/>
          <w:lang w:val="fr-FR"/>
        </w:rPr>
        <w:t>in vitro</w:t>
      </w:r>
      <w:r w:rsidRPr="004C2A3C">
        <w:rPr>
          <w:iCs/>
          <w:color w:val="000000" w:themeColor="text1"/>
          <w:lang w:val="fr-FR"/>
        </w:rPr>
        <w:t>/</w:t>
      </w:r>
      <w:r w:rsidRPr="004C2A3C">
        <w:rPr>
          <w:i/>
          <w:iCs/>
          <w:color w:val="000000" w:themeColor="text1"/>
          <w:lang w:val="fr-FR"/>
        </w:rPr>
        <w:t>ex vivo</w:t>
      </w:r>
      <w:r w:rsidRPr="004C2A3C">
        <w:rPr>
          <w:color w:val="000000" w:themeColor="text1"/>
          <w:lang w:val="fr-FR"/>
        </w:rPr>
        <w:t xml:space="preserve"> validées et acceptées par certaines autorités compétentes sont décrites au 3.3.5.3.5.2. Certaines de ces méthodes peuvent être utiles pour effectuer une classification dans la catégorie 2. Une autorité compétente peut décider quels critères de classification doivent éventuellement être appliqués à ces méthodes d</w:t>
      </w:r>
      <w:r>
        <w:rPr>
          <w:color w:val="000000" w:themeColor="text1"/>
          <w:lang w:val="fr-FR"/>
        </w:rPr>
        <w:t>’</w:t>
      </w:r>
      <w:r w:rsidRPr="004C2A3C">
        <w:rPr>
          <w:color w:val="000000" w:themeColor="text1"/>
          <w:lang w:val="fr-FR"/>
        </w:rPr>
        <w:t>essai pour conclure à la classification ou l</w:t>
      </w:r>
      <w:r>
        <w:rPr>
          <w:color w:val="000000" w:themeColor="text1"/>
          <w:lang w:val="fr-FR"/>
        </w:rPr>
        <w:t>’</w:t>
      </w:r>
      <w:r w:rsidRPr="004C2A3C">
        <w:rPr>
          <w:color w:val="000000" w:themeColor="text1"/>
          <w:lang w:val="fr-FR"/>
        </w:rPr>
        <w:t>absence de classification d</w:t>
      </w:r>
      <w:r>
        <w:rPr>
          <w:color w:val="000000" w:themeColor="text1"/>
          <w:lang w:val="fr-FR"/>
        </w:rPr>
        <w:t>’</w:t>
      </w:r>
      <w:r w:rsidRPr="004C2A3C">
        <w:rPr>
          <w:color w:val="000000" w:themeColor="text1"/>
          <w:lang w:val="fr-FR"/>
        </w:rPr>
        <w:t>une substance pour ses effets sur l</w:t>
      </w:r>
      <w:r>
        <w:rPr>
          <w:color w:val="000000" w:themeColor="text1"/>
          <w:lang w:val="fr-FR"/>
        </w:rPr>
        <w:t>’</w:t>
      </w:r>
      <w:r w:rsidRPr="004C2A3C">
        <w:rPr>
          <w:color w:val="000000" w:themeColor="text1"/>
          <w:lang w:val="fr-FR"/>
        </w:rPr>
        <w:t>œil.</w:t>
      </w:r>
    </w:p>
    <w:p w14:paraId="628F4E2C" w14:textId="77777777" w:rsidR="00EE41F8" w:rsidRPr="004C2A3C" w:rsidRDefault="00EE41F8" w:rsidP="00EE41F8">
      <w:pPr>
        <w:spacing w:after="120"/>
        <w:ind w:left="2268" w:right="1134"/>
        <w:jc w:val="both"/>
        <w:rPr>
          <w:color w:val="000000" w:themeColor="text1"/>
          <w:lang w:val="fr-FR"/>
        </w:rPr>
      </w:pPr>
      <w:r w:rsidRPr="004C2A3C">
        <w:rPr>
          <w:color w:val="000000" w:themeColor="text1"/>
          <w:lang w:val="fr-FR"/>
        </w:rPr>
        <w:t>3.3.2.4.3</w:t>
      </w:r>
      <w:r w:rsidRPr="004C2A3C">
        <w:rPr>
          <w:color w:val="000000" w:themeColor="text1"/>
          <w:lang w:val="fr-FR"/>
        </w:rPr>
        <w:tab/>
        <w:t xml:space="preserve">Les données </w:t>
      </w:r>
      <w:r w:rsidRPr="004C2A3C">
        <w:rPr>
          <w:i/>
          <w:iCs/>
          <w:color w:val="000000" w:themeColor="text1"/>
          <w:lang w:val="fr-FR"/>
        </w:rPr>
        <w:t>in vitro</w:t>
      </w:r>
      <w:r w:rsidRPr="004C2A3C">
        <w:rPr>
          <w:iCs/>
          <w:color w:val="000000" w:themeColor="text1"/>
          <w:lang w:val="fr-FR"/>
        </w:rPr>
        <w:t>/</w:t>
      </w:r>
      <w:r w:rsidRPr="004C2A3C">
        <w:rPr>
          <w:i/>
          <w:iCs/>
          <w:color w:val="000000" w:themeColor="text1"/>
          <w:lang w:val="fr-FR"/>
        </w:rPr>
        <w:t>ex vivo</w:t>
      </w:r>
      <w:r w:rsidRPr="004C2A3C">
        <w:rPr>
          <w:color w:val="000000" w:themeColor="text1"/>
          <w:lang w:val="fr-FR"/>
        </w:rPr>
        <w:t xml:space="preserve"> ne peuvent être utilisées à des fins de classement que lorsque la substance soumise à l</w:t>
      </w:r>
      <w:r>
        <w:rPr>
          <w:color w:val="000000" w:themeColor="text1"/>
          <w:lang w:val="fr-FR"/>
        </w:rPr>
        <w:t>’</w:t>
      </w:r>
      <w:r w:rsidRPr="004C2A3C">
        <w:rPr>
          <w:color w:val="000000" w:themeColor="text1"/>
          <w:lang w:val="fr-FR"/>
        </w:rPr>
        <w:t>essai relève du domaine d</w:t>
      </w:r>
      <w:r>
        <w:rPr>
          <w:color w:val="000000" w:themeColor="text1"/>
          <w:lang w:val="fr-FR"/>
        </w:rPr>
        <w:t>’</w:t>
      </w:r>
      <w:r w:rsidRPr="004C2A3C">
        <w:rPr>
          <w:color w:val="000000" w:themeColor="text1"/>
          <w:lang w:val="fr-FR"/>
        </w:rPr>
        <w:t>application de la (des) méthode(s) d</w:t>
      </w:r>
      <w:r>
        <w:rPr>
          <w:color w:val="000000" w:themeColor="text1"/>
          <w:lang w:val="fr-FR"/>
        </w:rPr>
        <w:t>’</w:t>
      </w:r>
      <w:r w:rsidRPr="004C2A3C">
        <w:rPr>
          <w:color w:val="000000" w:themeColor="text1"/>
          <w:lang w:val="fr-FR"/>
        </w:rPr>
        <w:t>essai utilisée(s). Les limites supplémentaires décrites dans les documents publiés sur la question doivent également être prises en compte.</w:t>
      </w:r>
    </w:p>
    <w:p w14:paraId="2EB6C893" w14:textId="77777777" w:rsidR="00EE41F8" w:rsidRPr="004C2A3C" w:rsidRDefault="00EE41F8" w:rsidP="00EE41F8">
      <w:pPr>
        <w:spacing w:after="120"/>
        <w:ind w:left="2268" w:right="1134"/>
        <w:jc w:val="both"/>
        <w:rPr>
          <w:i/>
          <w:iCs/>
          <w:color w:val="000000" w:themeColor="text1"/>
          <w:lang w:val="fr-FR"/>
        </w:rPr>
      </w:pPr>
      <w:r w:rsidRPr="004C2A3C">
        <w:rPr>
          <w:color w:val="000000" w:themeColor="text1"/>
          <w:lang w:val="fr-FR"/>
        </w:rPr>
        <w:t>3.3.2.4.4</w:t>
      </w:r>
      <w:r w:rsidRPr="004C2A3C">
        <w:rPr>
          <w:i/>
          <w:iCs/>
          <w:color w:val="000000" w:themeColor="text1"/>
          <w:lang w:val="fr-FR"/>
        </w:rPr>
        <w:tab/>
        <w:t xml:space="preserve">Lésions oculaires graves (catégorie </w:t>
      </w:r>
      <w:proofErr w:type="gramStart"/>
      <w:r w:rsidRPr="004C2A3C">
        <w:rPr>
          <w:i/>
          <w:iCs/>
          <w:color w:val="000000" w:themeColor="text1"/>
          <w:lang w:val="fr-FR"/>
        </w:rPr>
        <w:t>1)/</w:t>
      </w:r>
      <w:proofErr w:type="gramEnd"/>
      <w:r w:rsidRPr="004C2A3C">
        <w:rPr>
          <w:i/>
          <w:iCs/>
          <w:color w:val="000000" w:themeColor="text1"/>
          <w:lang w:val="fr-FR"/>
        </w:rPr>
        <w:t>Effets irréversibles sur les yeux</w:t>
      </w:r>
    </w:p>
    <w:p w14:paraId="35397A08" w14:textId="77777777" w:rsidR="00EE41F8" w:rsidRPr="004C2A3C" w:rsidRDefault="00EE41F8" w:rsidP="00EE41F8">
      <w:pPr>
        <w:spacing w:after="120"/>
        <w:ind w:left="2268" w:right="1134"/>
        <w:jc w:val="both"/>
        <w:rPr>
          <w:color w:val="000000" w:themeColor="text1"/>
          <w:lang w:val="fr-FR"/>
        </w:rPr>
      </w:pPr>
      <w:r w:rsidRPr="004C2A3C">
        <w:rPr>
          <w:color w:val="000000" w:themeColor="text1"/>
          <w:lang w:val="fr-FR"/>
        </w:rPr>
        <w:t>3.3.2.4.4.1</w:t>
      </w:r>
      <w:r w:rsidRPr="004C2A3C">
        <w:rPr>
          <w:color w:val="000000" w:themeColor="text1"/>
          <w:lang w:val="fr-FR"/>
        </w:rPr>
        <w:tab/>
        <w:t>Lorsque des essais ont été menés conformément aux lignes directrices 437, 438, 460, 491 ou 496 de l</w:t>
      </w:r>
      <w:r>
        <w:rPr>
          <w:color w:val="000000" w:themeColor="text1"/>
          <w:lang w:val="fr-FR"/>
        </w:rPr>
        <w:t>’</w:t>
      </w:r>
      <w:r w:rsidRPr="004C2A3C">
        <w:rPr>
          <w:color w:val="000000" w:themeColor="text1"/>
          <w:lang w:val="fr-FR"/>
        </w:rPr>
        <w:t>OCDE, une substance est classée pour les lésions oculaires graves dans la catégorie 1 sur la base des critères indiqués dans le tableau 3.3.6. (</w:t>
      </w:r>
      <w:proofErr w:type="gramStart"/>
      <w:r w:rsidRPr="004C2A3C">
        <w:rPr>
          <w:color w:val="000000" w:themeColor="text1"/>
          <w:lang w:val="fr-FR"/>
        </w:rPr>
        <w:t>voir</w:t>
      </w:r>
      <w:proofErr w:type="gramEnd"/>
      <w:r w:rsidRPr="004C2A3C">
        <w:rPr>
          <w:color w:val="000000" w:themeColor="text1"/>
          <w:lang w:val="fr-FR"/>
        </w:rPr>
        <w:t xml:space="preserve"> 3.3.5.3.5.1).</w:t>
      </w:r>
    </w:p>
    <w:p w14:paraId="790B5B72" w14:textId="77777777" w:rsidR="00EE41F8" w:rsidRPr="004C2A3C" w:rsidRDefault="00EE41F8" w:rsidP="00EE41F8">
      <w:pPr>
        <w:spacing w:after="120"/>
        <w:ind w:left="2268" w:right="1134"/>
        <w:jc w:val="both"/>
        <w:rPr>
          <w:color w:val="000000" w:themeColor="text1"/>
          <w:lang w:val="fr-FR"/>
        </w:rPr>
      </w:pPr>
      <w:r w:rsidRPr="004C2A3C">
        <w:rPr>
          <w:color w:val="000000" w:themeColor="text1"/>
          <w:lang w:val="fr-FR"/>
        </w:rPr>
        <w:t>3.3.2.4.4.2</w:t>
      </w:r>
      <w:r w:rsidRPr="004C2A3C">
        <w:rPr>
          <w:color w:val="000000" w:themeColor="text1"/>
          <w:lang w:val="fr-FR"/>
        </w:rPr>
        <w:tab/>
        <w:t>Bien que les lignes directrices de l</w:t>
      </w:r>
      <w:r>
        <w:rPr>
          <w:color w:val="000000" w:themeColor="text1"/>
          <w:lang w:val="fr-FR"/>
        </w:rPr>
        <w:t>’</w:t>
      </w:r>
      <w:r w:rsidRPr="004C2A3C">
        <w:rPr>
          <w:color w:val="000000" w:themeColor="text1"/>
          <w:lang w:val="fr-FR"/>
        </w:rPr>
        <w:t xml:space="preserve">OCDE pour les essais </w:t>
      </w:r>
      <w:r w:rsidRPr="004C2A3C">
        <w:rPr>
          <w:i/>
          <w:iCs/>
          <w:color w:val="000000" w:themeColor="text1"/>
          <w:lang w:val="fr-FR"/>
        </w:rPr>
        <w:t>in vitro</w:t>
      </w:r>
      <w:r w:rsidRPr="004C2A3C">
        <w:rPr>
          <w:iCs/>
          <w:color w:val="000000" w:themeColor="text1"/>
          <w:lang w:val="fr-FR"/>
        </w:rPr>
        <w:t>/</w:t>
      </w:r>
      <w:r w:rsidRPr="004C2A3C">
        <w:rPr>
          <w:i/>
          <w:iCs/>
          <w:color w:val="000000" w:themeColor="text1"/>
          <w:lang w:val="fr-FR"/>
        </w:rPr>
        <w:t>ex vivo</w:t>
      </w:r>
      <w:r w:rsidRPr="004C2A3C">
        <w:rPr>
          <w:color w:val="000000" w:themeColor="text1"/>
          <w:lang w:val="fr-FR"/>
        </w:rPr>
        <w:t xml:space="preserve"> et les méthodes équivalentes actuellement disponibles n</w:t>
      </w:r>
      <w:r>
        <w:rPr>
          <w:color w:val="000000" w:themeColor="text1"/>
          <w:lang w:val="fr-FR"/>
        </w:rPr>
        <w:t>’</w:t>
      </w:r>
      <w:r w:rsidRPr="004C2A3C">
        <w:rPr>
          <w:color w:val="000000" w:themeColor="text1"/>
          <w:lang w:val="fr-FR"/>
        </w:rPr>
        <w:t>aient pas été conçues pour mettre en évidence les substances induisant une décoloration de l</w:t>
      </w:r>
      <w:r>
        <w:rPr>
          <w:color w:val="000000" w:themeColor="text1"/>
          <w:lang w:val="fr-FR"/>
        </w:rPr>
        <w:t>’</w:t>
      </w:r>
      <w:r w:rsidRPr="004C2A3C">
        <w:rPr>
          <w:color w:val="000000" w:themeColor="text1"/>
          <w:lang w:val="fr-FR"/>
        </w:rPr>
        <w:t>œil, certains effets comparables peuvent néanmoins être observés au moyen de ces essais. Par conséquent, lorsque, après lavage, une décoloration de la cornée ou des cellules soumises à l</w:t>
      </w:r>
      <w:r>
        <w:rPr>
          <w:color w:val="000000" w:themeColor="text1"/>
          <w:lang w:val="fr-FR"/>
        </w:rPr>
        <w:t>’</w:t>
      </w:r>
      <w:r w:rsidRPr="004C2A3C">
        <w:rPr>
          <w:color w:val="000000" w:themeColor="text1"/>
          <w:lang w:val="fr-FR"/>
        </w:rPr>
        <w:t>essai par rapport au témoin est observée au moyen d</w:t>
      </w:r>
      <w:r>
        <w:rPr>
          <w:color w:val="000000" w:themeColor="text1"/>
          <w:lang w:val="fr-FR"/>
        </w:rPr>
        <w:t>’</w:t>
      </w:r>
      <w:r w:rsidRPr="004C2A3C">
        <w:rPr>
          <w:color w:val="000000" w:themeColor="text1"/>
          <w:lang w:val="fr-FR"/>
        </w:rPr>
        <w:t>une méthode conforme aux lignes directrices 437, 438, 492 ou 494 de l</w:t>
      </w:r>
      <w:r>
        <w:rPr>
          <w:color w:val="000000" w:themeColor="text1"/>
          <w:lang w:val="fr-FR"/>
        </w:rPr>
        <w:t>’</w:t>
      </w:r>
      <w:r w:rsidRPr="004C2A3C">
        <w:rPr>
          <w:color w:val="000000" w:themeColor="text1"/>
          <w:lang w:val="fr-FR"/>
        </w:rPr>
        <w:t>OCDE, ou d</w:t>
      </w:r>
      <w:r>
        <w:rPr>
          <w:color w:val="000000" w:themeColor="text1"/>
          <w:lang w:val="fr-FR"/>
        </w:rPr>
        <w:t>’</w:t>
      </w:r>
      <w:r w:rsidRPr="004C2A3C">
        <w:rPr>
          <w:color w:val="000000" w:themeColor="text1"/>
          <w:lang w:val="fr-FR"/>
        </w:rPr>
        <w:t>autres méthodes équivalentes, indiquant que l</w:t>
      </w:r>
      <w:r>
        <w:rPr>
          <w:color w:val="000000" w:themeColor="text1"/>
          <w:lang w:val="fr-FR"/>
        </w:rPr>
        <w:t>’</w:t>
      </w:r>
      <w:r w:rsidRPr="004C2A3C">
        <w:rPr>
          <w:color w:val="000000" w:themeColor="text1"/>
          <w:lang w:val="fr-FR"/>
        </w:rPr>
        <w:t>effet observé est permanent, une autorité compétente peut exiger la classification d</w:t>
      </w:r>
      <w:r>
        <w:rPr>
          <w:color w:val="000000" w:themeColor="text1"/>
          <w:lang w:val="fr-FR"/>
        </w:rPr>
        <w:t>’</w:t>
      </w:r>
      <w:r w:rsidRPr="004C2A3C">
        <w:rPr>
          <w:color w:val="000000" w:themeColor="text1"/>
          <w:lang w:val="fr-FR"/>
        </w:rPr>
        <w:t>une substance pour les lésions oculaires graves dans la catégorie 1.</w:t>
      </w:r>
    </w:p>
    <w:p w14:paraId="43C01CC0" w14:textId="77777777" w:rsidR="00EE41F8" w:rsidRPr="004C2A3C" w:rsidRDefault="00EE41F8" w:rsidP="00EE41F8">
      <w:pPr>
        <w:spacing w:after="120"/>
        <w:ind w:left="2268" w:right="1134"/>
        <w:jc w:val="both"/>
        <w:rPr>
          <w:color w:val="000000" w:themeColor="text1"/>
          <w:lang w:val="fr-FR"/>
        </w:rPr>
      </w:pPr>
      <w:r w:rsidRPr="004C2A3C">
        <w:rPr>
          <w:color w:val="000000" w:themeColor="text1"/>
          <w:lang w:val="fr-FR"/>
        </w:rPr>
        <w:t>3.3.2.4.5</w:t>
      </w:r>
      <w:r w:rsidRPr="004C2A3C">
        <w:rPr>
          <w:color w:val="000000" w:themeColor="text1"/>
          <w:lang w:val="fr-FR"/>
        </w:rPr>
        <w:tab/>
      </w:r>
      <w:r w:rsidRPr="004C2A3C">
        <w:rPr>
          <w:i/>
          <w:iCs/>
          <w:color w:val="000000" w:themeColor="text1"/>
          <w:lang w:val="fr-FR"/>
        </w:rPr>
        <w:t xml:space="preserve">Irritation oculaire (catégorie </w:t>
      </w:r>
      <w:proofErr w:type="gramStart"/>
      <w:r w:rsidRPr="004C2A3C">
        <w:rPr>
          <w:i/>
          <w:iCs/>
          <w:color w:val="000000" w:themeColor="text1"/>
          <w:lang w:val="fr-FR"/>
        </w:rPr>
        <w:t>2)/</w:t>
      </w:r>
      <w:proofErr w:type="gramEnd"/>
      <w:r w:rsidRPr="004C2A3C">
        <w:rPr>
          <w:i/>
          <w:iCs/>
          <w:color w:val="000000" w:themeColor="text1"/>
          <w:lang w:val="fr-FR"/>
        </w:rPr>
        <w:t>Effets réversibles sur les yeux</w:t>
      </w:r>
    </w:p>
    <w:p w14:paraId="3C1BC0CD" w14:textId="62294CA3" w:rsidR="00EE41F8" w:rsidRPr="004C2A3C" w:rsidRDefault="00EE41F8" w:rsidP="00EE41F8">
      <w:pPr>
        <w:spacing w:after="120"/>
        <w:ind w:left="2268" w:right="1134"/>
        <w:jc w:val="both"/>
        <w:rPr>
          <w:color w:val="000000" w:themeColor="text1"/>
          <w:lang w:val="fr-FR"/>
        </w:rPr>
      </w:pPr>
      <w:bookmarkStart w:id="3" w:name="_Hlk25673670"/>
      <w:r w:rsidRPr="004C2A3C">
        <w:rPr>
          <w:color w:val="000000" w:themeColor="text1"/>
          <w:lang w:val="fr-FR"/>
        </w:rPr>
        <w:t>3.3.2.4.5.1</w:t>
      </w:r>
      <w:r w:rsidRPr="004C2A3C">
        <w:rPr>
          <w:color w:val="000000" w:themeColor="text1"/>
          <w:lang w:val="fr-FR"/>
        </w:rPr>
        <w:tab/>
        <w:t>Des résultats positifs obtenus au moyen d</w:t>
      </w:r>
      <w:r>
        <w:rPr>
          <w:color w:val="000000" w:themeColor="text1"/>
          <w:lang w:val="fr-FR"/>
        </w:rPr>
        <w:t>’</w:t>
      </w:r>
      <w:r w:rsidRPr="004C2A3C">
        <w:rPr>
          <w:color w:val="000000" w:themeColor="text1"/>
          <w:lang w:val="fr-FR"/>
        </w:rPr>
        <w:t>une méthode d</w:t>
      </w:r>
      <w:r>
        <w:rPr>
          <w:color w:val="000000" w:themeColor="text1"/>
          <w:lang w:val="fr-FR"/>
        </w:rPr>
        <w:t>’</w:t>
      </w:r>
      <w:r w:rsidRPr="004C2A3C">
        <w:rPr>
          <w:color w:val="000000" w:themeColor="text1"/>
          <w:lang w:val="fr-FR"/>
        </w:rPr>
        <w:t xml:space="preserve">essai </w:t>
      </w:r>
      <w:r w:rsidRPr="004C2A3C">
        <w:rPr>
          <w:i/>
          <w:iCs/>
          <w:color w:val="000000" w:themeColor="text1"/>
          <w:lang w:val="fr-FR"/>
        </w:rPr>
        <w:t>in vitro</w:t>
      </w:r>
      <w:r w:rsidRPr="004C2A3C">
        <w:rPr>
          <w:iCs/>
          <w:color w:val="000000" w:themeColor="text1"/>
          <w:lang w:val="fr-FR"/>
        </w:rPr>
        <w:t>/</w:t>
      </w:r>
      <w:r w:rsidRPr="004C2A3C">
        <w:rPr>
          <w:i/>
          <w:iCs/>
          <w:color w:val="000000" w:themeColor="text1"/>
          <w:lang w:val="fr-FR"/>
        </w:rPr>
        <w:t>ex vivo</w:t>
      </w:r>
      <w:r w:rsidRPr="004C2A3C">
        <w:rPr>
          <w:color w:val="000000" w:themeColor="text1"/>
          <w:lang w:val="fr-FR"/>
        </w:rPr>
        <w:t xml:space="preserve"> validée selon des procédures internationales pour le recensement des substances induisant une irritation oculaire peuvent être utilisés pour classer une substance dans la </w:t>
      </w:r>
      <w:r w:rsidR="00C32514">
        <w:rPr>
          <w:color w:val="000000" w:themeColor="text1"/>
          <w:lang w:val="fr-FR"/>
        </w:rPr>
        <w:t>c</w:t>
      </w:r>
      <w:r w:rsidRPr="004C2A3C">
        <w:rPr>
          <w:color w:val="000000" w:themeColor="text1"/>
          <w:lang w:val="fr-FR"/>
        </w:rPr>
        <w:t>atégorie 2/2A</w:t>
      </w:r>
      <w:r w:rsidRPr="004C2A3C">
        <w:rPr>
          <w:color w:val="000000" w:themeColor="text1"/>
          <w:sz w:val="18"/>
          <w:szCs w:val="18"/>
          <w:vertAlign w:val="superscript"/>
          <w:lang w:val="fr-FR"/>
        </w:rPr>
        <w:t>3</w:t>
      </w:r>
      <w:r w:rsidRPr="004C2A3C">
        <w:rPr>
          <w:color w:val="000000" w:themeColor="text1"/>
          <w:lang w:val="fr-FR"/>
        </w:rPr>
        <w:t>.</w:t>
      </w:r>
      <w:bookmarkEnd w:id="3"/>
    </w:p>
    <w:p w14:paraId="0FC04427" w14:textId="4621E56F" w:rsidR="00EE41F8" w:rsidRPr="004C2A3C" w:rsidRDefault="00EE41F8" w:rsidP="00EE41F8">
      <w:pPr>
        <w:spacing w:after="120"/>
        <w:ind w:left="2268" w:right="1134"/>
        <w:jc w:val="both"/>
        <w:rPr>
          <w:color w:val="000000" w:themeColor="text1"/>
          <w:lang w:val="fr-FR"/>
        </w:rPr>
      </w:pPr>
      <w:r w:rsidRPr="004C2A3C">
        <w:rPr>
          <w:color w:val="000000" w:themeColor="text1"/>
          <w:lang w:val="fr-FR"/>
        </w:rPr>
        <w:t>3.3.2.4.5.2</w:t>
      </w:r>
      <w:r w:rsidRPr="004C2A3C">
        <w:rPr>
          <w:color w:val="000000" w:themeColor="text1"/>
          <w:lang w:val="fr-FR"/>
        </w:rPr>
        <w:tab/>
        <w:t>Si les autorités compétentes optent pour la catégorie 2A ou la catégorie 2B, il est important de noter que les méthodes d</w:t>
      </w:r>
      <w:r>
        <w:rPr>
          <w:color w:val="000000" w:themeColor="text1"/>
          <w:lang w:val="fr-FR"/>
        </w:rPr>
        <w:t>’</w:t>
      </w:r>
      <w:r w:rsidRPr="004C2A3C">
        <w:rPr>
          <w:color w:val="000000" w:themeColor="text1"/>
          <w:lang w:val="fr-FR"/>
        </w:rPr>
        <w:t xml:space="preserve">essai </w:t>
      </w:r>
      <w:r w:rsidRPr="004C2A3C">
        <w:rPr>
          <w:i/>
          <w:iCs/>
          <w:color w:val="000000" w:themeColor="text1"/>
          <w:lang w:val="fr-FR"/>
        </w:rPr>
        <w:t>in vitro</w:t>
      </w:r>
      <w:r w:rsidRPr="004C2A3C">
        <w:rPr>
          <w:iCs/>
          <w:color w:val="000000" w:themeColor="text1"/>
          <w:lang w:val="fr-FR"/>
        </w:rPr>
        <w:t>/</w:t>
      </w:r>
      <w:r w:rsidRPr="004C2A3C">
        <w:rPr>
          <w:i/>
          <w:iCs/>
          <w:color w:val="000000" w:themeColor="text1"/>
          <w:lang w:val="fr-FR"/>
        </w:rPr>
        <w:t>ex vivo</w:t>
      </w:r>
      <w:r w:rsidRPr="004C2A3C">
        <w:rPr>
          <w:color w:val="000000" w:themeColor="text1"/>
          <w:lang w:val="fr-FR"/>
        </w:rPr>
        <w:t xml:space="preserve"> actuellement validées pour les effets sur l</w:t>
      </w:r>
      <w:r>
        <w:rPr>
          <w:color w:val="000000" w:themeColor="text1"/>
          <w:lang w:val="fr-FR"/>
        </w:rPr>
        <w:t>’</w:t>
      </w:r>
      <w:r w:rsidRPr="004C2A3C">
        <w:rPr>
          <w:color w:val="000000" w:themeColor="text1"/>
          <w:lang w:val="fr-FR"/>
        </w:rPr>
        <w:t xml:space="preserve">œil ne permettent pas de faire la distinction entre ces deux catégories. Dans ce cas, si les critères de classification dans la </w:t>
      </w:r>
      <w:r w:rsidR="00C32514">
        <w:rPr>
          <w:color w:val="000000" w:themeColor="text1"/>
          <w:lang w:val="fr-FR"/>
        </w:rPr>
        <w:t>c</w:t>
      </w:r>
      <w:r w:rsidRPr="004C2A3C">
        <w:rPr>
          <w:color w:val="000000" w:themeColor="text1"/>
          <w:lang w:val="fr-FR"/>
        </w:rPr>
        <w:t>atégorie 2 ont été considérés comme satisfaits et si aucune autre information pertinente n</w:t>
      </w:r>
      <w:r>
        <w:rPr>
          <w:color w:val="000000" w:themeColor="text1"/>
          <w:lang w:val="fr-FR"/>
        </w:rPr>
        <w:t>’</w:t>
      </w:r>
      <w:r w:rsidRPr="004C2A3C">
        <w:rPr>
          <w:color w:val="000000" w:themeColor="text1"/>
          <w:lang w:val="fr-FR"/>
        </w:rPr>
        <w:t>est disponible, la classification doit se faire dans la catégorie 2/2A.</w:t>
      </w:r>
    </w:p>
    <w:p w14:paraId="5E03512D" w14:textId="77777777" w:rsidR="00EE41F8" w:rsidRPr="004C2A3C" w:rsidRDefault="00EE41F8" w:rsidP="00EE41F8">
      <w:pPr>
        <w:spacing w:after="120"/>
        <w:ind w:left="2268" w:right="1134"/>
        <w:jc w:val="both"/>
        <w:rPr>
          <w:color w:val="000000" w:themeColor="text1"/>
          <w:lang w:val="fr-FR"/>
        </w:rPr>
      </w:pPr>
      <w:r w:rsidRPr="004C2A3C">
        <w:rPr>
          <w:color w:val="000000" w:themeColor="text1"/>
          <w:lang w:val="fr-FR"/>
        </w:rPr>
        <w:t>3.3.2.4.6</w:t>
      </w:r>
      <w:r w:rsidRPr="004C2A3C">
        <w:rPr>
          <w:color w:val="000000" w:themeColor="text1"/>
          <w:lang w:val="fr-FR"/>
        </w:rPr>
        <w:tab/>
      </w:r>
      <w:r w:rsidRPr="004C2A3C">
        <w:rPr>
          <w:i/>
          <w:iCs/>
          <w:color w:val="000000" w:themeColor="text1"/>
          <w:lang w:val="fr-FR"/>
        </w:rPr>
        <w:t>Pas de classification pour les effets sur l</w:t>
      </w:r>
      <w:r>
        <w:rPr>
          <w:i/>
          <w:iCs/>
          <w:color w:val="000000" w:themeColor="text1"/>
          <w:lang w:val="fr-FR"/>
        </w:rPr>
        <w:t>’</w:t>
      </w:r>
      <w:r w:rsidRPr="004C2A3C">
        <w:rPr>
          <w:i/>
          <w:iCs/>
          <w:color w:val="000000" w:themeColor="text1"/>
          <w:lang w:val="fr-FR"/>
        </w:rPr>
        <w:t>œil</w:t>
      </w:r>
    </w:p>
    <w:p w14:paraId="404E105A" w14:textId="77777777" w:rsidR="00EE41F8" w:rsidRPr="004C2A3C" w:rsidRDefault="00EE41F8" w:rsidP="00EE41F8">
      <w:pPr>
        <w:tabs>
          <w:tab w:val="left" w:pos="3402"/>
        </w:tabs>
        <w:spacing w:after="120"/>
        <w:ind w:left="2268" w:right="1134" w:firstLine="1134"/>
        <w:jc w:val="both"/>
        <w:rPr>
          <w:color w:val="000000" w:themeColor="text1"/>
          <w:lang w:val="fr-FR"/>
        </w:rPr>
      </w:pPr>
      <w:r w:rsidRPr="004C2A3C">
        <w:rPr>
          <w:color w:val="000000" w:themeColor="text1"/>
          <w:lang w:val="fr-FR"/>
        </w:rPr>
        <w:t>Les lignes directrices 437, 438, 491, 492, 494 et 496 de l</w:t>
      </w:r>
      <w:r>
        <w:rPr>
          <w:color w:val="000000" w:themeColor="text1"/>
          <w:lang w:val="fr-FR"/>
        </w:rPr>
        <w:t>’</w:t>
      </w:r>
      <w:r w:rsidRPr="004C2A3C">
        <w:rPr>
          <w:color w:val="000000" w:themeColor="text1"/>
          <w:lang w:val="fr-FR"/>
        </w:rPr>
        <w:t>OCDE (voir tableau 3.3.6 dans le 3.3.5.3.5.1) peuvent être utilisées pour conclure à l</w:t>
      </w:r>
      <w:r>
        <w:rPr>
          <w:color w:val="000000" w:themeColor="text1"/>
          <w:lang w:val="fr-FR"/>
        </w:rPr>
        <w:t>’</w:t>
      </w:r>
      <w:r w:rsidRPr="004C2A3C">
        <w:rPr>
          <w:color w:val="000000" w:themeColor="text1"/>
          <w:lang w:val="fr-FR"/>
        </w:rPr>
        <w:t>absence de classification d</w:t>
      </w:r>
      <w:r>
        <w:rPr>
          <w:color w:val="000000" w:themeColor="text1"/>
          <w:lang w:val="fr-FR"/>
        </w:rPr>
        <w:t>’</w:t>
      </w:r>
      <w:r w:rsidRPr="004C2A3C">
        <w:rPr>
          <w:color w:val="000000" w:themeColor="text1"/>
          <w:lang w:val="fr-FR"/>
        </w:rPr>
        <w:t>une substance pour ses effets sur l</w:t>
      </w:r>
      <w:r>
        <w:rPr>
          <w:color w:val="000000" w:themeColor="text1"/>
          <w:lang w:val="fr-FR"/>
        </w:rPr>
        <w:t>’</w:t>
      </w:r>
      <w:r w:rsidRPr="004C2A3C">
        <w:rPr>
          <w:color w:val="000000" w:themeColor="text1"/>
          <w:lang w:val="fr-FR"/>
        </w:rPr>
        <w:t>œil.</w:t>
      </w:r>
    </w:p>
    <w:p w14:paraId="0DD620D8" w14:textId="77777777" w:rsidR="00EE41F8" w:rsidRPr="004C2A3C" w:rsidRDefault="00EE41F8" w:rsidP="00EE41F8">
      <w:pPr>
        <w:tabs>
          <w:tab w:val="left" w:pos="3402"/>
        </w:tabs>
        <w:spacing w:after="120"/>
        <w:ind w:left="2268" w:right="1134"/>
        <w:jc w:val="both"/>
        <w:rPr>
          <w:b/>
          <w:bCs/>
          <w:i/>
          <w:iCs/>
          <w:color w:val="000000" w:themeColor="text1"/>
          <w:lang w:val="fr-FR"/>
        </w:rPr>
      </w:pPr>
      <w:r w:rsidRPr="004C2A3C">
        <w:rPr>
          <w:b/>
          <w:bCs/>
          <w:color w:val="000000" w:themeColor="text1"/>
          <w:lang w:val="fr-FR"/>
        </w:rPr>
        <w:t>3.3.2.5</w:t>
      </w:r>
      <w:r w:rsidRPr="004C2A3C">
        <w:rPr>
          <w:b/>
          <w:bCs/>
          <w:color w:val="000000" w:themeColor="text1"/>
          <w:lang w:val="fr-FR"/>
        </w:rPr>
        <w:tab/>
      </w:r>
      <w:r w:rsidRPr="004C2A3C">
        <w:rPr>
          <w:b/>
          <w:bCs/>
          <w:i/>
          <w:iCs/>
          <w:color w:val="000000" w:themeColor="text1"/>
          <w:lang w:val="fr-FR"/>
        </w:rPr>
        <w:t>Classification fondée sur des données obtenues sur l</w:t>
      </w:r>
      <w:r>
        <w:rPr>
          <w:b/>
          <w:bCs/>
          <w:i/>
          <w:iCs/>
          <w:color w:val="000000" w:themeColor="text1"/>
          <w:lang w:val="fr-FR"/>
        </w:rPr>
        <w:t>’</w:t>
      </w:r>
      <w:r w:rsidRPr="004C2A3C">
        <w:rPr>
          <w:b/>
          <w:bCs/>
          <w:i/>
          <w:iCs/>
          <w:color w:val="000000" w:themeColor="text1"/>
          <w:lang w:val="fr-FR"/>
        </w:rPr>
        <w:t xml:space="preserve">homme, des données normalisées sur animaux ou des données </w:t>
      </w:r>
      <w:r w:rsidRPr="00433765">
        <w:rPr>
          <w:b/>
          <w:bCs/>
          <w:i/>
          <w:iCs/>
          <w:color w:val="000000" w:themeColor="text1"/>
          <w:lang w:val="fr-FR"/>
        </w:rPr>
        <w:t>in vitro/ex vivo</w:t>
      </w:r>
      <w:r w:rsidRPr="004C2A3C">
        <w:rPr>
          <w:b/>
          <w:bCs/>
          <w:i/>
          <w:iCs/>
          <w:color w:val="000000" w:themeColor="text1"/>
          <w:lang w:val="fr-FR"/>
        </w:rPr>
        <w:t xml:space="preserve"> concluantes pour la corrosion cutanée (étape 3 de la figure 3.3.1)</w:t>
      </w:r>
    </w:p>
    <w:p w14:paraId="6AB6B145" w14:textId="77777777" w:rsidR="00EE41F8" w:rsidRPr="004C2A3C" w:rsidRDefault="00EE41F8" w:rsidP="00EE41F8">
      <w:pPr>
        <w:tabs>
          <w:tab w:val="left" w:pos="3402"/>
        </w:tabs>
        <w:spacing w:after="120"/>
        <w:ind w:left="2268" w:right="1134" w:firstLine="1134"/>
        <w:jc w:val="both"/>
        <w:rPr>
          <w:color w:val="000000" w:themeColor="text1"/>
          <w:lang w:val="fr-FR"/>
        </w:rPr>
      </w:pPr>
      <w:r w:rsidRPr="004C2A3C">
        <w:rPr>
          <w:color w:val="000000" w:themeColor="text1"/>
          <w:lang w:val="fr-FR"/>
        </w:rPr>
        <w:t>Les substances classées comme corrosives pour la peau (catégorie 1 cutanée) sur la base de données obtenues sur l</w:t>
      </w:r>
      <w:r>
        <w:rPr>
          <w:color w:val="000000" w:themeColor="text1"/>
          <w:lang w:val="fr-FR"/>
        </w:rPr>
        <w:t>’</w:t>
      </w:r>
      <w:r w:rsidRPr="004C2A3C">
        <w:rPr>
          <w:color w:val="000000" w:themeColor="text1"/>
          <w:lang w:val="fr-FR"/>
        </w:rPr>
        <w:t xml:space="preserve">homme, de données normalisées sur animaux ou de données </w:t>
      </w:r>
      <w:r w:rsidRPr="004C2A3C">
        <w:rPr>
          <w:i/>
          <w:iCs/>
          <w:color w:val="000000" w:themeColor="text1"/>
          <w:lang w:val="fr-FR"/>
        </w:rPr>
        <w:t>in vitro</w:t>
      </w:r>
      <w:r w:rsidRPr="004C2A3C">
        <w:rPr>
          <w:iCs/>
          <w:color w:val="000000" w:themeColor="text1"/>
          <w:lang w:val="fr-FR"/>
        </w:rPr>
        <w:t>/</w:t>
      </w:r>
      <w:r w:rsidRPr="004C2A3C">
        <w:rPr>
          <w:i/>
          <w:iCs/>
          <w:color w:val="000000" w:themeColor="text1"/>
          <w:lang w:val="fr-FR"/>
        </w:rPr>
        <w:t>ex vivo</w:t>
      </w:r>
      <w:r w:rsidRPr="004C2A3C">
        <w:rPr>
          <w:color w:val="000000" w:themeColor="text1"/>
          <w:lang w:val="fr-FR"/>
        </w:rPr>
        <w:t xml:space="preserve"> concluantes pour la corrosion cutanée conformément aux critères du chapitre 3.2 sont également considérées comme des substances provoquant des lésions oculaires graves (catégorie 1 oculaire). L</w:t>
      </w:r>
      <w:r>
        <w:rPr>
          <w:color w:val="000000" w:themeColor="text1"/>
          <w:lang w:val="fr-FR"/>
        </w:rPr>
        <w:t>’</w:t>
      </w:r>
      <w:r w:rsidRPr="004C2A3C">
        <w:rPr>
          <w:color w:val="000000" w:themeColor="text1"/>
          <w:lang w:val="fr-FR"/>
        </w:rPr>
        <w:t>irritation cutanée (catégorie 2 cutanée), l</w:t>
      </w:r>
      <w:r>
        <w:rPr>
          <w:color w:val="000000" w:themeColor="text1"/>
          <w:lang w:val="fr-FR"/>
        </w:rPr>
        <w:t>’</w:t>
      </w:r>
      <w:r w:rsidRPr="004C2A3C">
        <w:rPr>
          <w:color w:val="000000" w:themeColor="text1"/>
          <w:lang w:val="fr-FR"/>
        </w:rPr>
        <w:t>irritation cutanée légère (catégorie 3 cutanée) et l</w:t>
      </w:r>
      <w:r>
        <w:rPr>
          <w:color w:val="000000" w:themeColor="text1"/>
          <w:lang w:val="fr-FR"/>
        </w:rPr>
        <w:t>’</w:t>
      </w:r>
      <w:r w:rsidRPr="004C2A3C">
        <w:rPr>
          <w:color w:val="000000" w:themeColor="text1"/>
          <w:lang w:val="fr-FR"/>
        </w:rPr>
        <w:t>absence de classification pour l</w:t>
      </w:r>
      <w:r>
        <w:rPr>
          <w:color w:val="000000" w:themeColor="text1"/>
          <w:lang w:val="fr-FR"/>
        </w:rPr>
        <w:t>’</w:t>
      </w:r>
      <w:r w:rsidRPr="004C2A3C">
        <w:rPr>
          <w:color w:val="000000" w:themeColor="text1"/>
          <w:lang w:val="fr-FR"/>
        </w:rPr>
        <w:t>irritation cutanée, ainsi que les données obtenues sur l</w:t>
      </w:r>
      <w:r>
        <w:rPr>
          <w:color w:val="000000" w:themeColor="text1"/>
          <w:lang w:val="fr-FR"/>
        </w:rPr>
        <w:t>’</w:t>
      </w:r>
      <w:r w:rsidRPr="004C2A3C">
        <w:rPr>
          <w:color w:val="000000" w:themeColor="text1"/>
          <w:lang w:val="fr-FR"/>
        </w:rPr>
        <w:t>homme (comme décrit au chapitre 3.2), ne suffisent pas à conclure à une irritation oculaire ou à l</w:t>
      </w:r>
      <w:r>
        <w:rPr>
          <w:color w:val="000000" w:themeColor="text1"/>
          <w:lang w:val="fr-FR"/>
        </w:rPr>
        <w:t>’</w:t>
      </w:r>
      <w:r w:rsidRPr="004C2A3C">
        <w:rPr>
          <w:color w:val="000000" w:themeColor="text1"/>
          <w:lang w:val="fr-FR"/>
        </w:rPr>
        <w:t>absence de classification pour les effets sur l</w:t>
      </w:r>
      <w:r>
        <w:rPr>
          <w:color w:val="000000" w:themeColor="text1"/>
          <w:lang w:val="fr-FR"/>
        </w:rPr>
        <w:t>’</w:t>
      </w:r>
      <w:r w:rsidRPr="004C2A3C">
        <w:rPr>
          <w:color w:val="000000" w:themeColor="text1"/>
          <w:lang w:val="fr-FR"/>
        </w:rPr>
        <w:t>œil, mais peuvent être prises en considération dans le cadre d</w:t>
      </w:r>
      <w:r>
        <w:rPr>
          <w:color w:val="000000" w:themeColor="text1"/>
          <w:lang w:val="fr-FR"/>
        </w:rPr>
        <w:t>’</w:t>
      </w:r>
      <w:r w:rsidRPr="004C2A3C">
        <w:rPr>
          <w:color w:val="000000" w:themeColor="text1"/>
          <w:lang w:val="fr-FR"/>
        </w:rPr>
        <w:t>une évaluation globale de la force probante des données.</w:t>
      </w:r>
    </w:p>
    <w:p w14:paraId="7DBB83BF" w14:textId="77777777" w:rsidR="00EE41F8" w:rsidRPr="004C2A3C" w:rsidRDefault="00EE41F8" w:rsidP="00EE41F8">
      <w:pPr>
        <w:tabs>
          <w:tab w:val="left" w:pos="3402"/>
        </w:tabs>
        <w:spacing w:after="120"/>
        <w:ind w:left="2268" w:right="1134"/>
        <w:jc w:val="both"/>
        <w:rPr>
          <w:b/>
          <w:bCs/>
          <w:color w:val="000000" w:themeColor="text1"/>
          <w:lang w:val="fr-FR"/>
        </w:rPr>
      </w:pPr>
      <w:r w:rsidRPr="004C2A3C">
        <w:rPr>
          <w:b/>
          <w:bCs/>
          <w:color w:val="000000" w:themeColor="text1"/>
          <w:lang w:val="fr-FR"/>
        </w:rPr>
        <w:t>3.3.2.6</w:t>
      </w:r>
      <w:r w:rsidRPr="004C2A3C">
        <w:rPr>
          <w:b/>
          <w:bCs/>
          <w:color w:val="000000" w:themeColor="text1"/>
          <w:lang w:val="fr-FR"/>
        </w:rPr>
        <w:tab/>
      </w:r>
      <w:r w:rsidRPr="004C2A3C">
        <w:rPr>
          <w:b/>
          <w:bCs/>
          <w:i/>
          <w:iCs/>
          <w:color w:val="000000" w:themeColor="text1"/>
          <w:lang w:val="fr-FR"/>
        </w:rPr>
        <w:t>Classification fondée sur d</w:t>
      </w:r>
      <w:r>
        <w:rPr>
          <w:b/>
          <w:bCs/>
          <w:i/>
          <w:iCs/>
          <w:color w:val="000000" w:themeColor="text1"/>
          <w:lang w:val="fr-FR"/>
        </w:rPr>
        <w:t>’</w:t>
      </w:r>
      <w:r w:rsidRPr="004C2A3C">
        <w:rPr>
          <w:b/>
          <w:bCs/>
          <w:i/>
          <w:iCs/>
          <w:color w:val="000000" w:themeColor="text1"/>
          <w:lang w:val="fr-FR"/>
        </w:rPr>
        <w:t>autres données existantes sur des effets cutanés ou oculaires sur animaux (étape 4 de la figure 3.3.1)</w:t>
      </w:r>
    </w:p>
    <w:p w14:paraId="1DBA34DE" w14:textId="77777777" w:rsidR="00EE41F8" w:rsidRPr="004C2A3C" w:rsidRDefault="00EE41F8" w:rsidP="00EE41F8">
      <w:pPr>
        <w:tabs>
          <w:tab w:val="left" w:pos="3402"/>
        </w:tabs>
        <w:spacing w:after="120"/>
        <w:ind w:left="2268" w:right="1134" w:firstLine="1134"/>
        <w:jc w:val="both"/>
        <w:rPr>
          <w:color w:val="000000" w:themeColor="text1"/>
          <w:spacing w:val="-1"/>
          <w:lang w:val="fr-FR"/>
        </w:rPr>
      </w:pPr>
      <w:r w:rsidRPr="004C2A3C">
        <w:rPr>
          <w:color w:val="000000" w:themeColor="text1"/>
          <w:spacing w:val="-1"/>
          <w:lang w:val="fr-FR"/>
        </w:rPr>
        <w:t>D</w:t>
      </w:r>
      <w:r>
        <w:rPr>
          <w:color w:val="000000" w:themeColor="text1"/>
          <w:spacing w:val="-1"/>
          <w:lang w:val="fr-FR"/>
        </w:rPr>
        <w:t>’</w:t>
      </w:r>
      <w:r w:rsidRPr="004C2A3C">
        <w:rPr>
          <w:color w:val="000000" w:themeColor="text1"/>
          <w:spacing w:val="-1"/>
          <w:lang w:val="fr-FR"/>
        </w:rPr>
        <w:t>autres données existantes sur des effets cutanés ou oculaires sur animaux peuvent être utilisées à des fins de classement, mais elles peuvent présenter des limites quant aux conclusions pouvant être tirées (voir 3.3.5.3.6). Les substances classées comme corrosives pour la peau (catégorie 1 cutanée) sur la base d</w:t>
      </w:r>
      <w:r>
        <w:rPr>
          <w:color w:val="000000" w:themeColor="text1"/>
          <w:spacing w:val="-1"/>
          <w:lang w:val="fr-FR"/>
        </w:rPr>
        <w:t>’</w:t>
      </w:r>
      <w:r w:rsidRPr="004C2A3C">
        <w:rPr>
          <w:color w:val="000000" w:themeColor="text1"/>
          <w:spacing w:val="-1"/>
          <w:lang w:val="fr-FR"/>
        </w:rPr>
        <w:t>autres données existantes sur les effets cutanés selon les critères du chapitre 3.2 sont également considérées comme des substances induisant des lésions oculaires graves (catégorie 1 oculaire). D</w:t>
      </w:r>
      <w:r>
        <w:rPr>
          <w:color w:val="000000" w:themeColor="text1"/>
          <w:spacing w:val="-1"/>
          <w:lang w:val="fr-FR"/>
        </w:rPr>
        <w:t>’</w:t>
      </w:r>
      <w:r w:rsidRPr="004C2A3C">
        <w:rPr>
          <w:color w:val="000000" w:themeColor="text1"/>
          <w:spacing w:val="-1"/>
          <w:lang w:val="fr-FR"/>
        </w:rPr>
        <w:t>autres données existantes sur des effets cutanés conduisant à une classification dans la catégorie 2 ou 3 cutanée ou à une absence de classification ne peuvent pas être utilisées seules pour conclure à une irritation oculaire ou à une absence de classification pour les effets sur l</w:t>
      </w:r>
      <w:r>
        <w:rPr>
          <w:color w:val="000000" w:themeColor="text1"/>
          <w:spacing w:val="-1"/>
          <w:lang w:val="fr-FR"/>
        </w:rPr>
        <w:t>’</w:t>
      </w:r>
      <w:r w:rsidRPr="004C2A3C">
        <w:rPr>
          <w:color w:val="000000" w:themeColor="text1"/>
          <w:spacing w:val="-1"/>
          <w:lang w:val="fr-FR"/>
        </w:rPr>
        <w:t>œil, mais peuvent être prises en compte dans le cadre d</w:t>
      </w:r>
      <w:r>
        <w:rPr>
          <w:color w:val="000000" w:themeColor="text1"/>
          <w:spacing w:val="-1"/>
          <w:lang w:val="fr-FR"/>
        </w:rPr>
        <w:t>’</w:t>
      </w:r>
      <w:r w:rsidRPr="004C2A3C">
        <w:rPr>
          <w:color w:val="000000" w:themeColor="text1"/>
          <w:spacing w:val="-1"/>
          <w:lang w:val="fr-FR"/>
        </w:rPr>
        <w:t>une évaluation globale de la force probante des données.</w:t>
      </w:r>
    </w:p>
    <w:p w14:paraId="0B8AF381" w14:textId="77777777" w:rsidR="00EE41F8" w:rsidRPr="004C2A3C" w:rsidRDefault="00EE41F8" w:rsidP="00EE41F8">
      <w:pPr>
        <w:spacing w:after="120"/>
        <w:ind w:left="2268" w:right="1134"/>
        <w:jc w:val="both"/>
        <w:rPr>
          <w:b/>
          <w:bCs/>
          <w:color w:val="000000" w:themeColor="text1"/>
          <w:lang w:val="fr-FR"/>
        </w:rPr>
      </w:pPr>
      <w:r w:rsidRPr="004C2A3C">
        <w:rPr>
          <w:b/>
          <w:bCs/>
          <w:color w:val="000000" w:themeColor="text1"/>
          <w:lang w:val="fr-FR"/>
        </w:rPr>
        <w:t>3.3.2.7</w:t>
      </w:r>
      <w:r w:rsidRPr="004C2A3C">
        <w:rPr>
          <w:b/>
          <w:bCs/>
          <w:color w:val="000000" w:themeColor="text1"/>
          <w:lang w:val="fr-FR"/>
        </w:rPr>
        <w:tab/>
      </w:r>
      <w:r w:rsidRPr="004C2A3C">
        <w:rPr>
          <w:b/>
          <w:bCs/>
          <w:color w:val="000000" w:themeColor="text1"/>
          <w:lang w:val="fr-FR"/>
        </w:rPr>
        <w:tab/>
      </w:r>
      <w:r w:rsidRPr="004C2A3C">
        <w:rPr>
          <w:b/>
          <w:bCs/>
          <w:i/>
          <w:iCs/>
          <w:color w:val="000000" w:themeColor="text1"/>
          <w:lang w:val="fr-FR"/>
        </w:rPr>
        <w:t>Classification fondée sur un pH extrême (pH ≤ 2 ou ≥ 11,5) et une réserve acide</w:t>
      </w:r>
      <w:r w:rsidRPr="004C2A3C">
        <w:rPr>
          <w:bCs/>
          <w:iCs/>
          <w:color w:val="000000" w:themeColor="text1"/>
          <w:lang w:val="fr-FR"/>
        </w:rPr>
        <w:t>/</w:t>
      </w:r>
      <w:r w:rsidRPr="004C2A3C">
        <w:rPr>
          <w:b/>
          <w:bCs/>
          <w:i/>
          <w:iCs/>
          <w:color w:val="000000" w:themeColor="text1"/>
          <w:lang w:val="fr-FR"/>
        </w:rPr>
        <w:t>alcaline (étape 5 de la figure 3.3.1)</w:t>
      </w:r>
    </w:p>
    <w:p w14:paraId="6CAC60F2" w14:textId="77777777" w:rsidR="00EE41F8" w:rsidRPr="004C2A3C" w:rsidRDefault="00EE41F8" w:rsidP="00EE41F8">
      <w:pPr>
        <w:tabs>
          <w:tab w:val="left" w:pos="3402"/>
        </w:tabs>
        <w:spacing w:after="120"/>
        <w:ind w:left="2268" w:right="1134" w:firstLine="1134"/>
        <w:jc w:val="both"/>
        <w:rPr>
          <w:color w:val="000000" w:themeColor="text1"/>
          <w:lang w:val="fr-FR"/>
        </w:rPr>
      </w:pPr>
      <w:r w:rsidRPr="004C2A3C">
        <w:rPr>
          <w:color w:val="000000" w:themeColor="text1"/>
          <w:lang w:val="fr-FR"/>
        </w:rPr>
        <w:t>Les substances ayant un pH extrême (pH ≤ 2 ou ≥ 11,5) ont généralement des effets importants sur l</w:t>
      </w:r>
      <w:r>
        <w:rPr>
          <w:color w:val="000000" w:themeColor="text1"/>
          <w:lang w:val="fr-FR"/>
        </w:rPr>
        <w:t>’</w:t>
      </w:r>
      <w:r w:rsidRPr="004C2A3C">
        <w:rPr>
          <w:color w:val="000000" w:themeColor="text1"/>
          <w:lang w:val="fr-FR"/>
        </w:rPr>
        <w:t>œil, surtout lorsque ce pH est associé à</w:t>
      </w:r>
      <w:r w:rsidRPr="004C2A3C">
        <w:rPr>
          <w:i/>
          <w:iCs/>
          <w:color w:val="000000" w:themeColor="text1"/>
          <w:lang w:val="fr-FR"/>
        </w:rPr>
        <w:t xml:space="preserve"> </w:t>
      </w:r>
      <w:r w:rsidRPr="004C2A3C">
        <w:rPr>
          <w:color w:val="000000" w:themeColor="text1"/>
          <w:lang w:val="fr-FR"/>
        </w:rPr>
        <w:t>une réserve acide/alcaline significative. Une substance dont le pH est ≤ 2 ou ≥ 11,5 est donc considérée comme induisant des lésions oculaires graves (catégorie 1) à cette étape si elle présente une réserve acide/alcaline significative ou s</w:t>
      </w:r>
      <w:r>
        <w:rPr>
          <w:color w:val="000000" w:themeColor="text1"/>
          <w:lang w:val="fr-FR"/>
        </w:rPr>
        <w:t>’</w:t>
      </w:r>
      <w:r w:rsidRPr="004C2A3C">
        <w:rPr>
          <w:color w:val="000000" w:themeColor="text1"/>
          <w:lang w:val="fr-FR"/>
        </w:rPr>
        <w:t>il n</w:t>
      </w:r>
      <w:r>
        <w:rPr>
          <w:color w:val="000000" w:themeColor="text1"/>
          <w:lang w:val="fr-FR"/>
        </w:rPr>
        <w:t>’</w:t>
      </w:r>
      <w:r w:rsidRPr="004C2A3C">
        <w:rPr>
          <w:color w:val="000000" w:themeColor="text1"/>
          <w:lang w:val="fr-FR"/>
        </w:rPr>
        <w:t>existe pas de données concernant la réserve acide/alcaline. Toutefois, si l</w:t>
      </w:r>
      <w:r>
        <w:rPr>
          <w:color w:val="000000" w:themeColor="text1"/>
          <w:lang w:val="fr-FR"/>
        </w:rPr>
        <w:t>’</w:t>
      </w:r>
      <w:r w:rsidRPr="004C2A3C">
        <w:rPr>
          <w:color w:val="000000" w:themeColor="text1"/>
          <w:lang w:val="fr-FR"/>
        </w:rPr>
        <w:t>examen de la réserve acide/alcaline laisse penser que la substance pourrait ne pas induire de graves lésions oculaires</w:t>
      </w:r>
      <w:r w:rsidRPr="004C2A3C">
        <w:rPr>
          <w:i/>
          <w:iCs/>
          <w:color w:val="000000" w:themeColor="text1"/>
          <w:lang w:val="fr-FR"/>
        </w:rPr>
        <w:t xml:space="preserve"> </w:t>
      </w:r>
      <w:r w:rsidRPr="004C2A3C">
        <w:rPr>
          <w:color w:val="000000" w:themeColor="text1"/>
          <w:lang w:val="fr-FR"/>
        </w:rPr>
        <w:t>malgré un pH extrême, le résultat est jugé non concluant à cette même étape (voir figure 3.3.1). Un pH &gt; 2 ou &lt; 11,5 est considéré comme non concluant et ne peut être utilisé à des fins de classification. La réserve acide/alcaline et le pH peuvent être déterminés au moyen de différentes méthodes, notamment celles décrites dans la ligne directrice 122 de l</w:t>
      </w:r>
      <w:r>
        <w:rPr>
          <w:color w:val="000000" w:themeColor="text1"/>
          <w:lang w:val="fr-FR"/>
        </w:rPr>
        <w:t>’</w:t>
      </w:r>
      <w:r w:rsidRPr="004C2A3C">
        <w:rPr>
          <w:color w:val="000000" w:themeColor="text1"/>
          <w:lang w:val="fr-FR"/>
        </w:rPr>
        <w:t xml:space="preserve">OCDE et dans la publication de Young </w:t>
      </w:r>
      <w:r w:rsidRPr="004C2A3C">
        <w:rPr>
          <w:i/>
          <w:iCs/>
          <w:color w:val="000000" w:themeColor="text1"/>
          <w:lang w:val="fr-FR"/>
        </w:rPr>
        <w:t>et al.</w:t>
      </w:r>
      <w:r w:rsidRPr="004C2A3C">
        <w:rPr>
          <w:color w:val="000000" w:themeColor="text1"/>
          <w:lang w:val="fr-FR"/>
        </w:rPr>
        <w:t xml:space="preserve"> (1988), sachant cependant que des différences existent entre ces méthodes (voir 3.3.5.3.7). Une autorité compétente peut décider quels critères appliquer pour déterminer si une réserve acide/alcaline est significative.</w:t>
      </w:r>
    </w:p>
    <w:p w14:paraId="2C100FE3" w14:textId="77777777" w:rsidR="00EE41F8" w:rsidRPr="004C2A3C" w:rsidRDefault="00EE41F8" w:rsidP="00EE41F8">
      <w:pPr>
        <w:spacing w:after="120"/>
        <w:ind w:left="2268" w:right="1134"/>
        <w:jc w:val="both"/>
        <w:rPr>
          <w:b/>
          <w:bCs/>
          <w:color w:val="000000" w:themeColor="text1"/>
          <w:lang w:val="fr-FR"/>
        </w:rPr>
      </w:pPr>
      <w:r w:rsidRPr="004C2A3C">
        <w:rPr>
          <w:b/>
          <w:bCs/>
          <w:color w:val="000000" w:themeColor="text1"/>
          <w:lang w:val="fr-FR"/>
        </w:rPr>
        <w:t>3.3.2.8</w:t>
      </w:r>
      <w:r w:rsidRPr="004C2A3C">
        <w:rPr>
          <w:b/>
          <w:bCs/>
          <w:color w:val="000000" w:themeColor="text1"/>
          <w:lang w:val="fr-FR"/>
        </w:rPr>
        <w:tab/>
      </w:r>
      <w:r w:rsidRPr="004C2A3C">
        <w:rPr>
          <w:b/>
          <w:bCs/>
          <w:color w:val="000000" w:themeColor="text1"/>
          <w:lang w:val="fr-FR"/>
        </w:rPr>
        <w:tab/>
      </w:r>
      <w:r w:rsidRPr="004C2A3C">
        <w:rPr>
          <w:b/>
          <w:bCs/>
          <w:i/>
          <w:iCs/>
          <w:color w:val="000000" w:themeColor="text1"/>
          <w:lang w:val="fr-FR"/>
        </w:rPr>
        <w:t>Classification fondée sur des méthodes sans essais pour les lésions oculaires graves</w:t>
      </w:r>
      <w:r w:rsidRPr="004C2A3C">
        <w:rPr>
          <w:bCs/>
          <w:iCs/>
          <w:color w:val="000000" w:themeColor="text1"/>
          <w:lang w:val="fr-FR"/>
        </w:rPr>
        <w:t>/</w:t>
      </w:r>
      <w:r w:rsidRPr="004C2A3C">
        <w:rPr>
          <w:b/>
          <w:bCs/>
          <w:i/>
          <w:iCs/>
          <w:color w:val="000000" w:themeColor="text1"/>
          <w:lang w:val="fr-FR"/>
        </w:rPr>
        <w:t>l</w:t>
      </w:r>
      <w:r>
        <w:rPr>
          <w:b/>
          <w:bCs/>
          <w:i/>
          <w:iCs/>
          <w:color w:val="000000" w:themeColor="text1"/>
          <w:lang w:val="fr-FR"/>
        </w:rPr>
        <w:t>’</w:t>
      </w:r>
      <w:r w:rsidRPr="004C2A3C">
        <w:rPr>
          <w:b/>
          <w:bCs/>
          <w:i/>
          <w:iCs/>
          <w:color w:val="000000" w:themeColor="text1"/>
          <w:lang w:val="fr-FR"/>
        </w:rPr>
        <w:t>irritation oculaire ou pour la corrosion cutanée (étape 6 de la figure 3.3.1)</w:t>
      </w:r>
    </w:p>
    <w:p w14:paraId="7F3E478F" w14:textId="77777777" w:rsidR="00EE41F8" w:rsidRPr="004C2A3C" w:rsidRDefault="00EE41F8" w:rsidP="00EE41F8">
      <w:pPr>
        <w:tabs>
          <w:tab w:val="left" w:pos="2268"/>
        </w:tabs>
        <w:spacing w:after="120"/>
        <w:ind w:left="2268" w:right="1134"/>
        <w:jc w:val="both"/>
        <w:rPr>
          <w:color w:val="000000" w:themeColor="text1"/>
          <w:lang w:val="fr-FR"/>
        </w:rPr>
      </w:pPr>
      <w:r w:rsidRPr="004C2A3C">
        <w:rPr>
          <w:color w:val="000000" w:themeColor="text1"/>
          <w:lang w:val="fr-FR"/>
        </w:rPr>
        <w:t>3.3.2.8.1</w:t>
      </w:r>
      <w:r w:rsidRPr="004C2A3C">
        <w:rPr>
          <w:color w:val="000000" w:themeColor="text1"/>
          <w:lang w:val="fr-FR"/>
        </w:rPr>
        <w:tab/>
        <w:t>Le classement, y compris la conclusion de non-classement, peut reposer sur des méthodes sans essais appliquées au cas par cas, compte dûment tenu de la fiabilité et de l</w:t>
      </w:r>
      <w:r>
        <w:rPr>
          <w:color w:val="000000" w:themeColor="text1"/>
          <w:lang w:val="fr-FR"/>
        </w:rPr>
        <w:t>’</w:t>
      </w:r>
      <w:r w:rsidRPr="004C2A3C">
        <w:rPr>
          <w:color w:val="000000" w:themeColor="text1"/>
          <w:lang w:val="fr-FR"/>
        </w:rPr>
        <w:t>applicabilité. Ces méthodes comprennent les modèles informatisés estimant les relations qualitatives structure-activité (alertes structurelles, SAR) ou les relations quantitatives structure-activité (QSAR), les systèmes informatiques experts et la lecture croisée par analogie ou par catégorie.</w:t>
      </w:r>
    </w:p>
    <w:p w14:paraId="134C3FD3" w14:textId="77777777" w:rsidR="00EE41F8" w:rsidRPr="004C2A3C" w:rsidRDefault="00EE41F8" w:rsidP="00EE41F8">
      <w:pPr>
        <w:tabs>
          <w:tab w:val="left" w:pos="2268"/>
          <w:tab w:val="left" w:pos="3402"/>
        </w:tabs>
        <w:spacing w:after="120"/>
        <w:ind w:left="2268" w:right="1134"/>
        <w:jc w:val="both"/>
        <w:rPr>
          <w:color w:val="000000" w:themeColor="text1"/>
          <w:lang w:val="fr-FR"/>
        </w:rPr>
      </w:pPr>
      <w:r w:rsidRPr="004C2A3C">
        <w:rPr>
          <w:color w:val="000000" w:themeColor="text1"/>
          <w:lang w:val="fr-FR"/>
        </w:rPr>
        <w:t>3.3.2.8.2</w:t>
      </w:r>
      <w:r w:rsidRPr="004C2A3C">
        <w:rPr>
          <w:color w:val="000000" w:themeColor="text1"/>
          <w:lang w:val="fr-FR"/>
        </w:rPr>
        <w:tab/>
        <w:t>La méthode de lecture croisée par analogie ou par catégorie doit pouvoir reposer sur suffisamment de données d</w:t>
      </w:r>
      <w:r>
        <w:rPr>
          <w:color w:val="000000" w:themeColor="text1"/>
          <w:lang w:val="fr-FR"/>
        </w:rPr>
        <w:t>’</w:t>
      </w:r>
      <w:r w:rsidRPr="004C2A3C">
        <w:rPr>
          <w:color w:val="000000" w:themeColor="text1"/>
          <w:lang w:val="fr-FR"/>
        </w:rPr>
        <w:t>essai fiables pour une ou des substances similaires et justifier de la similarité des substances testées et de la ou des substances à classer. Lorsqu</w:t>
      </w:r>
      <w:r>
        <w:rPr>
          <w:color w:val="000000" w:themeColor="text1"/>
          <w:lang w:val="fr-FR"/>
        </w:rPr>
        <w:t>’</w:t>
      </w:r>
      <w:r w:rsidRPr="004C2A3C">
        <w:rPr>
          <w:color w:val="000000" w:themeColor="text1"/>
          <w:lang w:val="fr-FR"/>
        </w:rPr>
        <w:t>une justification valable de la méthode de lecture croisée est fournie, elle a souvent un poids supérieur par rapport aux méthodes (Q)SAR.</w:t>
      </w:r>
    </w:p>
    <w:p w14:paraId="6F393354" w14:textId="77777777" w:rsidR="00EE41F8" w:rsidRPr="004C2A3C" w:rsidRDefault="00EE41F8" w:rsidP="00EE41F8">
      <w:pPr>
        <w:tabs>
          <w:tab w:val="left" w:pos="2268"/>
          <w:tab w:val="left" w:pos="3402"/>
        </w:tabs>
        <w:spacing w:after="120"/>
        <w:ind w:left="2268" w:right="1134"/>
        <w:jc w:val="both"/>
        <w:rPr>
          <w:color w:val="000000" w:themeColor="text1"/>
          <w:lang w:val="fr-FR"/>
        </w:rPr>
      </w:pPr>
      <w:r w:rsidRPr="004C2A3C">
        <w:rPr>
          <w:color w:val="000000" w:themeColor="text1"/>
          <w:lang w:val="fr-FR"/>
        </w:rPr>
        <w:t>3.3.2.8.3</w:t>
      </w:r>
      <w:r w:rsidRPr="004C2A3C">
        <w:rPr>
          <w:color w:val="000000" w:themeColor="text1"/>
          <w:lang w:val="fr-FR"/>
        </w:rPr>
        <w:tab/>
        <w:t>La classification fondée sur les méthodes (Q)SAR requiert des données suffisantes et la validation du modèle. La validité des modèles informatiques et de la prévision devrait être évaluée sur la base des principes de validation des (Q)SAR internationalement reconnus. S</w:t>
      </w:r>
      <w:r>
        <w:rPr>
          <w:color w:val="000000" w:themeColor="text1"/>
          <w:lang w:val="fr-FR"/>
        </w:rPr>
        <w:t>’</w:t>
      </w:r>
      <w:r w:rsidRPr="004C2A3C">
        <w:rPr>
          <w:color w:val="000000" w:themeColor="text1"/>
          <w:lang w:val="fr-FR"/>
        </w:rPr>
        <w:t>agissant de la fiabilité, l</w:t>
      </w:r>
      <w:r>
        <w:rPr>
          <w:color w:val="000000" w:themeColor="text1"/>
          <w:lang w:val="fr-FR"/>
        </w:rPr>
        <w:t>’</w:t>
      </w:r>
      <w:r w:rsidRPr="004C2A3C">
        <w:rPr>
          <w:color w:val="000000" w:themeColor="text1"/>
          <w:lang w:val="fr-FR"/>
        </w:rPr>
        <w:t>absence d</w:t>
      </w:r>
      <w:r>
        <w:rPr>
          <w:color w:val="000000" w:themeColor="text1"/>
          <w:lang w:val="fr-FR"/>
        </w:rPr>
        <w:t>’</w:t>
      </w:r>
      <w:r w:rsidRPr="004C2A3C">
        <w:rPr>
          <w:color w:val="000000" w:themeColor="text1"/>
          <w:lang w:val="fr-FR"/>
        </w:rPr>
        <w:t>alertes dans un modèle SAR ou dans un système expert ne suffit pas à justifier l</w:t>
      </w:r>
      <w:r>
        <w:rPr>
          <w:color w:val="000000" w:themeColor="text1"/>
          <w:lang w:val="fr-FR"/>
        </w:rPr>
        <w:t>’</w:t>
      </w:r>
      <w:r w:rsidRPr="004C2A3C">
        <w:rPr>
          <w:color w:val="000000" w:themeColor="text1"/>
          <w:lang w:val="fr-FR"/>
        </w:rPr>
        <w:t>absence de classement.</w:t>
      </w:r>
    </w:p>
    <w:p w14:paraId="007307C5" w14:textId="77777777" w:rsidR="00EE41F8" w:rsidRPr="004C2A3C" w:rsidRDefault="00EE41F8" w:rsidP="00EE41F8">
      <w:pPr>
        <w:tabs>
          <w:tab w:val="left" w:pos="2268"/>
          <w:tab w:val="left" w:pos="3402"/>
        </w:tabs>
        <w:spacing w:after="120"/>
        <w:ind w:left="2268" w:right="1134"/>
        <w:jc w:val="both"/>
        <w:rPr>
          <w:color w:val="000000" w:themeColor="text1"/>
          <w:lang w:val="fr-FR"/>
        </w:rPr>
      </w:pPr>
      <w:r w:rsidRPr="004C2A3C">
        <w:rPr>
          <w:color w:val="000000" w:themeColor="text1"/>
          <w:lang w:val="fr-FR"/>
        </w:rPr>
        <w:t>3.3.2.8.4</w:t>
      </w:r>
      <w:r w:rsidRPr="004C2A3C">
        <w:rPr>
          <w:color w:val="000000" w:themeColor="text1"/>
          <w:lang w:val="fr-FR"/>
        </w:rPr>
        <w:tab/>
        <w:t>Des données obtenues sans essais</w:t>
      </w:r>
      <w:r w:rsidRPr="004C2A3C">
        <w:rPr>
          <w:i/>
          <w:iCs/>
          <w:color w:val="000000" w:themeColor="text1"/>
          <w:lang w:val="fr-FR"/>
        </w:rPr>
        <w:t xml:space="preserve"> </w:t>
      </w:r>
      <w:r w:rsidRPr="004C2A3C">
        <w:rPr>
          <w:color w:val="000000" w:themeColor="text1"/>
          <w:lang w:val="fr-FR"/>
        </w:rPr>
        <w:t>qui sont concluantes pour la corrosion cutanée peuvent être utilisées pour la classification des effets oculaires. En conséquence, les substances classées comme corrosives pour la peau (catégorie 1 cutanée) selon les critères du chapitre 3.2 sont également considérées comme des substances induisant des lésions oculaires graves (catégorie 1 oculaire). L</w:t>
      </w:r>
      <w:r>
        <w:rPr>
          <w:color w:val="000000" w:themeColor="text1"/>
          <w:lang w:val="fr-FR"/>
        </w:rPr>
        <w:t>’</w:t>
      </w:r>
      <w:r w:rsidRPr="004C2A3C">
        <w:rPr>
          <w:color w:val="000000" w:themeColor="text1"/>
          <w:lang w:val="fr-FR"/>
        </w:rPr>
        <w:t>irritation cutanée (catégorie 2), l</w:t>
      </w:r>
      <w:r>
        <w:rPr>
          <w:color w:val="000000" w:themeColor="text1"/>
          <w:lang w:val="fr-FR"/>
        </w:rPr>
        <w:t>’</w:t>
      </w:r>
      <w:r w:rsidRPr="004C2A3C">
        <w:rPr>
          <w:color w:val="000000" w:themeColor="text1"/>
          <w:lang w:val="fr-FR"/>
        </w:rPr>
        <w:t>irritation cutanée légère (catégorie 3) et l</w:t>
      </w:r>
      <w:r>
        <w:rPr>
          <w:color w:val="000000" w:themeColor="text1"/>
          <w:lang w:val="fr-FR"/>
        </w:rPr>
        <w:t>’</w:t>
      </w:r>
      <w:r w:rsidRPr="004C2A3C">
        <w:rPr>
          <w:color w:val="000000" w:themeColor="text1"/>
          <w:lang w:val="fr-FR"/>
        </w:rPr>
        <w:t>absence de classification pour l</w:t>
      </w:r>
      <w:r>
        <w:rPr>
          <w:color w:val="000000" w:themeColor="text1"/>
          <w:lang w:val="fr-FR"/>
        </w:rPr>
        <w:t>’</w:t>
      </w:r>
      <w:r w:rsidRPr="004C2A3C">
        <w:rPr>
          <w:color w:val="000000" w:themeColor="text1"/>
          <w:lang w:val="fr-FR"/>
        </w:rPr>
        <w:t>irritation cutanée selon le chapitre 3.2 ne peuvent pas être invoquées à elles seules pour conclure à une irritation oculaire ou à l</w:t>
      </w:r>
      <w:r>
        <w:rPr>
          <w:color w:val="000000" w:themeColor="text1"/>
          <w:lang w:val="fr-FR"/>
        </w:rPr>
        <w:t>’</w:t>
      </w:r>
      <w:r w:rsidRPr="004C2A3C">
        <w:rPr>
          <w:color w:val="000000" w:themeColor="text1"/>
          <w:lang w:val="fr-FR"/>
        </w:rPr>
        <w:t>absence de classification pour les effets oculaires, mais peuvent être prises en considération dans le cadre d</w:t>
      </w:r>
      <w:r>
        <w:rPr>
          <w:color w:val="000000" w:themeColor="text1"/>
          <w:lang w:val="fr-FR"/>
        </w:rPr>
        <w:t>’</w:t>
      </w:r>
      <w:r w:rsidRPr="004C2A3C">
        <w:rPr>
          <w:color w:val="000000" w:themeColor="text1"/>
          <w:lang w:val="fr-FR"/>
        </w:rPr>
        <w:t>une évaluation globale de la force probante des données.</w:t>
      </w:r>
    </w:p>
    <w:p w14:paraId="57FDB38F" w14:textId="77777777" w:rsidR="00EE41F8" w:rsidRPr="004C2A3C" w:rsidRDefault="00EE41F8" w:rsidP="00EE41F8">
      <w:pPr>
        <w:keepNext/>
        <w:tabs>
          <w:tab w:val="left" w:pos="2268"/>
        </w:tabs>
        <w:spacing w:after="120"/>
        <w:ind w:left="2268" w:right="1134"/>
        <w:jc w:val="both"/>
        <w:rPr>
          <w:b/>
          <w:bCs/>
          <w:i/>
          <w:iCs/>
          <w:color w:val="000000" w:themeColor="text1"/>
          <w:lang w:val="fr-FR"/>
        </w:rPr>
      </w:pPr>
      <w:r w:rsidRPr="004C2A3C">
        <w:rPr>
          <w:b/>
          <w:bCs/>
          <w:color w:val="000000" w:themeColor="text1"/>
          <w:lang w:val="fr-FR"/>
        </w:rPr>
        <w:t>3.3.2.9</w:t>
      </w:r>
      <w:r w:rsidRPr="004C2A3C">
        <w:rPr>
          <w:color w:val="000000" w:themeColor="text1"/>
          <w:lang w:val="fr-FR"/>
        </w:rPr>
        <w:tab/>
      </w:r>
      <w:r w:rsidRPr="004C2A3C">
        <w:rPr>
          <w:color w:val="000000" w:themeColor="text1"/>
          <w:lang w:val="fr-FR"/>
        </w:rPr>
        <w:tab/>
      </w:r>
      <w:r w:rsidRPr="004C2A3C">
        <w:rPr>
          <w:b/>
          <w:bCs/>
          <w:i/>
          <w:iCs/>
          <w:color w:val="000000" w:themeColor="text1"/>
          <w:lang w:val="fr-FR"/>
        </w:rPr>
        <w:t>Classification fondée sur une évaluation globale de la force probante des données (étape 7 de la figure 3.3.1)</w:t>
      </w:r>
    </w:p>
    <w:p w14:paraId="3ADE481F" w14:textId="77777777" w:rsidR="00EE41F8" w:rsidRPr="004C2A3C" w:rsidRDefault="00EE41F8" w:rsidP="00EE41F8">
      <w:pPr>
        <w:tabs>
          <w:tab w:val="left" w:pos="2268"/>
          <w:tab w:val="left" w:pos="3402"/>
        </w:tabs>
        <w:spacing w:after="120"/>
        <w:ind w:left="2268" w:right="1134"/>
        <w:jc w:val="both"/>
        <w:rPr>
          <w:color w:val="000000" w:themeColor="text1"/>
          <w:lang w:val="fr-FR"/>
        </w:rPr>
      </w:pPr>
      <w:r w:rsidRPr="004C2A3C">
        <w:rPr>
          <w:color w:val="000000" w:themeColor="text1"/>
          <w:lang w:val="fr-FR"/>
        </w:rPr>
        <w:t>3.3.2.9.1</w:t>
      </w:r>
      <w:r w:rsidRPr="004C2A3C">
        <w:rPr>
          <w:color w:val="000000" w:themeColor="text1"/>
          <w:lang w:val="fr-FR"/>
        </w:rPr>
        <w:tab/>
        <w:t>Une évaluation globale de la force probante des données s</w:t>
      </w:r>
      <w:r>
        <w:rPr>
          <w:color w:val="000000" w:themeColor="text1"/>
          <w:lang w:val="fr-FR"/>
        </w:rPr>
        <w:t>’</w:t>
      </w:r>
      <w:r w:rsidRPr="004C2A3C">
        <w:rPr>
          <w:color w:val="000000" w:themeColor="text1"/>
          <w:lang w:val="fr-FR"/>
        </w:rPr>
        <w:t>appuyant sur l</w:t>
      </w:r>
      <w:r>
        <w:rPr>
          <w:color w:val="000000" w:themeColor="text1"/>
          <w:lang w:val="fr-FR"/>
        </w:rPr>
        <w:t>’</w:t>
      </w:r>
      <w:r w:rsidRPr="004C2A3C">
        <w:rPr>
          <w:color w:val="000000" w:themeColor="text1"/>
          <w:lang w:val="fr-FR"/>
        </w:rPr>
        <w:t>avis d</w:t>
      </w:r>
      <w:r>
        <w:rPr>
          <w:color w:val="000000" w:themeColor="text1"/>
          <w:lang w:val="fr-FR"/>
        </w:rPr>
        <w:t>’</w:t>
      </w:r>
      <w:r w:rsidRPr="004C2A3C">
        <w:rPr>
          <w:color w:val="000000" w:themeColor="text1"/>
          <w:lang w:val="fr-FR"/>
        </w:rPr>
        <w:t>un expert est indiquée lorsqu</w:t>
      </w:r>
      <w:r>
        <w:rPr>
          <w:color w:val="000000" w:themeColor="text1"/>
          <w:lang w:val="fr-FR"/>
        </w:rPr>
        <w:t>’</w:t>
      </w:r>
      <w:r w:rsidRPr="004C2A3C">
        <w:rPr>
          <w:color w:val="000000" w:themeColor="text1"/>
          <w:lang w:val="fr-FR"/>
        </w:rPr>
        <w:t>aucune des étapes précédentes n</w:t>
      </w:r>
      <w:r>
        <w:rPr>
          <w:color w:val="000000" w:themeColor="text1"/>
          <w:lang w:val="fr-FR"/>
        </w:rPr>
        <w:t>’</w:t>
      </w:r>
      <w:r w:rsidRPr="004C2A3C">
        <w:rPr>
          <w:color w:val="000000" w:themeColor="text1"/>
          <w:lang w:val="fr-FR"/>
        </w:rPr>
        <w:t>a abouti à une conclusion définitive sur la classification. Dans certains cas, lorsque la décision relative à la classification a été reportée jusqu</w:t>
      </w:r>
      <w:r>
        <w:rPr>
          <w:color w:val="000000" w:themeColor="text1"/>
          <w:lang w:val="fr-FR"/>
        </w:rPr>
        <w:t>’</w:t>
      </w:r>
      <w:r w:rsidRPr="004C2A3C">
        <w:rPr>
          <w:color w:val="000000" w:themeColor="text1"/>
          <w:lang w:val="fr-FR"/>
        </w:rPr>
        <w:t>à l</w:t>
      </w:r>
      <w:r>
        <w:rPr>
          <w:color w:val="000000" w:themeColor="text1"/>
          <w:lang w:val="fr-FR"/>
        </w:rPr>
        <w:t>’</w:t>
      </w:r>
      <w:r w:rsidRPr="004C2A3C">
        <w:rPr>
          <w:color w:val="000000" w:themeColor="text1"/>
          <w:lang w:val="fr-FR"/>
        </w:rPr>
        <w:t>étape de l</w:t>
      </w:r>
      <w:r>
        <w:rPr>
          <w:color w:val="000000" w:themeColor="text1"/>
          <w:lang w:val="fr-FR"/>
        </w:rPr>
        <w:t>’</w:t>
      </w:r>
      <w:r w:rsidRPr="004C2A3C">
        <w:rPr>
          <w:color w:val="000000" w:themeColor="text1"/>
          <w:lang w:val="fr-FR"/>
        </w:rPr>
        <w:t>évaluation globale de la force probante des données, mais qu</w:t>
      </w:r>
      <w:r>
        <w:rPr>
          <w:color w:val="000000" w:themeColor="text1"/>
          <w:lang w:val="fr-FR"/>
        </w:rPr>
        <w:t>’</w:t>
      </w:r>
      <w:r w:rsidRPr="004C2A3C">
        <w:rPr>
          <w:color w:val="000000" w:themeColor="text1"/>
          <w:lang w:val="fr-FR"/>
        </w:rPr>
        <w:t>aucune autre donnée n</w:t>
      </w:r>
      <w:r>
        <w:rPr>
          <w:color w:val="000000" w:themeColor="text1"/>
          <w:lang w:val="fr-FR"/>
        </w:rPr>
        <w:t>’</w:t>
      </w:r>
      <w:r w:rsidRPr="004C2A3C">
        <w:rPr>
          <w:color w:val="000000" w:themeColor="text1"/>
          <w:lang w:val="fr-FR"/>
        </w:rPr>
        <w:t>est disponible, une classification peut encore être envisageable.</w:t>
      </w:r>
    </w:p>
    <w:p w14:paraId="7C81A406" w14:textId="77777777" w:rsidR="00EE41F8" w:rsidRPr="004C2A3C" w:rsidRDefault="00EE41F8" w:rsidP="00EE41F8">
      <w:pPr>
        <w:tabs>
          <w:tab w:val="left" w:pos="2268"/>
          <w:tab w:val="left" w:pos="3402"/>
        </w:tabs>
        <w:spacing w:after="120"/>
        <w:ind w:left="2268" w:right="1134"/>
        <w:jc w:val="both"/>
        <w:rPr>
          <w:color w:val="000000" w:themeColor="text1"/>
          <w:lang w:val="fr-FR"/>
        </w:rPr>
      </w:pPr>
      <w:r w:rsidRPr="004C2A3C">
        <w:rPr>
          <w:color w:val="000000" w:themeColor="text1"/>
          <w:lang w:val="fr-FR"/>
        </w:rPr>
        <w:t>3.3.2.9.2</w:t>
      </w:r>
      <w:r w:rsidRPr="004C2A3C">
        <w:rPr>
          <w:color w:val="000000" w:themeColor="text1"/>
          <w:lang w:val="fr-FR"/>
        </w:rPr>
        <w:tab/>
        <w:t>Une substance ayant un pH extrême (pH ≤ 2 ou ≥ 11,5) et une réserve acide/alcaline négligeable (résultat jugé non concluant à l</w:t>
      </w:r>
      <w:r>
        <w:rPr>
          <w:color w:val="000000" w:themeColor="text1"/>
          <w:lang w:val="fr-FR"/>
        </w:rPr>
        <w:t>’</w:t>
      </w:r>
      <w:r w:rsidRPr="004C2A3C">
        <w:rPr>
          <w:color w:val="000000" w:themeColor="text1"/>
          <w:lang w:val="fr-FR"/>
        </w:rPr>
        <w:t>étape 5 ; voir 3.3.2.7), et pour laquelle aucune autre information n</w:t>
      </w:r>
      <w:r>
        <w:rPr>
          <w:color w:val="000000" w:themeColor="text1"/>
          <w:lang w:val="fr-FR"/>
        </w:rPr>
        <w:t>’</w:t>
      </w:r>
      <w:r w:rsidRPr="004C2A3C">
        <w:rPr>
          <w:color w:val="000000" w:themeColor="text1"/>
          <w:lang w:val="fr-FR"/>
        </w:rPr>
        <w:t>est disponible, doit être classée comme induisant des lésions oculaires graves (catégorie 1)</w:t>
      </w:r>
      <w:r w:rsidRPr="004C2A3C">
        <w:rPr>
          <w:i/>
          <w:iCs/>
          <w:color w:val="000000" w:themeColor="text1"/>
          <w:lang w:val="fr-FR"/>
        </w:rPr>
        <w:t xml:space="preserve"> </w:t>
      </w:r>
      <w:r w:rsidRPr="004C2A3C">
        <w:rPr>
          <w:color w:val="000000" w:themeColor="text1"/>
          <w:lang w:val="fr-FR"/>
        </w:rPr>
        <w:t>à cette étape. Si des données non concluantes obtenues à d</w:t>
      </w:r>
      <w:r>
        <w:rPr>
          <w:color w:val="000000" w:themeColor="text1"/>
          <w:lang w:val="fr-FR"/>
        </w:rPr>
        <w:t>’</w:t>
      </w:r>
      <w:r w:rsidRPr="004C2A3C">
        <w:rPr>
          <w:color w:val="000000" w:themeColor="text1"/>
          <w:lang w:val="fr-FR"/>
        </w:rPr>
        <w:t>autres étapes sont également disponibles, mais que l</w:t>
      </w:r>
      <w:r>
        <w:rPr>
          <w:color w:val="000000" w:themeColor="text1"/>
          <w:lang w:val="fr-FR"/>
        </w:rPr>
        <w:t>’</w:t>
      </w:r>
      <w:r w:rsidRPr="004C2A3C">
        <w:rPr>
          <w:color w:val="000000" w:themeColor="text1"/>
          <w:lang w:val="fr-FR"/>
        </w:rPr>
        <w:t>évaluation globale de la force probante des données reste non concluante, la valeur extrême du pH (pH ≤ 2 ou ≥ 11,5) doit être considérée en priorité et la substance doit être classée comme induisant des lésions oculaires graves (catégorie 1) à cette même étape, indépendamment de la valeur de la réserve acide/alcaline. Pour les mélanges, une autre méthode, présentée de manière détaillée au 3.3.3.1.3, est appliquée. ».</w:t>
      </w:r>
    </w:p>
    <w:p w14:paraId="147E876C" w14:textId="75249C99" w:rsidR="00EE41F8" w:rsidRPr="004C2A3C" w:rsidRDefault="00433765" w:rsidP="00104EF1">
      <w:pPr>
        <w:spacing w:after="120"/>
        <w:ind w:left="2268" w:right="1134" w:hanging="1134"/>
        <w:jc w:val="both"/>
        <w:rPr>
          <w:color w:val="000000" w:themeColor="text1"/>
          <w:lang w:val="fr-FR"/>
        </w:rPr>
      </w:pPr>
      <w:r>
        <w:rPr>
          <w:color w:val="000000" w:themeColor="text1"/>
          <w:lang w:val="fr-FR"/>
        </w:rPr>
        <w:t>Notes en bas de page </w:t>
      </w:r>
      <w:r>
        <w:rPr>
          <w:color w:val="000000" w:themeColor="text1"/>
          <w:lang w:val="fr-FR"/>
        </w:rPr>
        <w:tab/>
      </w:r>
      <w:r w:rsidR="00EE41F8" w:rsidRPr="004C2A3C">
        <w:rPr>
          <w:color w:val="000000" w:themeColor="text1"/>
          <w:lang w:val="fr-FR"/>
        </w:rPr>
        <w:t>Insérer les nouvelles notes de bas de page 2 et 3 ci-après relatives aux 3.3.2.3 et 3.3.2.4.5.1, respectivement :</w:t>
      </w:r>
    </w:p>
    <w:p w14:paraId="551DFCD8" w14:textId="77777777" w:rsidR="00EE41F8" w:rsidRPr="004C2A3C" w:rsidRDefault="00EE41F8" w:rsidP="00EE41F8">
      <w:pPr>
        <w:tabs>
          <w:tab w:val="right" w:pos="1021"/>
        </w:tabs>
        <w:spacing w:line="220" w:lineRule="exact"/>
        <w:ind w:left="2268" w:right="1134" w:hanging="1134"/>
        <w:jc w:val="both"/>
        <w:rPr>
          <w:i/>
          <w:iCs/>
          <w:lang w:val="fr-FR"/>
        </w:rPr>
      </w:pPr>
      <w:r w:rsidRPr="004C2A3C">
        <w:rPr>
          <w:sz w:val="18"/>
          <w:lang w:val="fr-FR"/>
        </w:rPr>
        <w:tab/>
      </w:r>
      <w:r w:rsidRPr="004C2A3C">
        <w:rPr>
          <w:lang w:val="fr-FR"/>
        </w:rPr>
        <w:tab/>
        <w:t>« </w:t>
      </w:r>
      <w:r w:rsidRPr="004C2A3C">
        <w:rPr>
          <w:b/>
          <w:bCs/>
          <w:i/>
          <w:iCs/>
          <w:vertAlign w:val="superscript"/>
          <w:lang w:val="fr-FR"/>
        </w:rPr>
        <w:t>2</w:t>
      </w:r>
      <w:r w:rsidRPr="004C2A3C">
        <w:rPr>
          <w:i/>
          <w:iCs/>
          <w:lang w:val="fr-FR"/>
        </w:rPr>
        <w:tab/>
        <w:t>Certaines méthodes définies ont été proposées pour les lésions oculaires graves/l</w:t>
      </w:r>
      <w:r>
        <w:rPr>
          <w:i/>
          <w:iCs/>
          <w:lang w:val="fr-FR"/>
        </w:rPr>
        <w:t>’</w:t>
      </w:r>
      <w:r w:rsidRPr="004C2A3C">
        <w:rPr>
          <w:i/>
          <w:iCs/>
          <w:lang w:val="fr-FR"/>
        </w:rPr>
        <w:t>irritation oculaire (</w:t>
      </w:r>
      <w:proofErr w:type="spellStart"/>
      <w:r w:rsidRPr="004C2A3C">
        <w:rPr>
          <w:i/>
          <w:iCs/>
          <w:lang w:val="fr-FR"/>
        </w:rPr>
        <w:t>Alépée</w:t>
      </w:r>
      <w:proofErr w:type="spellEnd"/>
      <w:r w:rsidRPr="004C2A3C">
        <w:rPr>
          <w:i/>
          <w:iCs/>
          <w:lang w:val="fr-FR"/>
        </w:rPr>
        <w:t xml:space="preserve"> </w:t>
      </w:r>
      <w:r w:rsidRPr="004C2A3C">
        <w:rPr>
          <w:lang w:val="fr-FR"/>
        </w:rPr>
        <w:t>et al</w:t>
      </w:r>
      <w:r w:rsidRPr="004C2A3C">
        <w:rPr>
          <w:i/>
          <w:iCs/>
          <w:lang w:val="fr-FR"/>
        </w:rPr>
        <w:t>., 2019a, b), mais aucun critère de classification n</w:t>
      </w:r>
      <w:r>
        <w:rPr>
          <w:i/>
          <w:iCs/>
          <w:lang w:val="fr-FR"/>
        </w:rPr>
        <w:t>’</w:t>
      </w:r>
      <w:r w:rsidRPr="004C2A3C">
        <w:rPr>
          <w:i/>
          <w:iCs/>
          <w:lang w:val="fr-FR"/>
        </w:rPr>
        <w:t>a encore été adopté au niveau international.</w:t>
      </w:r>
    </w:p>
    <w:p w14:paraId="7A79D6A9" w14:textId="77777777" w:rsidR="00EE41F8" w:rsidRPr="004C2A3C" w:rsidRDefault="00EE41F8" w:rsidP="00EE41F8">
      <w:pPr>
        <w:tabs>
          <w:tab w:val="right" w:pos="1021"/>
        </w:tabs>
        <w:spacing w:after="240" w:line="220" w:lineRule="exact"/>
        <w:ind w:left="2268" w:right="1134" w:hanging="1134"/>
        <w:jc w:val="both"/>
        <w:rPr>
          <w:lang w:val="fr-FR"/>
        </w:rPr>
      </w:pPr>
      <w:r w:rsidRPr="004C2A3C">
        <w:rPr>
          <w:i/>
          <w:iCs/>
          <w:vertAlign w:val="superscript"/>
          <w:lang w:val="fr-FR"/>
        </w:rPr>
        <w:tab/>
      </w:r>
      <w:r w:rsidRPr="004C2A3C">
        <w:rPr>
          <w:b/>
          <w:bCs/>
          <w:i/>
          <w:iCs/>
          <w:vertAlign w:val="superscript"/>
          <w:lang w:val="fr-FR"/>
        </w:rPr>
        <w:t>3</w:t>
      </w:r>
      <w:r w:rsidRPr="004C2A3C">
        <w:rPr>
          <w:i/>
          <w:iCs/>
          <w:lang w:val="fr-FR"/>
        </w:rPr>
        <w:tab/>
        <w:t>Bien qu</w:t>
      </w:r>
      <w:r>
        <w:rPr>
          <w:i/>
          <w:iCs/>
          <w:lang w:val="fr-FR"/>
        </w:rPr>
        <w:t>’</w:t>
      </w:r>
      <w:r w:rsidRPr="004C2A3C">
        <w:rPr>
          <w:i/>
          <w:iCs/>
          <w:lang w:val="fr-FR"/>
        </w:rPr>
        <w:t>aucun critère de classification n</w:t>
      </w:r>
      <w:r>
        <w:rPr>
          <w:i/>
          <w:iCs/>
          <w:lang w:val="fr-FR"/>
        </w:rPr>
        <w:t>’</w:t>
      </w:r>
      <w:r w:rsidRPr="004C2A3C">
        <w:rPr>
          <w:i/>
          <w:iCs/>
          <w:lang w:val="fr-FR"/>
        </w:rPr>
        <w:t>ait encore été adopté au niveau international pour certaines méthodes d</w:t>
      </w:r>
      <w:r>
        <w:rPr>
          <w:i/>
          <w:iCs/>
          <w:lang w:val="fr-FR"/>
        </w:rPr>
        <w:t>’</w:t>
      </w:r>
      <w:r w:rsidRPr="004C2A3C">
        <w:rPr>
          <w:i/>
          <w:iCs/>
          <w:lang w:val="fr-FR"/>
        </w:rPr>
        <w:t>essai</w:t>
      </w:r>
      <w:r w:rsidRPr="003863FE">
        <w:rPr>
          <w:i/>
          <w:iCs/>
          <w:lang w:val="fr-FR"/>
        </w:rPr>
        <w:t xml:space="preserve"> in vitro/ex vivo</w:t>
      </w:r>
      <w:r w:rsidRPr="004C2A3C">
        <w:rPr>
          <w:i/>
          <w:iCs/>
          <w:lang w:val="fr-FR"/>
        </w:rPr>
        <w:t xml:space="preserve"> validées et/ou adoptées qui sont proposées pour recenser les substances induisant une irritation oculaire, ces méthodes peuvent être adoptées par certaines autorités compétentes (voir 3.3.2.4.2). Si une méthode définie (voir 3.3.2.3) n</w:t>
      </w:r>
      <w:r>
        <w:rPr>
          <w:i/>
          <w:iCs/>
          <w:lang w:val="fr-FR"/>
        </w:rPr>
        <w:t>’</w:t>
      </w:r>
      <w:r w:rsidRPr="004C2A3C">
        <w:rPr>
          <w:i/>
          <w:iCs/>
          <w:lang w:val="fr-FR"/>
        </w:rPr>
        <w:t>est pas disponible ou n</w:t>
      </w:r>
      <w:r>
        <w:rPr>
          <w:i/>
          <w:iCs/>
          <w:lang w:val="fr-FR"/>
        </w:rPr>
        <w:t>’</w:t>
      </w:r>
      <w:r w:rsidRPr="004C2A3C">
        <w:rPr>
          <w:i/>
          <w:iCs/>
          <w:lang w:val="fr-FR"/>
        </w:rPr>
        <w:t>est pas appropriée pour la classification, les données obtenues au moyen de ces méthodes peuvent être prises en considération dans le cadre d</w:t>
      </w:r>
      <w:r>
        <w:rPr>
          <w:i/>
          <w:iCs/>
          <w:lang w:val="fr-FR"/>
        </w:rPr>
        <w:t>’</w:t>
      </w:r>
      <w:r w:rsidRPr="004C2A3C">
        <w:rPr>
          <w:i/>
          <w:iCs/>
          <w:lang w:val="fr-FR"/>
        </w:rPr>
        <w:t>une évaluation globale de la force probante des données à cette étape. </w:t>
      </w:r>
      <w:r w:rsidRPr="004C2A3C">
        <w:rPr>
          <w:lang w:val="fr-FR"/>
        </w:rPr>
        <w:t>».</w:t>
      </w:r>
    </w:p>
    <w:p w14:paraId="2F2D1CB0" w14:textId="77777777" w:rsidR="00EE41F8" w:rsidRPr="004C2A3C" w:rsidRDefault="00EE41F8" w:rsidP="00EE41F8">
      <w:pPr>
        <w:keepNext/>
        <w:tabs>
          <w:tab w:val="left" w:pos="2268"/>
        </w:tabs>
        <w:spacing w:after="120"/>
        <w:ind w:left="2268" w:right="1134" w:hanging="1134"/>
        <w:jc w:val="both"/>
        <w:rPr>
          <w:color w:val="000000" w:themeColor="text1"/>
          <w:lang w:val="fr-FR"/>
        </w:rPr>
      </w:pPr>
      <w:r w:rsidRPr="004C2A3C">
        <w:rPr>
          <w:color w:val="000000" w:themeColor="text1"/>
          <w:lang w:val="fr-FR"/>
        </w:rPr>
        <w:t>3.3.2.10 et 3.3.2.10.1 (nouveaux, anciens 3.3.2.2 et 3.3.2.2.1)</w:t>
      </w:r>
      <w:r w:rsidRPr="004C2A3C">
        <w:rPr>
          <w:color w:val="000000" w:themeColor="text1"/>
          <w:lang w:val="fr-FR"/>
        </w:rPr>
        <w:tab/>
        <w:t>Modifier pour lire comme suit :</w:t>
      </w:r>
    </w:p>
    <w:p w14:paraId="70B25930" w14:textId="77777777" w:rsidR="00EE41F8" w:rsidRPr="004C2A3C" w:rsidRDefault="00EE41F8" w:rsidP="00EE41F8">
      <w:pPr>
        <w:keepNext/>
        <w:spacing w:after="120"/>
        <w:ind w:left="2268" w:right="1134"/>
        <w:jc w:val="both"/>
        <w:rPr>
          <w:b/>
          <w:i/>
          <w:color w:val="000000" w:themeColor="text1"/>
          <w:lang w:val="fr-FR"/>
        </w:rPr>
      </w:pPr>
      <w:r w:rsidRPr="004C2A3C">
        <w:rPr>
          <w:color w:val="000000" w:themeColor="text1"/>
          <w:lang w:val="fr-FR"/>
        </w:rPr>
        <w:t>« </w:t>
      </w:r>
      <w:r w:rsidRPr="004C2A3C">
        <w:rPr>
          <w:b/>
          <w:bCs/>
          <w:color w:val="000000" w:themeColor="text1"/>
          <w:lang w:val="fr-FR"/>
        </w:rPr>
        <w:t>3.3.2.10</w:t>
      </w:r>
      <w:r w:rsidRPr="004C2A3C">
        <w:rPr>
          <w:color w:val="000000" w:themeColor="text1"/>
          <w:lang w:val="fr-FR"/>
        </w:rPr>
        <w:tab/>
      </w:r>
      <w:r w:rsidRPr="004C2A3C">
        <w:rPr>
          <w:b/>
          <w:bCs/>
          <w:i/>
          <w:iCs/>
          <w:color w:val="000000" w:themeColor="text1"/>
          <w:lang w:val="fr-FR"/>
        </w:rPr>
        <w:t>Classification par étapes (figure 3.3.1)</w:t>
      </w:r>
    </w:p>
    <w:p w14:paraId="05146AB2" w14:textId="77777777" w:rsidR="00EE41F8" w:rsidRPr="004C2A3C" w:rsidRDefault="00EE41F8" w:rsidP="00EE41F8">
      <w:pPr>
        <w:spacing w:after="120"/>
        <w:ind w:left="2268" w:right="1134"/>
        <w:jc w:val="both"/>
        <w:rPr>
          <w:color w:val="000000" w:themeColor="text1"/>
          <w:lang w:val="fr-FR"/>
        </w:rPr>
      </w:pPr>
      <w:r w:rsidRPr="004C2A3C">
        <w:rPr>
          <w:color w:val="000000" w:themeColor="text1"/>
          <w:lang w:val="fr-FR"/>
        </w:rPr>
        <w:t>3.3.2.10.1</w:t>
      </w:r>
      <w:r w:rsidRPr="004C2A3C">
        <w:rPr>
          <w:color w:val="000000" w:themeColor="text1"/>
          <w:lang w:val="fr-FR"/>
        </w:rPr>
        <w:tab/>
        <w:t>Une évaluation des données initiales par étapes doit être envisagée, lorsque cela est possible, tout en sachant que tous les éléments d</w:t>
      </w:r>
      <w:r>
        <w:rPr>
          <w:color w:val="000000" w:themeColor="text1"/>
          <w:lang w:val="fr-FR"/>
        </w:rPr>
        <w:t>’</w:t>
      </w:r>
      <w:r w:rsidRPr="004C2A3C">
        <w:rPr>
          <w:color w:val="000000" w:themeColor="text1"/>
          <w:lang w:val="fr-FR"/>
        </w:rPr>
        <w:t>information ne sont pas forcément pertinents (voir figure 3.3.1). Cependant, toutes les informations disponibles, utiles et d</w:t>
      </w:r>
      <w:r>
        <w:rPr>
          <w:color w:val="000000" w:themeColor="text1"/>
          <w:lang w:val="fr-FR"/>
        </w:rPr>
        <w:t>’</w:t>
      </w:r>
      <w:r w:rsidRPr="004C2A3C">
        <w:rPr>
          <w:color w:val="000000" w:themeColor="text1"/>
          <w:lang w:val="fr-FR"/>
        </w:rPr>
        <w:t>une qualité suffisante doivent être examinées aux fins de la vérification de leur cohérence avec la classification établie. ».</w:t>
      </w:r>
    </w:p>
    <w:p w14:paraId="7B4DE3A3" w14:textId="77777777" w:rsidR="00EE41F8" w:rsidRPr="004C2A3C" w:rsidRDefault="00EE41F8" w:rsidP="00EE41F8">
      <w:pPr>
        <w:keepNext/>
        <w:tabs>
          <w:tab w:val="left" w:pos="2268"/>
        </w:tabs>
        <w:spacing w:after="120"/>
        <w:ind w:left="2268" w:right="1134" w:hanging="1134"/>
        <w:jc w:val="both"/>
        <w:rPr>
          <w:color w:val="000000" w:themeColor="text1"/>
          <w:lang w:val="fr-FR"/>
        </w:rPr>
      </w:pPr>
      <w:r w:rsidRPr="004C2A3C">
        <w:rPr>
          <w:color w:val="000000" w:themeColor="text1"/>
          <w:lang w:val="fr-FR"/>
        </w:rPr>
        <w:t>3.3.2.10.2 et 3.3.2.10.3</w:t>
      </w:r>
      <w:r w:rsidRPr="004C2A3C">
        <w:rPr>
          <w:color w:val="000000" w:themeColor="text1"/>
          <w:lang w:val="fr-FR"/>
        </w:rPr>
        <w:tab/>
        <w:t>Ajouter les deux nouveaux paragraphes suivants :</w:t>
      </w:r>
    </w:p>
    <w:p w14:paraId="7622CE29" w14:textId="77777777" w:rsidR="00EE41F8" w:rsidRPr="004C2A3C" w:rsidRDefault="00EE41F8" w:rsidP="00EE41F8">
      <w:pPr>
        <w:tabs>
          <w:tab w:val="left" w:pos="3402"/>
        </w:tabs>
        <w:spacing w:after="120"/>
        <w:ind w:left="2268" w:right="1134"/>
        <w:jc w:val="both"/>
        <w:rPr>
          <w:color w:val="000000" w:themeColor="text1"/>
          <w:lang w:val="fr-FR"/>
        </w:rPr>
      </w:pPr>
      <w:r w:rsidRPr="004C2A3C">
        <w:rPr>
          <w:color w:val="000000" w:themeColor="text1"/>
          <w:lang w:val="fr-FR"/>
        </w:rPr>
        <w:t>« 3.3.2.10.2</w:t>
      </w:r>
      <w:r w:rsidRPr="004C2A3C">
        <w:rPr>
          <w:color w:val="000000" w:themeColor="text1"/>
          <w:lang w:val="fr-FR"/>
        </w:rPr>
        <w:tab/>
        <w:t>Dans la méthode par étapes (figure 3.3.1), les données existantes obtenues sur l</w:t>
      </w:r>
      <w:r>
        <w:rPr>
          <w:color w:val="000000" w:themeColor="text1"/>
          <w:lang w:val="fr-FR"/>
        </w:rPr>
        <w:t>’</w:t>
      </w:r>
      <w:r w:rsidRPr="004C2A3C">
        <w:rPr>
          <w:color w:val="000000" w:themeColor="text1"/>
          <w:lang w:val="fr-FR"/>
        </w:rPr>
        <w:t>homme et les données normalisées sur animaux pour les effets sur l</w:t>
      </w:r>
      <w:r>
        <w:rPr>
          <w:color w:val="000000" w:themeColor="text1"/>
          <w:lang w:val="fr-FR"/>
        </w:rPr>
        <w:t>’</w:t>
      </w:r>
      <w:r w:rsidRPr="004C2A3C">
        <w:rPr>
          <w:color w:val="000000" w:themeColor="text1"/>
          <w:lang w:val="fr-FR"/>
        </w:rPr>
        <w:t>œil constituent l</w:t>
      </w:r>
      <w:r>
        <w:rPr>
          <w:color w:val="000000" w:themeColor="text1"/>
          <w:lang w:val="fr-FR"/>
        </w:rPr>
        <w:t>’</w:t>
      </w:r>
      <w:r w:rsidRPr="004C2A3C">
        <w:rPr>
          <w:color w:val="000000" w:themeColor="text1"/>
          <w:lang w:val="fr-FR"/>
        </w:rPr>
        <w:t xml:space="preserve">étape supérieure ; viennent ensuite les données obtenues avec des méthodes définies et les données </w:t>
      </w:r>
      <w:r w:rsidRPr="004C2A3C">
        <w:rPr>
          <w:i/>
          <w:iCs/>
          <w:color w:val="000000" w:themeColor="text1"/>
          <w:lang w:val="fr-FR"/>
        </w:rPr>
        <w:t>in vitro</w:t>
      </w:r>
      <w:r w:rsidRPr="004C2A3C">
        <w:rPr>
          <w:iCs/>
          <w:color w:val="000000" w:themeColor="text1"/>
          <w:lang w:val="fr-FR"/>
        </w:rPr>
        <w:t>/</w:t>
      </w:r>
      <w:r w:rsidRPr="004C2A3C">
        <w:rPr>
          <w:i/>
          <w:iCs/>
          <w:color w:val="000000" w:themeColor="text1"/>
          <w:lang w:val="fr-FR"/>
        </w:rPr>
        <w:t>ex vivo</w:t>
      </w:r>
      <w:r w:rsidRPr="004C2A3C">
        <w:rPr>
          <w:color w:val="000000" w:themeColor="text1"/>
          <w:lang w:val="fr-FR"/>
        </w:rPr>
        <w:t xml:space="preserve"> pour les effets oculaires, les données obtenues sur l</w:t>
      </w:r>
      <w:r>
        <w:rPr>
          <w:color w:val="000000" w:themeColor="text1"/>
          <w:lang w:val="fr-FR"/>
        </w:rPr>
        <w:t>’</w:t>
      </w:r>
      <w:r w:rsidRPr="004C2A3C">
        <w:rPr>
          <w:color w:val="000000" w:themeColor="text1"/>
          <w:lang w:val="fr-FR"/>
        </w:rPr>
        <w:t xml:space="preserve">homme/données normalisées sur animaux/données </w:t>
      </w:r>
      <w:r w:rsidRPr="004C2A3C">
        <w:rPr>
          <w:i/>
          <w:iCs/>
          <w:color w:val="000000" w:themeColor="text1"/>
          <w:lang w:val="fr-FR"/>
        </w:rPr>
        <w:t>in vitro</w:t>
      </w:r>
      <w:r w:rsidRPr="004C2A3C">
        <w:rPr>
          <w:iCs/>
          <w:color w:val="000000" w:themeColor="text1"/>
          <w:lang w:val="fr-FR"/>
        </w:rPr>
        <w:t>/</w:t>
      </w:r>
      <w:r w:rsidRPr="004C2A3C">
        <w:rPr>
          <w:i/>
          <w:iCs/>
          <w:color w:val="000000" w:themeColor="text1"/>
          <w:lang w:val="fr-FR"/>
        </w:rPr>
        <w:t>ex vivo</w:t>
      </w:r>
      <w:r w:rsidRPr="004C2A3C">
        <w:rPr>
          <w:color w:val="000000" w:themeColor="text1"/>
          <w:lang w:val="fr-FR"/>
        </w:rPr>
        <w:t xml:space="preserve"> existantes pour la corrosion cutanée, puis les autres données existantes sur animaux pour les effets cutanés ou oculaires, les données sur le pH extrême et la réserve acide/alcaline, et enfin les données obtenues au moyen de</w:t>
      </w:r>
      <w:r w:rsidRPr="004C2A3C">
        <w:rPr>
          <w:b/>
          <w:bCs/>
          <w:color w:val="000000" w:themeColor="text1"/>
          <w:lang w:val="fr-FR"/>
        </w:rPr>
        <w:t xml:space="preserve"> </w:t>
      </w:r>
      <w:r w:rsidRPr="004C2A3C">
        <w:rPr>
          <w:color w:val="000000" w:themeColor="text1"/>
          <w:lang w:val="fr-FR"/>
        </w:rPr>
        <w:t>méthodes non fondées sur des essais. Lorsque les informations provenant des données réunies à la même étape sont incohérentes ou contradictoires, la conclusion pour cette étape est déterminée par une évaluation fondée sur la force probante des données.</w:t>
      </w:r>
    </w:p>
    <w:p w14:paraId="304BF51B" w14:textId="77777777" w:rsidR="00EE41F8" w:rsidRPr="004C2A3C" w:rsidRDefault="00EE41F8" w:rsidP="00EE41F8">
      <w:pPr>
        <w:tabs>
          <w:tab w:val="left" w:pos="3402"/>
        </w:tabs>
        <w:spacing w:after="120"/>
        <w:ind w:left="2268" w:right="1134"/>
        <w:jc w:val="both"/>
        <w:rPr>
          <w:strike/>
          <w:color w:val="000000" w:themeColor="text1"/>
          <w:lang w:val="fr-FR"/>
        </w:rPr>
      </w:pPr>
      <w:r w:rsidRPr="004C2A3C">
        <w:rPr>
          <w:color w:val="000000" w:themeColor="text1"/>
          <w:lang w:val="fr-FR"/>
        </w:rPr>
        <w:t>3.3.2.10.3</w:t>
      </w:r>
      <w:r w:rsidRPr="004C2A3C">
        <w:rPr>
          <w:color w:val="000000" w:themeColor="text1"/>
          <w:lang w:val="fr-FR"/>
        </w:rPr>
        <w:tab/>
        <w:t>Lorsque les informations provenant de plusieurs étapes sont incohérentes ou contradictoires au regard de la classification établie, les informations de qualité suffisante d</w:t>
      </w:r>
      <w:r>
        <w:rPr>
          <w:color w:val="000000" w:themeColor="text1"/>
          <w:lang w:val="fr-FR"/>
        </w:rPr>
        <w:t>’</w:t>
      </w:r>
      <w:r w:rsidRPr="004C2A3C">
        <w:rPr>
          <w:color w:val="000000" w:themeColor="text1"/>
          <w:lang w:val="fr-FR"/>
        </w:rPr>
        <w:t>une étape supérieure ont généralement un poids supérieur par rapport aux informations provenant d</w:t>
      </w:r>
      <w:r>
        <w:rPr>
          <w:color w:val="000000" w:themeColor="text1"/>
          <w:lang w:val="fr-FR"/>
        </w:rPr>
        <w:t>’</w:t>
      </w:r>
      <w:r w:rsidRPr="004C2A3C">
        <w:rPr>
          <w:color w:val="000000" w:themeColor="text1"/>
          <w:lang w:val="fr-FR"/>
        </w:rPr>
        <w:t>une étape inférieure. Cependant, lorsque les informations d</w:t>
      </w:r>
      <w:r>
        <w:rPr>
          <w:color w:val="000000" w:themeColor="text1"/>
          <w:lang w:val="fr-FR"/>
        </w:rPr>
        <w:t>’</w:t>
      </w:r>
      <w:r w:rsidRPr="004C2A3C">
        <w:rPr>
          <w:color w:val="000000" w:themeColor="text1"/>
          <w:lang w:val="fr-FR"/>
        </w:rPr>
        <w:t>une étape inférieure aboutiraient à une classification plus stricte que les informations d</w:t>
      </w:r>
      <w:r>
        <w:rPr>
          <w:color w:val="000000" w:themeColor="text1"/>
          <w:lang w:val="fr-FR"/>
        </w:rPr>
        <w:t>’</w:t>
      </w:r>
      <w:r w:rsidRPr="004C2A3C">
        <w:rPr>
          <w:color w:val="000000" w:themeColor="text1"/>
          <w:lang w:val="fr-FR"/>
        </w:rPr>
        <w:t>une étape supérieure, et qu</w:t>
      </w:r>
      <w:r>
        <w:rPr>
          <w:color w:val="000000" w:themeColor="text1"/>
          <w:lang w:val="fr-FR"/>
        </w:rPr>
        <w:t>’</w:t>
      </w:r>
      <w:r w:rsidRPr="004C2A3C">
        <w:rPr>
          <w:color w:val="000000" w:themeColor="text1"/>
          <w:lang w:val="fr-FR"/>
        </w:rPr>
        <w:t>il y a un risque de classification incorrecte, le classement est alors déterminé par une évaluation globale fondée sur la force probante des données</w:t>
      </w:r>
      <w:r w:rsidRPr="004C2A3C">
        <w:rPr>
          <w:i/>
          <w:iCs/>
          <w:color w:val="000000" w:themeColor="text1"/>
          <w:lang w:val="fr-FR"/>
        </w:rPr>
        <w:t>.</w:t>
      </w:r>
      <w:r w:rsidRPr="004C2A3C">
        <w:rPr>
          <w:color w:val="000000" w:themeColor="text1"/>
          <w:lang w:val="fr-FR"/>
        </w:rPr>
        <w:t xml:space="preserve"> Par exemple, après avoir consulté les instructions du 3.3.5.3 comme il convient, les responsables de la classification, préoccupés par le résultat négatif obtenu pour les lésions oculaires graves dans une étude</w:t>
      </w:r>
      <w:r w:rsidRPr="004C2A3C">
        <w:rPr>
          <w:i/>
          <w:iCs/>
          <w:color w:val="000000" w:themeColor="text1"/>
          <w:lang w:val="fr-FR"/>
        </w:rPr>
        <w:t xml:space="preserve"> in vitro</w:t>
      </w:r>
      <w:r w:rsidRPr="004C2A3C">
        <w:rPr>
          <w:iCs/>
          <w:color w:val="000000" w:themeColor="text1"/>
          <w:lang w:val="fr-FR"/>
        </w:rPr>
        <w:t>/</w:t>
      </w:r>
      <w:r w:rsidRPr="004C2A3C">
        <w:rPr>
          <w:i/>
          <w:iCs/>
          <w:color w:val="000000" w:themeColor="text1"/>
          <w:lang w:val="fr-FR"/>
        </w:rPr>
        <w:t xml:space="preserve">ex vivo </w:t>
      </w:r>
      <w:r w:rsidRPr="004C2A3C">
        <w:rPr>
          <w:color w:val="000000" w:themeColor="text1"/>
          <w:lang w:val="fr-FR"/>
        </w:rPr>
        <w:t>alors que le résultat était positif pour les lésions oculaires graves en utilisant d</w:t>
      </w:r>
      <w:r>
        <w:rPr>
          <w:color w:val="000000" w:themeColor="text1"/>
          <w:lang w:val="fr-FR"/>
        </w:rPr>
        <w:t>’</w:t>
      </w:r>
      <w:r w:rsidRPr="004C2A3C">
        <w:rPr>
          <w:color w:val="000000" w:themeColor="text1"/>
          <w:lang w:val="fr-FR"/>
        </w:rPr>
        <w:t>autres données existantes</w:t>
      </w:r>
      <w:r w:rsidRPr="004C2A3C">
        <w:rPr>
          <w:i/>
          <w:iCs/>
          <w:color w:val="000000" w:themeColor="text1"/>
          <w:lang w:val="fr-FR"/>
        </w:rPr>
        <w:t xml:space="preserve"> </w:t>
      </w:r>
      <w:r w:rsidRPr="004C2A3C">
        <w:rPr>
          <w:color w:val="000000" w:themeColor="text1"/>
          <w:lang w:val="fr-FR"/>
        </w:rPr>
        <w:t>sur animaux concernant les effets</w:t>
      </w:r>
      <w:r w:rsidRPr="004C2A3C">
        <w:rPr>
          <w:i/>
          <w:iCs/>
          <w:color w:val="000000" w:themeColor="text1"/>
          <w:lang w:val="fr-FR"/>
        </w:rPr>
        <w:t xml:space="preserve"> </w:t>
      </w:r>
      <w:r w:rsidRPr="004C2A3C">
        <w:rPr>
          <w:color w:val="000000" w:themeColor="text1"/>
          <w:lang w:val="fr-FR"/>
        </w:rPr>
        <w:t>sur l</w:t>
      </w:r>
      <w:r>
        <w:rPr>
          <w:color w:val="000000" w:themeColor="text1"/>
          <w:lang w:val="fr-FR"/>
        </w:rPr>
        <w:t>’</w:t>
      </w:r>
      <w:r w:rsidRPr="004C2A3C">
        <w:rPr>
          <w:color w:val="000000" w:themeColor="text1"/>
          <w:lang w:val="fr-FR"/>
        </w:rPr>
        <w:t>œil, utiliseraient une évaluation globale fondée sur la force probante des données. Il en irait de même lorsque des données obtenues sur l</w:t>
      </w:r>
      <w:r>
        <w:rPr>
          <w:color w:val="000000" w:themeColor="text1"/>
          <w:lang w:val="fr-FR"/>
        </w:rPr>
        <w:t>’</w:t>
      </w:r>
      <w:r w:rsidRPr="004C2A3C">
        <w:rPr>
          <w:color w:val="000000" w:themeColor="text1"/>
          <w:lang w:val="fr-FR"/>
        </w:rPr>
        <w:t>homme feraient état d</w:t>
      </w:r>
      <w:r>
        <w:rPr>
          <w:color w:val="000000" w:themeColor="text1"/>
          <w:lang w:val="fr-FR"/>
        </w:rPr>
        <w:t>’</w:t>
      </w:r>
      <w:r w:rsidRPr="004C2A3C">
        <w:rPr>
          <w:color w:val="000000" w:themeColor="text1"/>
          <w:lang w:val="fr-FR"/>
        </w:rPr>
        <w:t>une irritation oculaire, mais que l</w:t>
      </w:r>
      <w:r>
        <w:rPr>
          <w:color w:val="000000" w:themeColor="text1"/>
          <w:lang w:val="fr-FR"/>
        </w:rPr>
        <w:t>’</w:t>
      </w:r>
      <w:r w:rsidRPr="004C2A3C">
        <w:rPr>
          <w:color w:val="000000" w:themeColor="text1"/>
          <w:lang w:val="fr-FR"/>
        </w:rPr>
        <w:t xml:space="preserve">on disposerait également de données indiquant que les essais </w:t>
      </w:r>
      <w:r w:rsidRPr="004C2A3C">
        <w:rPr>
          <w:i/>
          <w:iCs/>
          <w:color w:val="000000" w:themeColor="text1"/>
          <w:lang w:val="fr-FR"/>
        </w:rPr>
        <w:t>in vitro</w:t>
      </w:r>
      <w:r w:rsidRPr="004C2A3C">
        <w:rPr>
          <w:iCs/>
          <w:color w:val="000000" w:themeColor="text1"/>
          <w:lang w:val="fr-FR"/>
        </w:rPr>
        <w:t>/</w:t>
      </w:r>
      <w:r w:rsidRPr="004C2A3C">
        <w:rPr>
          <w:i/>
          <w:iCs/>
          <w:color w:val="000000" w:themeColor="text1"/>
          <w:lang w:val="fr-FR"/>
        </w:rPr>
        <w:t>ex vivo</w:t>
      </w:r>
      <w:r w:rsidRPr="004C2A3C">
        <w:rPr>
          <w:color w:val="000000" w:themeColor="text1"/>
          <w:lang w:val="fr-FR"/>
        </w:rPr>
        <w:t xml:space="preserve"> ont donné des résultats positifs pour les lésions oculaires graves. ».</w:t>
      </w:r>
    </w:p>
    <w:p w14:paraId="6D06CA2C" w14:textId="77777777" w:rsidR="00EE41F8" w:rsidRPr="004C2A3C" w:rsidRDefault="00EE41F8" w:rsidP="00EE41F8">
      <w:pPr>
        <w:keepNext/>
        <w:keepLines/>
        <w:spacing w:after="120"/>
        <w:ind w:left="1134" w:right="1134"/>
        <w:jc w:val="both"/>
        <w:rPr>
          <w:color w:val="000000" w:themeColor="text1"/>
          <w:lang w:val="fr-FR"/>
        </w:rPr>
      </w:pPr>
      <w:r w:rsidRPr="004C2A3C">
        <w:rPr>
          <w:color w:val="000000" w:themeColor="text1"/>
          <w:lang w:val="fr-FR"/>
        </w:rPr>
        <w:t>Figure 3.3.1 :</w:t>
      </w:r>
      <w:r w:rsidRPr="004C2A3C">
        <w:rPr>
          <w:color w:val="000000" w:themeColor="text1"/>
          <w:lang w:val="fr-FR"/>
        </w:rPr>
        <w:tab/>
        <w:t>Remplacer la figure actuelle par la figure suivante :</w:t>
      </w:r>
    </w:p>
    <w:p w14:paraId="3886F11F" w14:textId="4DD2BD6D" w:rsidR="00EE41F8" w:rsidRPr="004C2A3C" w:rsidRDefault="00EE41F8" w:rsidP="00EE41F8">
      <w:pPr>
        <w:keepNext/>
        <w:spacing w:after="120"/>
        <w:ind w:left="1134" w:right="1134"/>
        <w:jc w:val="center"/>
        <w:rPr>
          <w:color w:val="000000" w:themeColor="text1"/>
          <w:lang w:val="fr-FR"/>
        </w:rPr>
      </w:pPr>
      <w:r w:rsidRPr="004C2A3C">
        <w:rPr>
          <w:color w:val="000000" w:themeColor="text1"/>
          <w:lang w:val="fr-FR"/>
        </w:rPr>
        <w:t>« </w:t>
      </w:r>
      <w:r w:rsidRPr="004C2A3C">
        <w:rPr>
          <w:b/>
          <w:bCs/>
          <w:color w:val="000000" w:themeColor="text1"/>
          <w:lang w:val="fr-FR"/>
        </w:rPr>
        <w:t>Figure 3.3.1 : Application de la méthode par étapes pour les lésions oculaires graves</w:t>
      </w:r>
      <w:r w:rsidRPr="004C2A3C">
        <w:rPr>
          <w:bCs/>
          <w:color w:val="000000" w:themeColor="text1"/>
          <w:lang w:val="fr-FR"/>
        </w:rPr>
        <w:t>/</w:t>
      </w:r>
      <w:r w:rsidRPr="004C2A3C">
        <w:rPr>
          <w:b/>
          <w:bCs/>
          <w:color w:val="000000" w:themeColor="text1"/>
          <w:lang w:val="fr-FR"/>
        </w:rPr>
        <w:t>l</w:t>
      </w:r>
      <w:r>
        <w:rPr>
          <w:b/>
          <w:bCs/>
          <w:color w:val="000000" w:themeColor="text1"/>
          <w:lang w:val="fr-FR"/>
        </w:rPr>
        <w:t>’</w:t>
      </w:r>
      <w:r w:rsidRPr="004C2A3C">
        <w:rPr>
          <w:b/>
          <w:bCs/>
          <w:color w:val="000000" w:themeColor="text1"/>
          <w:lang w:val="fr-FR"/>
        </w:rPr>
        <w:t xml:space="preserve">irritation </w:t>
      </w:r>
      <w:proofErr w:type="spellStart"/>
      <w:r w:rsidRPr="004C2A3C">
        <w:rPr>
          <w:b/>
          <w:bCs/>
          <w:color w:val="000000" w:themeColor="text1"/>
          <w:lang w:val="fr-FR"/>
        </w:rPr>
        <w:t>oculaire</w:t>
      </w:r>
      <w:r w:rsidRPr="004C2A3C">
        <w:rPr>
          <w:b/>
          <w:bCs/>
          <w:i/>
          <w:iCs/>
          <w:color w:val="000000" w:themeColor="text1"/>
          <w:vertAlign w:val="superscript"/>
          <w:lang w:val="fr-FR"/>
        </w:rPr>
        <w:t>a</w:t>
      </w:r>
      <w:proofErr w:type="spellEnd"/>
    </w:p>
    <w:p w14:paraId="2BDD04E9" w14:textId="4D7CF32F" w:rsidR="00EE41F8" w:rsidRPr="004C2A3C" w:rsidRDefault="007A0144" w:rsidP="00EE41F8">
      <w:pPr>
        <w:spacing w:after="120"/>
        <w:ind w:left="1134" w:right="1134"/>
        <w:jc w:val="both"/>
        <w:rPr>
          <w:color w:val="000000" w:themeColor="text1"/>
          <w:lang w:val="fr-FR"/>
        </w:rPr>
      </w:pPr>
      <w:r w:rsidRPr="004562B4">
        <w:rPr>
          <w:noProof/>
          <w:color w:val="000000" w:themeColor="text1"/>
          <w:lang w:val="fr-FR"/>
        </w:rPr>
        <w:object w:dxaOrig="7153" w:dyaOrig="11017" w14:anchorId="699823F1">
          <v:shape id="_x0000_i1027" type="#_x0000_t75" alt="" style="width:382.35pt;height:589.85pt" o:ole="">
            <v:imagedata r:id="rId16" o:title=""/>
          </v:shape>
          <o:OLEObject Type="Embed" ProgID="Visio.Drawing.15" ShapeID="_x0000_i1027" DrawAspect="Content" ObjectID="_1725284367" r:id="rId17"/>
        </w:object>
      </w:r>
    </w:p>
    <w:p w14:paraId="59121F88" w14:textId="77777777" w:rsidR="00EE41F8" w:rsidRPr="004C2A3C" w:rsidRDefault="00EE41F8" w:rsidP="00EE41F8">
      <w:pPr>
        <w:spacing w:after="120"/>
        <w:ind w:left="1134" w:right="1134"/>
        <w:jc w:val="right"/>
        <w:rPr>
          <w:color w:val="000000" w:themeColor="text1"/>
          <w:lang w:val="fr-FR"/>
        </w:rPr>
      </w:pPr>
      <w:r w:rsidRPr="004C2A3C">
        <w:rPr>
          <w:color w:val="000000" w:themeColor="text1"/>
          <w:lang w:val="fr-FR"/>
        </w:rPr>
        <w:t> ».</w:t>
      </w:r>
    </w:p>
    <w:p w14:paraId="275089C9" w14:textId="77777777" w:rsidR="00EE41F8" w:rsidRPr="004C2A3C" w:rsidRDefault="00EE41F8" w:rsidP="00EE41F8">
      <w:pPr>
        <w:keepNext/>
        <w:spacing w:after="120"/>
        <w:ind w:left="1134" w:right="1134"/>
        <w:jc w:val="both"/>
        <w:rPr>
          <w:color w:val="000000" w:themeColor="text1"/>
          <w:spacing w:val="-2"/>
          <w:lang w:val="fr-FR"/>
        </w:rPr>
      </w:pPr>
      <w:bookmarkStart w:id="4" w:name="_Hlk69885616"/>
      <w:r w:rsidRPr="004C2A3C">
        <w:rPr>
          <w:color w:val="000000" w:themeColor="text1"/>
          <w:spacing w:val="-2"/>
          <w:lang w:val="fr-FR"/>
        </w:rPr>
        <w:t>Remplacer les notes actuelles « a », « b », « c » et « d » de la figure 3.3.1 par les notes ci-après :</w:t>
      </w:r>
      <w:bookmarkEnd w:id="4"/>
    </w:p>
    <w:p w14:paraId="57C2B4A4" w14:textId="77777777" w:rsidR="00EE41F8" w:rsidRPr="004C2A3C" w:rsidRDefault="00EE41F8" w:rsidP="006D2189">
      <w:pPr>
        <w:tabs>
          <w:tab w:val="left" w:pos="1985"/>
          <w:tab w:val="left" w:pos="2552"/>
        </w:tabs>
        <w:spacing w:after="60" w:line="220" w:lineRule="exact"/>
        <w:ind w:left="1701" w:right="1134"/>
        <w:jc w:val="both"/>
        <w:rPr>
          <w:i/>
          <w:iCs/>
          <w:lang w:val="fr-FR"/>
        </w:rPr>
      </w:pPr>
      <w:r w:rsidRPr="004C2A3C">
        <w:rPr>
          <w:lang w:val="fr-FR"/>
        </w:rPr>
        <w:t>« </w:t>
      </w:r>
      <w:proofErr w:type="gramStart"/>
      <w:r w:rsidRPr="004C2A3C">
        <w:rPr>
          <w:i/>
          <w:iCs/>
          <w:vertAlign w:val="superscript"/>
          <w:lang w:val="fr-FR"/>
        </w:rPr>
        <w:t>a</w:t>
      </w:r>
      <w:proofErr w:type="gramEnd"/>
      <w:r w:rsidRPr="004C2A3C">
        <w:rPr>
          <w:i/>
          <w:iCs/>
          <w:lang w:val="fr-FR"/>
        </w:rPr>
        <w:tab/>
        <w:t>Il convient de prendre connaissance du texte explicatif du 3.3.2.10 ainsi que des instructions du 3.3.5.3 avant d</w:t>
      </w:r>
      <w:r>
        <w:rPr>
          <w:i/>
          <w:iCs/>
          <w:lang w:val="fr-FR"/>
        </w:rPr>
        <w:t>’</w:t>
      </w:r>
      <w:r w:rsidRPr="004C2A3C">
        <w:rPr>
          <w:i/>
          <w:iCs/>
          <w:lang w:val="fr-FR"/>
        </w:rPr>
        <w:t>appliquer la méthode. Seules des données fiables, adéquates et d</w:t>
      </w:r>
      <w:r>
        <w:rPr>
          <w:i/>
          <w:iCs/>
          <w:lang w:val="fr-FR"/>
        </w:rPr>
        <w:t>’</w:t>
      </w:r>
      <w:r w:rsidRPr="004C2A3C">
        <w:rPr>
          <w:i/>
          <w:iCs/>
          <w:lang w:val="fr-FR"/>
        </w:rPr>
        <w:t>une qualité suffisante devraient être prises en compte dans le cadre de la méthode par étapes.</w:t>
      </w:r>
    </w:p>
    <w:p w14:paraId="6398E280" w14:textId="77777777" w:rsidR="00EE41F8" w:rsidRPr="004C2A3C" w:rsidRDefault="00EE41F8" w:rsidP="006D2189">
      <w:pPr>
        <w:keepNext/>
        <w:tabs>
          <w:tab w:val="left" w:pos="1418"/>
          <w:tab w:val="left" w:pos="1985"/>
          <w:tab w:val="left" w:pos="2552"/>
        </w:tabs>
        <w:spacing w:after="60" w:line="220" w:lineRule="exact"/>
        <w:ind w:left="1701" w:right="1134"/>
        <w:jc w:val="both"/>
        <w:rPr>
          <w:i/>
          <w:iCs/>
          <w:lang w:val="fr-FR"/>
        </w:rPr>
      </w:pPr>
      <w:proofErr w:type="gramStart"/>
      <w:r w:rsidRPr="004C2A3C">
        <w:rPr>
          <w:i/>
          <w:iCs/>
          <w:vertAlign w:val="superscript"/>
          <w:lang w:val="fr-FR"/>
        </w:rPr>
        <w:t>b</w:t>
      </w:r>
      <w:proofErr w:type="gramEnd"/>
      <w:r w:rsidRPr="004C2A3C">
        <w:rPr>
          <w:i/>
          <w:iCs/>
          <w:lang w:val="fr-FR"/>
        </w:rPr>
        <w:tab/>
        <w:t>Les informations peuvent être non concluantes pour différentes raisons, notamment :</w:t>
      </w:r>
    </w:p>
    <w:p w14:paraId="7B362A0E" w14:textId="77777777" w:rsidR="00EE41F8" w:rsidRPr="004C2A3C" w:rsidRDefault="00EE41F8" w:rsidP="006D2189">
      <w:pPr>
        <w:tabs>
          <w:tab w:val="left" w:pos="1418"/>
          <w:tab w:val="left" w:pos="2552"/>
        </w:tabs>
        <w:spacing w:after="60" w:line="220" w:lineRule="exact"/>
        <w:ind w:left="2268" w:right="1134" w:hanging="283"/>
        <w:jc w:val="both"/>
        <w:rPr>
          <w:i/>
          <w:iCs/>
          <w:lang w:val="fr-FR"/>
        </w:rPr>
      </w:pPr>
      <w:r w:rsidRPr="004C2A3C">
        <w:rPr>
          <w:i/>
          <w:iCs/>
          <w:lang w:val="fr-FR"/>
        </w:rPr>
        <w:t>-</w:t>
      </w:r>
      <w:r w:rsidRPr="004C2A3C">
        <w:rPr>
          <w:i/>
          <w:iCs/>
          <w:lang w:val="fr-FR"/>
        </w:rPr>
        <w:tab/>
        <w:t>Les données disponibles peuvent être de qualité insuffisante, ou insuffisantes ou inadéquates à d</w:t>
      </w:r>
      <w:r>
        <w:rPr>
          <w:i/>
          <w:iCs/>
          <w:lang w:val="fr-FR"/>
        </w:rPr>
        <w:t>’</w:t>
      </w:r>
      <w:r w:rsidRPr="004C2A3C">
        <w:rPr>
          <w:i/>
          <w:iCs/>
          <w:lang w:val="fr-FR"/>
        </w:rPr>
        <w:t>autres titres aux fins du classement, par exemple en raison de problèmes de qualité liés à une méthode ou à une communication des données expérimentales ;</w:t>
      </w:r>
    </w:p>
    <w:p w14:paraId="67F847F4" w14:textId="77777777" w:rsidR="00EE41F8" w:rsidRPr="004C2A3C" w:rsidRDefault="00EE41F8" w:rsidP="006D2189">
      <w:pPr>
        <w:tabs>
          <w:tab w:val="left" w:pos="1418"/>
          <w:tab w:val="left" w:pos="2552"/>
        </w:tabs>
        <w:spacing w:after="60" w:line="220" w:lineRule="exact"/>
        <w:ind w:left="2268" w:right="1134" w:hanging="283"/>
        <w:jc w:val="both"/>
        <w:rPr>
          <w:i/>
          <w:iCs/>
          <w:lang w:val="fr-FR"/>
        </w:rPr>
      </w:pPr>
      <w:r w:rsidRPr="004C2A3C">
        <w:rPr>
          <w:i/>
          <w:iCs/>
          <w:lang w:val="fr-FR"/>
        </w:rPr>
        <w:t>-</w:t>
      </w:r>
      <w:r w:rsidRPr="004C2A3C">
        <w:rPr>
          <w:i/>
          <w:iCs/>
          <w:lang w:val="fr-FR"/>
        </w:rPr>
        <w:tab/>
        <w:t>Les données disponibles peuvent être insuffisantes pour parvenir à une conclusion concernant le classement ; elles peuvent par exemple être indicatives de l</w:t>
      </w:r>
      <w:r>
        <w:rPr>
          <w:i/>
          <w:iCs/>
          <w:lang w:val="fr-FR"/>
        </w:rPr>
        <w:t>’</w:t>
      </w:r>
      <w:r w:rsidRPr="004C2A3C">
        <w:rPr>
          <w:i/>
          <w:iCs/>
          <w:lang w:val="fr-FR"/>
        </w:rPr>
        <w:t>absence de lésions oculaires graves mais ne pas être adaptées pour prouver une irritation oculaire ;</w:t>
      </w:r>
    </w:p>
    <w:p w14:paraId="3AED58FF" w14:textId="77777777" w:rsidR="00EE41F8" w:rsidRPr="004C2A3C" w:rsidRDefault="00EE41F8" w:rsidP="006D2189">
      <w:pPr>
        <w:tabs>
          <w:tab w:val="left" w:pos="1418"/>
          <w:tab w:val="left" w:pos="2552"/>
        </w:tabs>
        <w:spacing w:after="60" w:line="220" w:lineRule="exact"/>
        <w:ind w:left="2268" w:right="1134" w:hanging="283"/>
        <w:jc w:val="both"/>
        <w:rPr>
          <w:i/>
          <w:iCs/>
          <w:lang w:val="fr-FR"/>
        </w:rPr>
      </w:pPr>
      <w:r w:rsidRPr="004C2A3C">
        <w:rPr>
          <w:i/>
          <w:iCs/>
          <w:lang w:val="fr-FR"/>
        </w:rPr>
        <w:t>-</w:t>
      </w:r>
      <w:r w:rsidRPr="004C2A3C">
        <w:rPr>
          <w:i/>
          <w:iCs/>
          <w:lang w:val="fr-FR"/>
        </w:rPr>
        <w:tab/>
        <w:t>Si les autorités compétentes utilisent la catégorie 2A et la catégorie 2B (irritation oculaire), les données disponibles ne permettront pas toujours d</w:t>
      </w:r>
      <w:r>
        <w:rPr>
          <w:i/>
          <w:iCs/>
          <w:lang w:val="fr-FR"/>
        </w:rPr>
        <w:t>’</w:t>
      </w:r>
      <w:r w:rsidRPr="004C2A3C">
        <w:rPr>
          <w:i/>
          <w:iCs/>
          <w:lang w:val="fr-FR"/>
        </w:rPr>
        <w:t>établir une distinction entre la catégorie 2A et la catégorie 2B.</w:t>
      </w:r>
    </w:p>
    <w:p w14:paraId="3E7C040E" w14:textId="77777777" w:rsidR="00EE41F8" w:rsidRPr="004C2A3C" w:rsidRDefault="00EE41F8" w:rsidP="006D2189">
      <w:pPr>
        <w:tabs>
          <w:tab w:val="left" w:pos="1985"/>
          <w:tab w:val="left" w:pos="2552"/>
        </w:tabs>
        <w:spacing w:after="60" w:line="220" w:lineRule="exact"/>
        <w:ind w:left="1701" w:right="1134"/>
        <w:jc w:val="both"/>
        <w:rPr>
          <w:i/>
          <w:iCs/>
          <w:lang w:val="fr-FR"/>
        </w:rPr>
      </w:pPr>
      <w:proofErr w:type="gramStart"/>
      <w:r w:rsidRPr="004C2A3C">
        <w:rPr>
          <w:i/>
          <w:iCs/>
          <w:vertAlign w:val="superscript"/>
          <w:lang w:val="fr-FR"/>
        </w:rPr>
        <w:t>c</w:t>
      </w:r>
      <w:proofErr w:type="gramEnd"/>
      <w:r w:rsidRPr="004C2A3C">
        <w:rPr>
          <w:i/>
          <w:iCs/>
          <w:lang w:val="fr-FR"/>
        </w:rPr>
        <w:tab/>
        <w:t>Il est admis que les substances irritantes pour la peau ne le sont pas forcément pour les yeux et que les substances qui ne sont pas irritantes pour la peau peuvent l</w:t>
      </w:r>
      <w:r>
        <w:rPr>
          <w:i/>
          <w:iCs/>
          <w:lang w:val="fr-FR"/>
        </w:rPr>
        <w:t>’</w:t>
      </w:r>
      <w:r w:rsidRPr="004C2A3C">
        <w:rPr>
          <w:i/>
          <w:iCs/>
          <w:lang w:val="fr-FR"/>
        </w:rPr>
        <w:t>être pour les yeux (voir 3.3.2.5, 3.3.2.6, 3.3.2.8.4 et 3.3.2.9.1).</w:t>
      </w:r>
    </w:p>
    <w:p w14:paraId="36B469A0" w14:textId="77777777" w:rsidR="00EE41F8" w:rsidRPr="004C2A3C" w:rsidRDefault="00EE41F8" w:rsidP="006D2189">
      <w:pPr>
        <w:tabs>
          <w:tab w:val="left" w:pos="1985"/>
          <w:tab w:val="left" w:pos="2552"/>
        </w:tabs>
        <w:spacing w:after="60" w:line="220" w:lineRule="exact"/>
        <w:ind w:left="1701" w:right="1134"/>
        <w:jc w:val="both"/>
        <w:rPr>
          <w:lang w:val="fr-FR"/>
        </w:rPr>
      </w:pPr>
      <w:proofErr w:type="gramStart"/>
      <w:r w:rsidRPr="004C2A3C">
        <w:rPr>
          <w:i/>
          <w:iCs/>
          <w:vertAlign w:val="superscript"/>
          <w:lang w:val="fr-FR"/>
        </w:rPr>
        <w:t>d</w:t>
      </w:r>
      <w:proofErr w:type="gramEnd"/>
      <w:r w:rsidRPr="004C2A3C">
        <w:rPr>
          <w:i/>
          <w:iCs/>
          <w:lang w:val="fr-FR"/>
        </w:rPr>
        <w:tab/>
        <w:t>Pour les mélanges, il convient de suivre le diagramme de décision de la figure 3.3.2</w:t>
      </w:r>
      <w:r w:rsidRPr="004C2A3C">
        <w:rPr>
          <w:lang w:val="fr-FR"/>
        </w:rPr>
        <w:t>. ».</w:t>
      </w:r>
    </w:p>
    <w:p w14:paraId="4244DF1D" w14:textId="77777777" w:rsidR="00EE41F8" w:rsidRPr="004C2A3C" w:rsidRDefault="00EE41F8" w:rsidP="00EE41F8">
      <w:pPr>
        <w:spacing w:after="120"/>
        <w:ind w:left="1134" w:right="1134"/>
        <w:jc w:val="both"/>
        <w:rPr>
          <w:color w:val="000000" w:themeColor="text1"/>
          <w:lang w:val="fr-FR"/>
        </w:rPr>
      </w:pPr>
      <w:r w:rsidRPr="004C2A3C">
        <w:rPr>
          <w:color w:val="000000" w:themeColor="text1"/>
          <w:lang w:val="fr-FR"/>
        </w:rPr>
        <w:t>Supprimer les notes « e » et « f » de la figure 3.3.1.</w:t>
      </w:r>
    </w:p>
    <w:p w14:paraId="67303A05" w14:textId="77777777" w:rsidR="00EE41F8" w:rsidRPr="004C2A3C" w:rsidRDefault="00EE41F8" w:rsidP="00EE41F8">
      <w:pPr>
        <w:keepNext/>
        <w:tabs>
          <w:tab w:val="left" w:pos="2268"/>
        </w:tabs>
        <w:spacing w:after="120"/>
        <w:ind w:left="1134" w:right="1134"/>
        <w:jc w:val="both"/>
        <w:rPr>
          <w:color w:val="000000" w:themeColor="text1"/>
          <w:lang w:val="fr-FR"/>
        </w:rPr>
      </w:pPr>
      <w:r w:rsidRPr="004C2A3C">
        <w:rPr>
          <w:color w:val="000000" w:themeColor="text1"/>
          <w:lang w:val="fr-FR"/>
        </w:rPr>
        <w:t>3.3.3</w:t>
      </w:r>
      <w:r w:rsidRPr="004C2A3C">
        <w:rPr>
          <w:color w:val="000000" w:themeColor="text1"/>
          <w:lang w:val="fr-FR"/>
        </w:rPr>
        <w:tab/>
        <w:t>Modifier pour lire comme suit :</w:t>
      </w:r>
    </w:p>
    <w:p w14:paraId="402EAD87" w14:textId="77777777" w:rsidR="00EE41F8" w:rsidRPr="004C2A3C" w:rsidRDefault="00EE41F8" w:rsidP="00EE41F8">
      <w:pPr>
        <w:tabs>
          <w:tab w:val="left" w:pos="3402"/>
        </w:tabs>
        <w:spacing w:after="120"/>
        <w:ind w:left="2268" w:right="1134"/>
        <w:jc w:val="both"/>
        <w:rPr>
          <w:b/>
          <w:bCs/>
          <w:color w:val="000000" w:themeColor="text1"/>
          <w:lang w:val="fr-FR"/>
        </w:rPr>
      </w:pPr>
      <w:bookmarkStart w:id="5" w:name="_Hlk69885708"/>
      <w:r w:rsidRPr="004C2A3C">
        <w:rPr>
          <w:color w:val="000000" w:themeColor="text1"/>
          <w:lang w:val="fr-FR"/>
        </w:rPr>
        <w:t>« </w:t>
      </w:r>
      <w:r w:rsidRPr="004C2A3C">
        <w:rPr>
          <w:b/>
          <w:bCs/>
          <w:color w:val="000000" w:themeColor="text1"/>
          <w:lang w:val="fr-FR"/>
        </w:rPr>
        <w:t>3.3.3</w:t>
      </w:r>
      <w:r w:rsidRPr="004C2A3C">
        <w:rPr>
          <w:color w:val="000000" w:themeColor="text1"/>
          <w:lang w:val="fr-FR"/>
        </w:rPr>
        <w:tab/>
      </w:r>
      <w:r w:rsidRPr="004C2A3C">
        <w:rPr>
          <w:color w:val="000000" w:themeColor="text1"/>
          <w:lang w:val="fr-FR"/>
        </w:rPr>
        <w:tab/>
      </w:r>
      <w:r w:rsidRPr="004C2A3C">
        <w:rPr>
          <w:b/>
          <w:bCs/>
          <w:color w:val="000000" w:themeColor="text1"/>
          <w:lang w:val="fr-FR"/>
        </w:rPr>
        <w:t>Critères de classification des mélanges</w:t>
      </w:r>
    </w:p>
    <w:p w14:paraId="59C3FA78" w14:textId="77777777" w:rsidR="00EE41F8" w:rsidRPr="004C2A3C" w:rsidRDefault="00EE41F8" w:rsidP="00EE41F8">
      <w:pPr>
        <w:tabs>
          <w:tab w:val="left" w:pos="3402"/>
        </w:tabs>
        <w:spacing w:after="120"/>
        <w:ind w:left="2268" w:right="1134"/>
        <w:jc w:val="both"/>
        <w:rPr>
          <w:color w:val="000000" w:themeColor="text1"/>
          <w:lang w:val="fr-FR"/>
        </w:rPr>
      </w:pPr>
      <w:r w:rsidRPr="004C2A3C">
        <w:rPr>
          <w:color w:val="000000" w:themeColor="text1"/>
          <w:lang w:val="fr-FR"/>
        </w:rPr>
        <w:tab/>
        <w:t>Dans la classification concernant les lésions oculaires graves et l</w:t>
      </w:r>
      <w:r>
        <w:rPr>
          <w:color w:val="000000" w:themeColor="text1"/>
          <w:lang w:val="fr-FR"/>
        </w:rPr>
        <w:t>’</w:t>
      </w:r>
      <w:r w:rsidRPr="004C2A3C">
        <w:rPr>
          <w:color w:val="000000" w:themeColor="text1"/>
          <w:lang w:val="fr-FR"/>
        </w:rPr>
        <w:t>irritation oculaire, on procède par étapes en fonction des informations disponibles pour le mélange proprement dit et pour ses composants. Les étapes de classification qu</w:t>
      </w:r>
      <w:r>
        <w:rPr>
          <w:color w:val="000000" w:themeColor="text1"/>
          <w:lang w:val="fr-FR"/>
        </w:rPr>
        <w:t>’</w:t>
      </w:r>
      <w:r w:rsidRPr="004C2A3C">
        <w:rPr>
          <w:color w:val="000000" w:themeColor="text1"/>
          <w:lang w:val="fr-FR"/>
        </w:rPr>
        <w:t>il convient de suivre sont représentées dans le diagramme de décision de la figure 3.3.2.</w:t>
      </w:r>
      <w:bookmarkEnd w:id="5"/>
    </w:p>
    <w:p w14:paraId="4E6CB30C" w14:textId="77777777" w:rsidR="00EE41F8" w:rsidRPr="004C2A3C" w:rsidRDefault="00EE41F8" w:rsidP="00EE41F8">
      <w:pPr>
        <w:keepNext/>
        <w:spacing w:after="120"/>
        <w:ind w:left="1134" w:right="1134"/>
        <w:jc w:val="center"/>
        <w:rPr>
          <w:b/>
          <w:bCs/>
          <w:color w:val="000000" w:themeColor="text1"/>
          <w:lang w:val="fr-FR"/>
        </w:rPr>
      </w:pPr>
      <w:r w:rsidRPr="004C2A3C">
        <w:rPr>
          <w:b/>
          <w:bCs/>
          <w:color w:val="000000" w:themeColor="text1"/>
          <w:lang w:val="fr-FR"/>
        </w:rPr>
        <w:t xml:space="preserve">Figure 3.3.2 : Étapes de la classification des mélanges </w:t>
      </w:r>
      <w:r w:rsidRPr="004C2A3C">
        <w:rPr>
          <w:b/>
          <w:bCs/>
          <w:color w:val="000000" w:themeColor="text1"/>
          <w:lang w:val="fr-FR"/>
        </w:rPr>
        <w:br/>
        <w:t>pour les lésions oculaires graves et l</w:t>
      </w:r>
      <w:r>
        <w:rPr>
          <w:b/>
          <w:bCs/>
          <w:color w:val="000000" w:themeColor="text1"/>
          <w:lang w:val="fr-FR"/>
        </w:rPr>
        <w:t>’</w:t>
      </w:r>
      <w:r w:rsidRPr="004C2A3C">
        <w:rPr>
          <w:b/>
          <w:bCs/>
          <w:color w:val="000000" w:themeColor="text1"/>
          <w:lang w:val="fr-FR"/>
        </w:rPr>
        <w:t>irritation oculaire</w:t>
      </w:r>
    </w:p>
    <w:p w14:paraId="3B1DAAF4" w14:textId="1FD19FB6" w:rsidR="00EE41F8" w:rsidRPr="004C2A3C" w:rsidRDefault="00906F92" w:rsidP="00EE41F8">
      <w:pPr>
        <w:spacing w:after="240"/>
        <w:ind w:left="1134" w:right="1134"/>
        <w:jc w:val="center"/>
        <w:rPr>
          <w:color w:val="000000" w:themeColor="text1"/>
          <w:lang w:val="fr-FR"/>
        </w:rPr>
      </w:pPr>
      <w:r w:rsidRPr="004C2A3C">
        <w:rPr>
          <w:noProof/>
          <w:color w:val="000000" w:themeColor="text1"/>
        </w:rPr>
        <w:object w:dxaOrig="6865" w:dyaOrig="7825" w14:anchorId="0CA7BA4F">
          <v:shape id="_x0000_i1028" type="#_x0000_t75" alt="" style="width:365.8pt;height:417.35pt" o:ole="">
            <v:imagedata r:id="rId18" o:title=""/>
          </v:shape>
          <o:OLEObject Type="Embed" ProgID="Visio.Drawing.15" ShapeID="_x0000_i1028" DrawAspect="Content" ObjectID="_1725284368" r:id="rId19"/>
        </w:object>
      </w:r>
    </w:p>
    <w:p w14:paraId="7C341313" w14:textId="77777777" w:rsidR="00EE41F8" w:rsidRPr="004C2A3C" w:rsidRDefault="00EE41F8" w:rsidP="00EE41F8">
      <w:pPr>
        <w:tabs>
          <w:tab w:val="left" w:pos="1418"/>
        </w:tabs>
        <w:spacing w:after="240" w:line="220" w:lineRule="atLeast"/>
        <w:ind w:left="1134" w:right="1134"/>
        <w:jc w:val="both"/>
        <w:rPr>
          <w:i/>
          <w:iCs/>
          <w:color w:val="000000" w:themeColor="text1"/>
          <w:shd w:val="clear" w:color="auto" w:fill="FFFFFF"/>
          <w:lang w:val="fr-FR"/>
        </w:rPr>
      </w:pPr>
      <w:proofErr w:type="gramStart"/>
      <w:r w:rsidRPr="004C2A3C">
        <w:rPr>
          <w:b/>
          <w:bCs/>
          <w:i/>
          <w:iCs/>
          <w:color w:val="000000" w:themeColor="text1"/>
          <w:vertAlign w:val="superscript"/>
          <w:lang w:val="fr-FR"/>
        </w:rPr>
        <w:t>a</w:t>
      </w:r>
      <w:proofErr w:type="gramEnd"/>
      <w:r w:rsidRPr="004C2A3C">
        <w:rPr>
          <w:color w:val="000000" w:themeColor="text1"/>
          <w:lang w:val="fr-FR"/>
        </w:rPr>
        <w:tab/>
      </w:r>
      <w:r w:rsidRPr="004C2A3C">
        <w:rPr>
          <w:i/>
          <w:iCs/>
          <w:color w:val="000000" w:themeColor="text1"/>
          <w:lang w:val="fr-FR"/>
        </w:rPr>
        <w:t>Les cases entourées d</w:t>
      </w:r>
      <w:r>
        <w:rPr>
          <w:i/>
          <w:iCs/>
          <w:color w:val="000000" w:themeColor="text1"/>
          <w:lang w:val="fr-FR"/>
        </w:rPr>
        <w:t>’</w:t>
      </w:r>
      <w:r w:rsidRPr="004C2A3C">
        <w:rPr>
          <w:i/>
          <w:iCs/>
          <w:color w:val="000000" w:themeColor="text1"/>
          <w:lang w:val="fr-FR"/>
        </w:rPr>
        <w:t>une ligne tiretée représentent une sous-étape individuelle à l</w:t>
      </w:r>
      <w:r>
        <w:rPr>
          <w:i/>
          <w:iCs/>
          <w:color w:val="000000" w:themeColor="text1"/>
          <w:lang w:val="fr-FR"/>
        </w:rPr>
        <w:t>’</w:t>
      </w:r>
      <w:r w:rsidRPr="004C2A3C">
        <w:rPr>
          <w:i/>
          <w:iCs/>
          <w:color w:val="000000" w:themeColor="text1"/>
          <w:lang w:val="fr-FR"/>
        </w:rPr>
        <w:t>étape des données concluantes sur le mélange en tant que tel.</w:t>
      </w:r>
      <w:r w:rsidRPr="004C2A3C">
        <w:rPr>
          <w:color w:val="000000" w:themeColor="text1"/>
          <w:lang w:val="fr-FR"/>
        </w:rPr>
        <w:t xml:space="preserve"> </w:t>
      </w:r>
      <w:r w:rsidRPr="004C2A3C">
        <w:rPr>
          <w:i/>
          <w:iCs/>
          <w:color w:val="000000" w:themeColor="text1"/>
          <w:lang w:val="fr-FR"/>
        </w:rPr>
        <w:t>Toutefois, contrairement aux prescriptions concernant les substances, dans le cas des mélanges présentant “un pH extrême (≤ 2 ou ≥ 11,5) et une réserve acide</w:t>
      </w:r>
      <w:r w:rsidRPr="004C2A3C">
        <w:rPr>
          <w:iCs/>
          <w:color w:val="000000" w:themeColor="text1"/>
          <w:lang w:val="fr-FR"/>
        </w:rPr>
        <w:t>/</w:t>
      </w:r>
      <w:r w:rsidRPr="004C2A3C">
        <w:rPr>
          <w:i/>
          <w:iCs/>
          <w:color w:val="000000" w:themeColor="text1"/>
          <w:lang w:val="fr-FR"/>
        </w:rPr>
        <w:t>alcaline non significative”, mais pour lesquels il n</w:t>
      </w:r>
      <w:r>
        <w:rPr>
          <w:i/>
          <w:iCs/>
          <w:color w:val="000000" w:themeColor="text1"/>
          <w:lang w:val="fr-FR"/>
        </w:rPr>
        <w:t>’</w:t>
      </w:r>
      <w:r w:rsidRPr="004C2A3C">
        <w:rPr>
          <w:i/>
          <w:iCs/>
          <w:color w:val="000000" w:themeColor="text1"/>
          <w:lang w:val="fr-FR"/>
        </w:rPr>
        <w:t>existe pas d</w:t>
      </w:r>
      <w:r>
        <w:rPr>
          <w:i/>
          <w:iCs/>
          <w:color w:val="000000" w:themeColor="text1"/>
          <w:lang w:val="fr-FR"/>
        </w:rPr>
        <w:t>’</w:t>
      </w:r>
      <w:r w:rsidRPr="004C2A3C">
        <w:rPr>
          <w:i/>
          <w:iCs/>
          <w:color w:val="000000" w:themeColor="text1"/>
          <w:lang w:val="fr-FR"/>
        </w:rPr>
        <w:t>autres données concluantes sur le mélange en tant que tel, ou pour lesquels l</w:t>
      </w:r>
      <w:r>
        <w:rPr>
          <w:i/>
          <w:iCs/>
          <w:color w:val="000000" w:themeColor="text1"/>
          <w:lang w:val="fr-FR"/>
        </w:rPr>
        <w:t>’</w:t>
      </w:r>
      <w:r w:rsidRPr="004C2A3C">
        <w:rPr>
          <w:i/>
          <w:iCs/>
          <w:color w:val="000000" w:themeColor="text1"/>
          <w:lang w:val="fr-FR"/>
        </w:rPr>
        <w:t>évaluation globale de la force probante des données à partir de l</w:t>
      </w:r>
      <w:r>
        <w:rPr>
          <w:i/>
          <w:iCs/>
          <w:color w:val="000000" w:themeColor="text1"/>
          <w:lang w:val="fr-FR"/>
        </w:rPr>
        <w:t>’</w:t>
      </w:r>
      <w:r w:rsidRPr="004C2A3C">
        <w:rPr>
          <w:i/>
          <w:iCs/>
          <w:color w:val="000000" w:themeColor="text1"/>
          <w:lang w:val="fr-FR"/>
        </w:rPr>
        <w:t>ensemble des données disponibles sur le mélange en tant que tel n</w:t>
      </w:r>
      <w:r>
        <w:rPr>
          <w:i/>
          <w:iCs/>
          <w:color w:val="000000" w:themeColor="text1"/>
          <w:lang w:val="fr-FR"/>
        </w:rPr>
        <w:t>’</w:t>
      </w:r>
      <w:r w:rsidRPr="004C2A3C">
        <w:rPr>
          <w:i/>
          <w:iCs/>
          <w:color w:val="000000" w:themeColor="text1"/>
          <w:lang w:val="fr-FR"/>
        </w:rPr>
        <w:t>est pas concluante, les données sont considérées comme non concluantes à chaque sous-étape de l</w:t>
      </w:r>
      <w:r>
        <w:rPr>
          <w:i/>
          <w:iCs/>
          <w:color w:val="000000" w:themeColor="text1"/>
          <w:lang w:val="fr-FR"/>
        </w:rPr>
        <w:t>’</w:t>
      </w:r>
      <w:r w:rsidRPr="004C2A3C">
        <w:rPr>
          <w:i/>
          <w:iCs/>
          <w:color w:val="000000" w:themeColor="text1"/>
          <w:lang w:val="fr-FR"/>
        </w:rPr>
        <w:t>étape des données concluantes sur le mélange en tant que tel.</w:t>
      </w:r>
      <w:r w:rsidRPr="004C2A3C">
        <w:rPr>
          <w:color w:val="000000" w:themeColor="text1"/>
          <w:lang w:val="fr-FR"/>
        </w:rPr>
        <w:t xml:space="preserve"> </w:t>
      </w:r>
      <w:r w:rsidRPr="004C2A3C">
        <w:rPr>
          <w:i/>
          <w:iCs/>
          <w:color w:val="000000" w:themeColor="text1"/>
          <w:lang w:val="fr-FR"/>
        </w:rPr>
        <w:t>Ces mélanges devraient être évalués conformément aux principes d</w:t>
      </w:r>
      <w:r>
        <w:rPr>
          <w:i/>
          <w:iCs/>
          <w:color w:val="000000" w:themeColor="text1"/>
          <w:lang w:val="fr-FR"/>
        </w:rPr>
        <w:t>’</w:t>
      </w:r>
      <w:r w:rsidRPr="004C2A3C">
        <w:rPr>
          <w:i/>
          <w:iCs/>
          <w:color w:val="000000" w:themeColor="text1"/>
          <w:lang w:val="fr-FR"/>
        </w:rPr>
        <w:t>extrapolation avant que le pH extrême puisse être considéré comme concluant aux fins de la classification. </w:t>
      </w:r>
      <w:r w:rsidRPr="004C2A3C">
        <w:rPr>
          <w:color w:val="000000" w:themeColor="text1"/>
          <w:lang w:val="fr-FR"/>
        </w:rPr>
        <w:t>».</w:t>
      </w:r>
    </w:p>
    <w:p w14:paraId="74CCC832" w14:textId="77777777" w:rsidR="00EE41F8" w:rsidRPr="004C2A3C" w:rsidRDefault="00EE41F8" w:rsidP="00EE41F8">
      <w:pPr>
        <w:keepNext/>
        <w:tabs>
          <w:tab w:val="left" w:pos="3119"/>
        </w:tabs>
        <w:spacing w:after="120"/>
        <w:ind w:left="1134" w:right="1134"/>
        <w:jc w:val="both"/>
        <w:rPr>
          <w:color w:val="000000" w:themeColor="text1"/>
          <w:lang w:val="fr-FR"/>
        </w:rPr>
      </w:pPr>
      <w:r w:rsidRPr="004C2A3C">
        <w:rPr>
          <w:color w:val="000000" w:themeColor="text1"/>
          <w:lang w:val="fr-FR"/>
        </w:rPr>
        <w:t>3.3.3.1.1 et 3.3.3.1.2</w:t>
      </w:r>
      <w:r w:rsidRPr="004C2A3C">
        <w:rPr>
          <w:color w:val="000000" w:themeColor="text1"/>
          <w:lang w:val="fr-FR"/>
        </w:rPr>
        <w:tab/>
        <w:t>Modifier pour lire comme suit :</w:t>
      </w:r>
    </w:p>
    <w:p w14:paraId="6F290F96" w14:textId="77777777" w:rsidR="00EE41F8" w:rsidRPr="004C2A3C" w:rsidRDefault="00EE41F8" w:rsidP="00EE41F8">
      <w:pPr>
        <w:tabs>
          <w:tab w:val="left" w:pos="3402"/>
        </w:tabs>
        <w:spacing w:after="120"/>
        <w:ind w:left="2268" w:right="1134"/>
        <w:jc w:val="both"/>
        <w:rPr>
          <w:color w:val="000000" w:themeColor="text1"/>
          <w:spacing w:val="-2"/>
          <w:lang w:val="fr-FR"/>
        </w:rPr>
      </w:pPr>
      <w:bookmarkStart w:id="6" w:name="_Hlk69885839"/>
      <w:r w:rsidRPr="004C2A3C">
        <w:rPr>
          <w:color w:val="000000" w:themeColor="text1"/>
          <w:spacing w:val="-2"/>
          <w:lang w:val="fr-FR"/>
        </w:rPr>
        <w:t>« 3.3.3.1.1</w:t>
      </w:r>
      <w:r w:rsidRPr="004C2A3C">
        <w:rPr>
          <w:color w:val="000000" w:themeColor="text1"/>
          <w:spacing w:val="-2"/>
          <w:lang w:val="fr-FR"/>
        </w:rPr>
        <w:tab/>
        <w:t>Le mélange doit généralement être classé à l</w:t>
      </w:r>
      <w:r>
        <w:rPr>
          <w:color w:val="000000" w:themeColor="text1"/>
          <w:spacing w:val="-2"/>
          <w:lang w:val="fr-FR"/>
        </w:rPr>
        <w:t>’</w:t>
      </w:r>
      <w:r w:rsidRPr="004C2A3C">
        <w:rPr>
          <w:color w:val="000000" w:themeColor="text1"/>
          <w:spacing w:val="-2"/>
          <w:lang w:val="fr-FR"/>
        </w:rPr>
        <w:t>aide des critères applicables aux substances, en tenant compte de la méthode par étapes aux fins de l</w:t>
      </w:r>
      <w:r>
        <w:rPr>
          <w:color w:val="000000" w:themeColor="text1"/>
          <w:spacing w:val="-2"/>
          <w:lang w:val="fr-FR"/>
        </w:rPr>
        <w:t>’</w:t>
      </w:r>
      <w:r w:rsidRPr="004C2A3C">
        <w:rPr>
          <w:color w:val="000000" w:themeColor="text1"/>
          <w:spacing w:val="-2"/>
          <w:lang w:val="fr-FR"/>
        </w:rPr>
        <w:t>évaluation des données pour la classe de danger visée (comme le montre la figure 3.3.1), ainsi que des paragraphes 3.3.3.1.2 et 3.3.3.1.3 ci-après. S</w:t>
      </w:r>
      <w:r>
        <w:rPr>
          <w:color w:val="000000" w:themeColor="text1"/>
          <w:spacing w:val="-2"/>
          <w:lang w:val="fr-FR"/>
        </w:rPr>
        <w:t>’</w:t>
      </w:r>
      <w:r w:rsidRPr="004C2A3C">
        <w:rPr>
          <w:color w:val="000000" w:themeColor="text1"/>
          <w:spacing w:val="-2"/>
          <w:lang w:val="fr-FR"/>
        </w:rPr>
        <w:t>il est impossible d</w:t>
      </w:r>
      <w:r>
        <w:rPr>
          <w:color w:val="000000" w:themeColor="text1"/>
          <w:spacing w:val="-2"/>
          <w:lang w:val="fr-FR"/>
        </w:rPr>
        <w:t>’</w:t>
      </w:r>
      <w:r w:rsidRPr="004C2A3C">
        <w:rPr>
          <w:color w:val="000000" w:themeColor="text1"/>
          <w:spacing w:val="-2"/>
          <w:lang w:val="fr-FR"/>
        </w:rPr>
        <w:t>établir une classification selon la méthode par étapes, on appliquera la méthode décrite au 3.3.3.2 (principes d</w:t>
      </w:r>
      <w:r>
        <w:rPr>
          <w:color w:val="000000" w:themeColor="text1"/>
          <w:spacing w:val="-2"/>
          <w:lang w:val="fr-FR"/>
        </w:rPr>
        <w:t>’</w:t>
      </w:r>
      <w:r w:rsidRPr="004C2A3C">
        <w:rPr>
          <w:color w:val="000000" w:themeColor="text1"/>
          <w:spacing w:val="-2"/>
          <w:lang w:val="fr-FR"/>
        </w:rPr>
        <w:t>extrapolation) ou, si celle</w:t>
      </w:r>
      <w:r w:rsidRPr="004C2A3C">
        <w:rPr>
          <w:color w:val="000000" w:themeColor="text1"/>
          <w:spacing w:val="-2"/>
          <w:lang w:val="fr-FR"/>
        </w:rPr>
        <w:noBreakHyphen/>
        <w:t>ci n</w:t>
      </w:r>
      <w:r>
        <w:rPr>
          <w:color w:val="000000" w:themeColor="text1"/>
          <w:spacing w:val="-2"/>
          <w:lang w:val="fr-FR"/>
        </w:rPr>
        <w:t>’</w:t>
      </w:r>
      <w:r w:rsidRPr="004C2A3C">
        <w:rPr>
          <w:color w:val="000000" w:themeColor="text1"/>
          <w:spacing w:val="-2"/>
          <w:lang w:val="fr-FR"/>
        </w:rPr>
        <w:t>est pas applicable, la méthode décrite au 3.3.3.3 (classification fondée sur les composants).</w:t>
      </w:r>
      <w:bookmarkStart w:id="7" w:name="_Hlk69885903"/>
      <w:bookmarkEnd w:id="6"/>
      <w:bookmarkEnd w:id="7"/>
    </w:p>
    <w:p w14:paraId="1547DD37" w14:textId="77777777" w:rsidR="00EE41F8" w:rsidRPr="004C2A3C" w:rsidRDefault="00EE41F8" w:rsidP="00EE41F8">
      <w:pPr>
        <w:tabs>
          <w:tab w:val="left" w:pos="3402"/>
        </w:tabs>
        <w:spacing w:after="120"/>
        <w:ind w:left="2268" w:right="1134"/>
        <w:jc w:val="both"/>
        <w:rPr>
          <w:color w:val="000000" w:themeColor="text1"/>
          <w:lang w:val="fr-FR"/>
        </w:rPr>
      </w:pPr>
      <w:r w:rsidRPr="004C2A3C">
        <w:rPr>
          <w:color w:val="000000" w:themeColor="text1"/>
          <w:lang w:val="fr-FR"/>
        </w:rPr>
        <w:t>3.3.3.1.2</w:t>
      </w:r>
      <w:r w:rsidRPr="004C2A3C">
        <w:rPr>
          <w:color w:val="000000" w:themeColor="text1"/>
          <w:lang w:val="fr-FR"/>
        </w:rPr>
        <w:tab/>
        <w:t>Les méthodes définies ou les méthodes d</w:t>
      </w:r>
      <w:r>
        <w:rPr>
          <w:color w:val="000000" w:themeColor="text1"/>
          <w:lang w:val="fr-FR"/>
        </w:rPr>
        <w:t>’</w:t>
      </w:r>
      <w:r w:rsidRPr="004C2A3C">
        <w:rPr>
          <w:color w:val="000000" w:themeColor="text1"/>
          <w:lang w:val="fr-FR"/>
        </w:rPr>
        <w:t xml:space="preserve">essai </w:t>
      </w:r>
      <w:r w:rsidRPr="004C2A3C">
        <w:rPr>
          <w:i/>
          <w:iCs/>
          <w:color w:val="000000" w:themeColor="text1"/>
          <w:lang w:val="fr-FR"/>
        </w:rPr>
        <w:t>in vitro</w:t>
      </w:r>
      <w:r w:rsidRPr="004C2A3C">
        <w:rPr>
          <w:color w:val="000000" w:themeColor="text1"/>
          <w:lang w:val="fr-FR"/>
        </w:rPr>
        <w:t>/</w:t>
      </w:r>
      <w:r w:rsidRPr="004C2A3C">
        <w:rPr>
          <w:i/>
          <w:iCs/>
          <w:color w:val="000000" w:themeColor="text1"/>
          <w:lang w:val="fr-FR"/>
        </w:rPr>
        <w:t>ex vivo</w:t>
      </w:r>
      <w:r w:rsidRPr="004C2A3C">
        <w:rPr>
          <w:color w:val="000000" w:themeColor="text1"/>
          <w:lang w:val="fr-FR"/>
        </w:rPr>
        <w:t xml:space="preserve"> validées selon des procédures internationales peuvent ne pas avoir été validées avec des mélanges ; bien que ces méthodes soient jugées largement applicables à ceux-ci, elles ne peuvent être appliquées pour la classification des mélanges que si tous les composants du mélange relèvent du domaine d</w:t>
      </w:r>
      <w:r>
        <w:rPr>
          <w:color w:val="000000" w:themeColor="text1"/>
          <w:lang w:val="fr-FR"/>
        </w:rPr>
        <w:t>’</w:t>
      </w:r>
      <w:r w:rsidRPr="004C2A3C">
        <w:rPr>
          <w:color w:val="000000" w:themeColor="text1"/>
          <w:lang w:val="fr-FR"/>
        </w:rPr>
        <w:t>application de la méthode définie ou de la (des) méthode(s) d</w:t>
      </w:r>
      <w:r>
        <w:rPr>
          <w:color w:val="000000" w:themeColor="text1"/>
          <w:lang w:val="fr-FR"/>
        </w:rPr>
        <w:t>’</w:t>
      </w:r>
      <w:r w:rsidRPr="004C2A3C">
        <w:rPr>
          <w:color w:val="000000" w:themeColor="text1"/>
          <w:lang w:val="fr-FR"/>
        </w:rPr>
        <w:t>essai utilisée(s). Des limitations propres aux domaines d</w:t>
      </w:r>
      <w:r>
        <w:rPr>
          <w:color w:val="000000" w:themeColor="text1"/>
          <w:lang w:val="fr-FR"/>
        </w:rPr>
        <w:t>’</w:t>
      </w:r>
      <w:r w:rsidRPr="004C2A3C">
        <w:rPr>
          <w:color w:val="000000" w:themeColor="text1"/>
          <w:lang w:val="fr-FR"/>
        </w:rPr>
        <w:t>application sont décrites dans les méthodes définies et méthodes d</w:t>
      </w:r>
      <w:r>
        <w:rPr>
          <w:color w:val="000000" w:themeColor="text1"/>
          <w:lang w:val="fr-FR"/>
        </w:rPr>
        <w:t>’</w:t>
      </w:r>
      <w:r w:rsidRPr="004C2A3C">
        <w:rPr>
          <w:color w:val="000000" w:themeColor="text1"/>
          <w:lang w:val="fr-FR"/>
        </w:rPr>
        <w:t>essai respectives ; elles devraient être prises en compte, de même que toute information complémentaire publiée à ce sujet. Lorsqu</w:t>
      </w:r>
      <w:r>
        <w:rPr>
          <w:color w:val="000000" w:themeColor="text1"/>
          <w:lang w:val="fr-FR"/>
        </w:rPr>
        <w:t>’</w:t>
      </w:r>
      <w:r w:rsidRPr="004C2A3C">
        <w:rPr>
          <w:color w:val="000000" w:themeColor="text1"/>
          <w:lang w:val="fr-FR"/>
        </w:rPr>
        <w:t>il existe des raisons de penser que le domaine d</w:t>
      </w:r>
      <w:r>
        <w:rPr>
          <w:color w:val="000000" w:themeColor="text1"/>
          <w:lang w:val="fr-FR"/>
        </w:rPr>
        <w:t>’</w:t>
      </w:r>
      <w:r w:rsidRPr="004C2A3C">
        <w:rPr>
          <w:color w:val="000000" w:themeColor="text1"/>
          <w:lang w:val="fr-FR"/>
        </w:rPr>
        <w:t>application d</w:t>
      </w:r>
      <w:r>
        <w:rPr>
          <w:color w:val="000000" w:themeColor="text1"/>
          <w:lang w:val="fr-FR"/>
        </w:rPr>
        <w:t>’</w:t>
      </w:r>
      <w:r w:rsidRPr="004C2A3C">
        <w:rPr>
          <w:color w:val="000000" w:themeColor="text1"/>
          <w:lang w:val="fr-FR"/>
        </w:rPr>
        <w:t>une méthode définie ou d</w:t>
      </w:r>
      <w:r>
        <w:rPr>
          <w:color w:val="000000" w:themeColor="text1"/>
          <w:lang w:val="fr-FR"/>
        </w:rPr>
        <w:t>’</w:t>
      </w:r>
      <w:r w:rsidRPr="004C2A3C">
        <w:rPr>
          <w:color w:val="000000" w:themeColor="text1"/>
          <w:lang w:val="fr-FR"/>
        </w:rPr>
        <w:t>une méthode d</w:t>
      </w:r>
      <w:r>
        <w:rPr>
          <w:color w:val="000000" w:themeColor="text1"/>
          <w:lang w:val="fr-FR"/>
        </w:rPr>
        <w:t>’</w:t>
      </w:r>
      <w:r w:rsidRPr="004C2A3C">
        <w:rPr>
          <w:color w:val="000000" w:themeColor="text1"/>
          <w:lang w:val="fr-FR"/>
        </w:rPr>
        <w:t>essai donnée est limité, ou des éléments qui l</w:t>
      </w:r>
      <w:r>
        <w:rPr>
          <w:color w:val="000000" w:themeColor="text1"/>
          <w:lang w:val="fr-FR"/>
        </w:rPr>
        <w:t>’</w:t>
      </w:r>
      <w:r w:rsidRPr="004C2A3C">
        <w:rPr>
          <w:color w:val="000000" w:themeColor="text1"/>
          <w:lang w:val="fr-FR"/>
        </w:rPr>
        <w:t>attestent, il convient de faire preuve de circonspection dans l</w:t>
      </w:r>
      <w:r>
        <w:rPr>
          <w:color w:val="000000" w:themeColor="text1"/>
          <w:lang w:val="fr-FR"/>
        </w:rPr>
        <w:t>’</w:t>
      </w:r>
      <w:r w:rsidRPr="004C2A3C">
        <w:rPr>
          <w:color w:val="000000" w:themeColor="text1"/>
          <w:lang w:val="fr-FR"/>
        </w:rPr>
        <w:t>interprétation des données, ou de considérer que les résultats ne sont pas applicables. ».</w:t>
      </w:r>
    </w:p>
    <w:p w14:paraId="00FE33DE" w14:textId="77777777" w:rsidR="00EE41F8" w:rsidRPr="004C2A3C" w:rsidRDefault="00EE41F8" w:rsidP="00EE41F8">
      <w:pPr>
        <w:keepNext/>
        <w:spacing w:after="120"/>
        <w:ind w:left="1134" w:right="1134"/>
        <w:jc w:val="both"/>
        <w:rPr>
          <w:color w:val="000000" w:themeColor="text1"/>
          <w:lang w:val="fr-FR"/>
        </w:rPr>
      </w:pPr>
      <w:r w:rsidRPr="004C2A3C">
        <w:rPr>
          <w:color w:val="000000" w:themeColor="text1"/>
          <w:lang w:val="fr-FR"/>
        </w:rPr>
        <w:t>3.3.3.1.3</w:t>
      </w:r>
      <w:r w:rsidRPr="004C2A3C">
        <w:rPr>
          <w:color w:val="000000" w:themeColor="text1"/>
          <w:lang w:val="fr-FR"/>
        </w:rPr>
        <w:tab/>
        <w:t>Ajouter un nouveau paragraphe, comme suit :</w:t>
      </w:r>
    </w:p>
    <w:p w14:paraId="3318778F" w14:textId="77777777" w:rsidR="00EE41F8" w:rsidRPr="004C2A3C" w:rsidRDefault="00EE41F8" w:rsidP="00EE41F8">
      <w:pPr>
        <w:tabs>
          <w:tab w:val="left" w:pos="3402"/>
        </w:tabs>
        <w:spacing w:after="120"/>
        <w:ind w:left="2268" w:right="1134"/>
        <w:jc w:val="both"/>
        <w:rPr>
          <w:color w:val="000000" w:themeColor="text1"/>
          <w:lang w:val="fr-FR"/>
        </w:rPr>
      </w:pPr>
      <w:r w:rsidRPr="004C2A3C">
        <w:rPr>
          <w:color w:val="000000" w:themeColor="text1"/>
          <w:lang w:val="fr-FR"/>
        </w:rPr>
        <w:t>« 3.3.3.1.3</w:t>
      </w:r>
      <w:r w:rsidRPr="004C2A3C">
        <w:rPr>
          <w:color w:val="000000" w:themeColor="text1"/>
          <w:lang w:val="fr-FR"/>
        </w:rPr>
        <w:tab/>
        <w:t>Un mélange dont le pH est extrême (pH ≤ 2 ou ≥ 11,5) est considéré comme mélange provoquant des lésions oculaires graves (catégorie 1) à l</w:t>
      </w:r>
      <w:r>
        <w:rPr>
          <w:color w:val="000000" w:themeColor="text1"/>
          <w:lang w:val="fr-FR"/>
        </w:rPr>
        <w:t>’</w:t>
      </w:r>
      <w:r w:rsidRPr="004C2A3C">
        <w:rPr>
          <w:color w:val="000000" w:themeColor="text1"/>
          <w:lang w:val="fr-FR"/>
        </w:rPr>
        <w:t>étape 5 s</w:t>
      </w:r>
      <w:r>
        <w:rPr>
          <w:color w:val="000000" w:themeColor="text1"/>
          <w:lang w:val="fr-FR"/>
        </w:rPr>
        <w:t>’</w:t>
      </w:r>
      <w:r w:rsidRPr="004C2A3C">
        <w:rPr>
          <w:color w:val="000000" w:themeColor="text1"/>
          <w:lang w:val="fr-FR"/>
        </w:rPr>
        <w:t>il présente une réserve acide/alcaline significative ou si l</w:t>
      </w:r>
      <w:r>
        <w:rPr>
          <w:color w:val="000000" w:themeColor="text1"/>
          <w:lang w:val="fr-FR"/>
        </w:rPr>
        <w:t>’</w:t>
      </w:r>
      <w:r w:rsidRPr="004C2A3C">
        <w:rPr>
          <w:color w:val="000000" w:themeColor="text1"/>
          <w:lang w:val="fr-FR"/>
        </w:rPr>
        <w:t>on ne dispose pas de données relatives à ladite réserve. Toutefois, si l</w:t>
      </w:r>
      <w:r>
        <w:rPr>
          <w:color w:val="000000" w:themeColor="text1"/>
          <w:lang w:val="fr-FR"/>
        </w:rPr>
        <w:t>’</w:t>
      </w:r>
      <w:r w:rsidRPr="004C2A3C">
        <w:rPr>
          <w:color w:val="000000" w:themeColor="text1"/>
          <w:lang w:val="fr-FR"/>
        </w:rPr>
        <w:t>examen de la réserve acide/alcaline laisse penser que le mélange pourrait ne pas provoquer de graves lésions oculaires malgré la valeur extrême du pH, le résultat est jugé non concluant à cette même étape (voir figure 3.3.1). Si l</w:t>
      </w:r>
      <w:r>
        <w:rPr>
          <w:color w:val="000000" w:themeColor="text1"/>
          <w:lang w:val="fr-FR"/>
        </w:rPr>
        <w:t>’</w:t>
      </w:r>
      <w:r w:rsidRPr="004C2A3C">
        <w:rPr>
          <w:color w:val="000000" w:themeColor="text1"/>
          <w:lang w:val="fr-FR"/>
        </w:rPr>
        <w:t>évaluation globale de la force probante des données demeure non concluante ou si l</w:t>
      </w:r>
      <w:r>
        <w:rPr>
          <w:color w:val="000000" w:themeColor="text1"/>
          <w:lang w:val="fr-FR"/>
        </w:rPr>
        <w:t>’</w:t>
      </w:r>
      <w:r w:rsidRPr="004C2A3C">
        <w:rPr>
          <w:color w:val="000000" w:themeColor="text1"/>
          <w:lang w:val="fr-FR"/>
        </w:rPr>
        <w:t>on ne dispose pas de données autres que le pH et la réserve acide/alcaline, il convient d</w:t>
      </w:r>
      <w:r>
        <w:rPr>
          <w:color w:val="000000" w:themeColor="text1"/>
          <w:lang w:val="fr-FR"/>
        </w:rPr>
        <w:t>’</w:t>
      </w:r>
      <w:r w:rsidRPr="004C2A3C">
        <w:rPr>
          <w:color w:val="000000" w:themeColor="text1"/>
          <w:lang w:val="fr-FR"/>
        </w:rPr>
        <w:t>évaluer les mélanges présentant un pH extrême (pH ≤ 2 ou ≥ 11,5) et une réserve acide/alcaline non significative en appliquant les principes d</w:t>
      </w:r>
      <w:r>
        <w:rPr>
          <w:color w:val="000000" w:themeColor="text1"/>
          <w:lang w:val="fr-FR"/>
        </w:rPr>
        <w:t>’</w:t>
      </w:r>
      <w:r w:rsidRPr="004C2A3C">
        <w:rPr>
          <w:color w:val="000000" w:themeColor="text1"/>
          <w:lang w:val="fr-FR"/>
        </w:rPr>
        <w:t>extrapolation décrits au 3.3.3.2. Si les principes d</w:t>
      </w:r>
      <w:r>
        <w:rPr>
          <w:color w:val="000000" w:themeColor="text1"/>
          <w:lang w:val="fr-FR"/>
        </w:rPr>
        <w:t>’</w:t>
      </w:r>
      <w:r w:rsidRPr="004C2A3C">
        <w:rPr>
          <w:color w:val="000000" w:themeColor="text1"/>
          <w:lang w:val="fr-FR"/>
        </w:rPr>
        <w:t>extrapolation ne sont pas applicables, il convient de classer les mélanges présentant un pH extrême (pH ≤ 2 ou ≥ 11,5) et une réserve acide/alcaline non significative dans la Catégorie 1 oculaire (voir figure 3.3.2). Un pH supérieur à 2 et inférieur à 11,5 est considéré comme non concluant et ne peut être utilisé à des fins de classification. La réserve acide/alcaline et le pH peuvent être déterminés au moyen de différentes méthodes, notamment celles décrites dans la ligne directrice 122 de l</w:t>
      </w:r>
      <w:r>
        <w:rPr>
          <w:color w:val="000000" w:themeColor="text1"/>
          <w:lang w:val="fr-FR"/>
        </w:rPr>
        <w:t>’</w:t>
      </w:r>
      <w:r w:rsidRPr="004C2A3C">
        <w:rPr>
          <w:color w:val="000000" w:themeColor="text1"/>
          <w:lang w:val="fr-FR"/>
        </w:rPr>
        <w:t xml:space="preserve">OCDE et dans la publication de Young </w:t>
      </w:r>
      <w:r w:rsidRPr="004C2A3C">
        <w:rPr>
          <w:i/>
          <w:iCs/>
          <w:color w:val="000000" w:themeColor="text1"/>
          <w:lang w:val="fr-FR"/>
        </w:rPr>
        <w:t>et al.</w:t>
      </w:r>
      <w:r w:rsidRPr="004C2A3C">
        <w:rPr>
          <w:color w:val="000000" w:themeColor="text1"/>
          <w:lang w:val="fr-FR"/>
        </w:rPr>
        <w:t xml:space="preserve"> (1988), sachant qu</w:t>
      </w:r>
      <w:r>
        <w:rPr>
          <w:color w:val="000000" w:themeColor="text1"/>
          <w:lang w:val="fr-FR"/>
        </w:rPr>
        <w:t>’</w:t>
      </w:r>
      <w:r w:rsidRPr="004C2A3C">
        <w:rPr>
          <w:color w:val="000000" w:themeColor="text1"/>
          <w:lang w:val="fr-FR"/>
        </w:rPr>
        <w:t>il existe des différences entre ces méthodes (voir 3.3.5.3.7). Une autorité compétente peut décider des critères à appliquer pour considérer qu</w:t>
      </w:r>
      <w:r>
        <w:rPr>
          <w:color w:val="000000" w:themeColor="text1"/>
          <w:lang w:val="fr-FR"/>
        </w:rPr>
        <w:t>’</w:t>
      </w:r>
      <w:r w:rsidRPr="004C2A3C">
        <w:rPr>
          <w:color w:val="000000" w:themeColor="text1"/>
          <w:lang w:val="fr-FR"/>
        </w:rPr>
        <w:t>une réserve acide/alcaline est significative. ».</w:t>
      </w:r>
    </w:p>
    <w:p w14:paraId="4CAF6D5C" w14:textId="77777777" w:rsidR="00EE41F8" w:rsidRPr="004C2A3C" w:rsidRDefault="00EE41F8" w:rsidP="00EE41F8">
      <w:pPr>
        <w:tabs>
          <w:tab w:val="left" w:pos="2268"/>
        </w:tabs>
        <w:spacing w:after="120"/>
        <w:ind w:left="2268" w:right="1134" w:hanging="1134"/>
        <w:jc w:val="both"/>
        <w:rPr>
          <w:color w:val="000000" w:themeColor="text1"/>
          <w:lang w:val="fr-FR"/>
        </w:rPr>
      </w:pPr>
      <w:r w:rsidRPr="004C2A3C">
        <w:rPr>
          <w:color w:val="000000" w:themeColor="text1"/>
          <w:lang w:val="fr-FR"/>
        </w:rPr>
        <w:t>3.3.3.2.7</w:t>
      </w:r>
      <w:r w:rsidRPr="004C2A3C">
        <w:rPr>
          <w:color w:val="000000" w:themeColor="text1"/>
          <w:lang w:val="fr-FR"/>
        </w:rPr>
        <w:tab/>
        <w:t>Modification sans objet en français. Renuméroter la note de bas de page 3, qui devient la note de bas de page 4.</w:t>
      </w:r>
    </w:p>
    <w:p w14:paraId="0103418C" w14:textId="77777777" w:rsidR="00EE41F8" w:rsidRPr="004C2A3C" w:rsidRDefault="00EE41F8" w:rsidP="00EE41F8">
      <w:pPr>
        <w:tabs>
          <w:tab w:val="left" w:pos="2268"/>
        </w:tabs>
        <w:spacing w:after="120"/>
        <w:ind w:left="2268" w:right="1134" w:hanging="1134"/>
        <w:jc w:val="both"/>
        <w:rPr>
          <w:color w:val="000000" w:themeColor="text1"/>
          <w:lang w:val="fr-FR"/>
        </w:rPr>
      </w:pPr>
      <w:r w:rsidRPr="004C2A3C">
        <w:rPr>
          <w:color w:val="000000" w:themeColor="text1"/>
          <w:lang w:val="fr-FR"/>
        </w:rPr>
        <w:t>3.3.3.3.4</w:t>
      </w:r>
      <w:r w:rsidRPr="004C2A3C">
        <w:rPr>
          <w:color w:val="000000" w:themeColor="text1"/>
          <w:lang w:val="fr-FR"/>
        </w:rPr>
        <w:tab/>
        <w:t>Dans la troisième phrase, remplacer « le pH est le critère de classification (voir 3.3.3.1.2) car il » par « le pH est le critère de classification (voir 3.3.3.1.3) car un pH extrême » et supprimer « (sous réserve de l</w:t>
      </w:r>
      <w:r>
        <w:rPr>
          <w:color w:val="000000" w:themeColor="text1"/>
          <w:lang w:val="fr-FR"/>
        </w:rPr>
        <w:t>’</w:t>
      </w:r>
      <w:r w:rsidRPr="004C2A3C">
        <w:rPr>
          <w:color w:val="000000" w:themeColor="text1"/>
          <w:lang w:val="fr-FR"/>
        </w:rPr>
        <w:t>examen de la réserve acide/alcaline) ».</w:t>
      </w:r>
    </w:p>
    <w:p w14:paraId="74F64EDB" w14:textId="77777777" w:rsidR="00EE41F8" w:rsidRPr="004C2A3C" w:rsidRDefault="00EE41F8" w:rsidP="00EE41F8">
      <w:pPr>
        <w:spacing w:after="120"/>
        <w:ind w:left="1134" w:right="1134"/>
        <w:jc w:val="both"/>
        <w:rPr>
          <w:color w:val="000000" w:themeColor="text1"/>
          <w:lang w:val="fr-FR"/>
        </w:rPr>
      </w:pPr>
      <w:r w:rsidRPr="004C2A3C">
        <w:rPr>
          <w:color w:val="000000" w:themeColor="text1"/>
          <w:lang w:val="fr-FR"/>
        </w:rPr>
        <w:t>Tableau 3.3.5, troisième colonne</w:t>
      </w:r>
      <w:r w:rsidRPr="004C2A3C">
        <w:rPr>
          <w:color w:val="000000" w:themeColor="text1"/>
          <w:lang w:val="fr-FR"/>
        </w:rPr>
        <w:tab/>
        <w:t>Remplacer « Catégorie 2A » par « Catégorie 2/2A ».</w:t>
      </w:r>
    </w:p>
    <w:p w14:paraId="283C0DD7" w14:textId="77777777" w:rsidR="00EE41F8" w:rsidRPr="004C2A3C" w:rsidRDefault="00EE41F8" w:rsidP="00EE41F8">
      <w:pPr>
        <w:suppressAutoHyphens w:val="0"/>
        <w:kinsoku/>
        <w:overflowPunct/>
        <w:autoSpaceDE/>
        <w:autoSpaceDN/>
        <w:adjustRightInd/>
        <w:snapToGrid/>
        <w:spacing w:after="200" w:line="276" w:lineRule="auto"/>
        <w:rPr>
          <w:color w:val="000000" w:themeColor="text1"/>
          <w:lang w:val="fr-FR"/>
        </w:rPr>
      </w:pPr>
      <w:r w:rsidRPr="004C2A3C">
        <w:rPr>
          <w:color w:val="000000" w:themeColor="text1"/>
          <w:lang w:val="fr-FR"/>
        </w:rPr>
        <w:br w:type="page"/>
      </w:r>
    </w:p>
    <w:p w14:paraId="22EBADE0" w14:textId="77777777" w:rsidR="00EE41F8" w:rsidRPr="004C2A3C" w:rsidRDefault="00EE41F8" w:rsidP="00EE41F8">
      <w:pPr>
        <w:keepNext/>
        <w:spacing w:after="120"/>
        <w:ind w:left="1134" w:right="1134"/>
        <w:jc w:val="both"/>
        <w:rPr>
          <w:color w:val="000000" w:themeColor="text1"/>
          <w:lang w:val="fr-FR"/>
        </w:rPr>
      </w:pPr>
      <w:r w:rsidRPr="004C2A3C">
        <w:rPr>
          <w:color w:val="000000" w:themeColor="text1"/>
          <w:lang w:val="fr-FR"/>
        </w:rPr>
        <w:t>3.3.5.1</w:t>
      </w:r>
      <w:r w:rsidRPr="004C2A3C">
        <w:rPr>
          <w:color w:val="000000" w:themeColor="text1"/>
          <w:lang w:val="fr-FR"/>
        </w:rPr>
        <w:tab/>
      </w:r>
      <w:r w:rsidRPr="004C2A3C">
        <w:rPr>
          <w:color w:val="000000" w:themeColor="text1"/>
          <w:lang w:val="fr-FR"/>
        </w:rPr>
        <w:tab/>
        <w:t>Remplacer le diagramme de décision 3.3.1 par le diagramme suivant :</w:t>
      </w:r>
    </w:p>
    <w:p w14:paraId="467A29C4" w14:textId="77777777" w:rsidR="00EE41F8" w:rsidRPr="004C2A3C" w:rsidRDefault="00EE41F8" w:rsidP="00EE41F8">
      <w:pPr>
        <w:keepNext/>
        <w:spacing w:after="120"/>
        <w:ind w:left="1134" w:right="1134"/>
        <w:jc w:val="both"/>
        <w:rPr>
          <w:color w:val="000000" w:themeColor="text1"/>
          <w:lang w:val="fr-FR"/>
        </w:rPr>
      </w:pPr>
      <w:r w:rsidRPr="004C2A3C">
        <w:rPr>
          <w:color w:val="000000" w:themeColor="text1"/>
          <w:lang w:val="fr-FR"/>
        </w:rPr>
        <w:t>«</w:t>
      </w:r>
    </w:p>
    <w:p w14:paraId="57A1114E" w14:textId="02899C93" w:rsidR="00EE41F8" w:rsidRPr="004C2A3C" w:rsidRDefault="004B0DC7" w:rsidP="00EE41F8">
      <w:pPr>
        <w:spacing w:after="120"/>
        <w:ind w:left="1134" w:right="1134"/>
        <w:jc w:val="both"/>
        <w:rPr>
          <w:color w:val="000000" w:themeColor="text1"/>
          <w:lang w:val="fr-FR"/>
        </w:rPr>
      </w:pPr>
      <w:r w:rsidRPr="004C2A3C">
        <w:rPr>
          <w:noProof/>
        </w:rPr>
        <w:object w:dxaOrig="7657" w:dyaOrig="6913" w14:anchorId="19A30F71">
          <v:shape id="_x0000_i1029" type="#_x0000_t75" alt="" style="width:422.75pt;height:380.4pt" o:ole="">
            <v:imagedata r:id="rId20" o:title=""/>
          </v:shape>
          <o:OLEObject Type="Embed" ProgID="Visio.Drawing.15" ShapeID="_x0000_i1029" DrawAspect="Content" ObjectID="_1725284369" r:id="rId21"/>
        </w:object>
      </w:r>
    </w:p>
    <w:p w14:paraId="5921B3A7" w14:textId="77777777" w:rsidR="00EE41F8" w:rsidRPr="004C2A3C" w:rsidRDefault="00EE41F8" w:rsidP="00EE41F8">
      <w:pPr>
        <w:spacing w:after="120"/>
        <w:ind w:left="1134"/>
        <w:jc w:val="right"/>
        <w:rPr>
          <w:lang w:val="fr-FR"/>
        </w:rPr>
      </w:pPr>
      <w:r w:rsidRPr="004C2A3C">
        <w:rPr>
          <w:lang w:val="fr-FR"/>
        </w:rPr>
        <w:t>».</w:t>
      </w:r>
    </w:p>
    <w:p w14:paraId="7CF5F118" w14:textId="77777777" w:rsidR="00EE41F8" w:rsidRPr="004C2A3C" w:rsidRDefault="00EE41F8" w:rsidP="00EE41F8">
      <w:pPr>
        <w:suppressAutoHyphens w:val="0"/>
        <w:kinsoku/>
        <w:overflowPunct/>
        <w:autoSpaceDE/>
        <w:autoSpaceDN/>
        <w:adjustRightInd/>
        <w:snapToGrid/>
        <w:spacing w:after="200" w:line="276" w:lineRule="auto"/>
        <w:rPr>
          <w:color w:val="000000" w:themeColor="text1"/>
          <w:lang w:val="fr-FR"/>
        </w:rPr>
      </w:pPr>
      <w:r w:rsidRPr="004C2A3C">
        <w:rPr>
          <w:color w:val="000000" w:themeColor="text1"/>
          <w:lang w:val="fr-FR"/>
        </w:rPr>
        <w:br w:type="page"/>
      </w:r>
    </w:p>
    <w:p w14:paraId="022F2759" w14:textId="77777777" w:rsidR="00EE41F8" w:rsidRPr="004C2A3C" w:rsidRDefault="00EE41F8" w:rsidP="00EE41F8">
      <w:pPr>
        <w:keepNext/>
        <w:spacing w:after="120"/>
        <w:ind w:left="1134" w:right="1134"/>
        <w:jc w:val="both"/>
        <w:rPr>
          <w:lang w:val="fr-FR"/>
        </w:rPr>
      </w:pPr>
      <w:r w:rsidRPr="004C2A3C">
        <w:rPr>
          <w:lang w:val="fr-FR"/>
        </w:rPr>
        <w:t>3.3.5.2</w:t>
      </w:r>
      <w:r w:rsidRPr="004C2A3C">
        <w:rPr>
          <w:lang w:val="fr-FR"/>
        </w:rPr>
        <w:tab/>
      </w:r>
      <w:r w:rsidRPr="004C2A3C">
        <w:rPr>
          <w:lang w:val="fr-FR"/>
        </w:rPr>
        <w:tab/>
        <w:t>Remplacer le diagramme de décision 3.3.2 par le diagramme suivant :</w:t>
      </w:r>
    </w:p>
    <w:p w14:paraId="66053E19" w14:textId="77777777" w:rsidR="00EE41F8" w:rsidRPr="004C2A3C" w:rsidRDefault="00EE41F8" w:rsidP="00EE41F8">
      <w:pPr>
        <w:keepNext/>
        <w:spacing w:after="120"/>
        <w:ind w:left="1134" w:right="1134"/>
        <w:jc w:val="both"/>
        <w:rPr>
          <w:lang w:val="fr-FR"/>
        </w:rPr>
      </w:pPr>
      <w:r w:rsidRPr="004C2A3C">
        <w:rPr>
          <w:lang w:val="fr-FR"/>
        </w:rPr>
        <w:t>«</w:t>
      </w:r>
    </w:p>
    <w:p w14:paraId="722C2AD6" w14:textId="097B923F" w:rsidR="00EE41F8" w:rsidRPr="004C2A3C" w:rsidRDefault="004B0DC7" w:rsidP="00EE41F8">
      <w:pPr>
        <w:spacing w:after="120"/>
        <w:ind w:left="1134" w:right="1134"/>
        <w:jc w:val="both"/>
        <w:rPr>
          <w:color w:val="000000" w:themeColor="text1"/>
          <w:lang w:val="fr-FR"/>
        </w:rPr>
      </w:pPr>
      <w:r w:rsidRPr="004C2A3C">
        <w:rPr>
          <w:noProof/>
        </w:rPr>
        <w:object w:dxaOrig="7753" w:dyaOrig="9433" w14:anchorId="1F941202">
          <v:shape id="_x0000_i1030" type="#_x0000_t75" alt="" style="width:423.15pt;height:515.95pt" o:ole="">
            <v:imagedata r:id="rId22" o:title=""/>
          </v:shape>
          <o:OLEObject Type="Embed" ProgID="Visio.Drawing.15" ShapeID="_x0000_i1030" DrawAspect="Content" ObjectID="_1725284370" r:id="rId23"/>
        </w:object>
      </w:r>
    </w:p>
    <w:p w14:paraId="237437D9" w14:textId="77777777" w:rsidR="00EE41F8" w:rsidRPr="004C2A3C" w:rsidRDefault="00EE41F8" w:rsidP="00EE41F8">
      <w:pPr>
        <w:spacing w:after="120"/>
        <w:ind w:left="1134"/>
        <w:jc w:val="right"/>
        <w:rPr>
          <w:lang w:val="fr-FR"/>
        </w:rPr>
      </w:pPr>
      <w:r w:rsidRPr="004C2A3C">
        <w:rPr>
          <w:lang w:val="fr-FR"/>
        </w:rPr>
        <w:t>».</w:t>
      </w:r>
    </w:p>
    <w:p w14:paraId="3C8F4D15" w14:textId="77777777" w:rsidR="00EE41F8" w:rsidRPr="004C2A3C" w:rsidRDefault="00EE41F8" w:rsidP="00EE41F8">
      <w:pPr>
        <w:spacing w:after="120"/>
        <w:ind w:left="1134" w:right="1134"/>
        <w:jc w:val="both"/>
        <w:rPr>
          <w:color w:val="000000" w:themeColor="text1"/>
          <w:lang w:val="fr-FR"/>
        </w:rPr>
      </w:pPr>
      <w:r w:rsidRPr="004C2A3C">
        <w:rPr>
          <w:color w:val="000000" w:themeColor="text1"/>
          <w:lang w:val="fr-FR"/>
        </w:rPr>
        <w:t>Les notes de bas de page 4, 5, 6 et 7 actuelles deviennent les notes de bas de page 5, 6, 7 et 8.</w:t>
      </w:r>
    </w:p>
    <w:p w14:paraId="608D02E2" w14:textId="77777777" w:rsidR="00EE41F8" w:rsidRPr="004C2A3C" w:rsidRDefault="00EE41F8" w:rsidP="00EE41F8">
      <w:pPr>
        <w:tabs>
          <w:tab w:val="left" w:pos="2268"/>
          <w:tab w:val="left" w:pos="3119"/>
          <w:tab w:val="left" w:pos="3686"/>
        </w:tabs>
        <w:spacing w:after="120"/>
        <w:ind w:left="2268" w:right="1134" w:hanging="1134"/>
        <w:jc w:val="both"/>
        <w:rPr>
          <w:color w:val="000000" w:themeColor="text1"/>
          <w:lang w:val="fr-FR"/>
        </w:rPr>
      </w:pPr>
      <w:r w:rsidRPr="004C2A3C">
        <w:rPr>
          <w:color w:val="000000" w:themeColor="text1"/>
          <w:lang w:val="fr-FR"/>
        </w:rPr>
        <w:t>3.3.5.3.1 à 3.3.5.3.5</w:t>
      </w:r>
      <w:r w:rsidRPr="004C2A3C">
        <w:rPr>
          <w:color w:val="000000" w:themeColor="text1"/>
          <w:lang w:val="fr-FR"/>
        </w:rPr>
        <w:tab/>
        <w:t>Les paragraphes 3.3.5.3.1 à 3.3.5.3.5 deviennent les paragraphes 3.3.5.3.3.1 à 3.3.5.3.3.5.</w:t>
      </w:r>
    </w:p>
    <w:p w14:paraId="1CB4734B" w14:textId="359757C4" w:rsidR="00EE41F8" w:rsidRPr="004C2A3C" w:rsidRDefault="00EE41F8" w:rsidP="00EE41F8">
      <w:pPr>
        <w:tabs>
          <w:tab w:val="left" w:pos="3686"/>
        </w:tabs>
        <w:spacing w:after="120"/>
        <w:ind w:left="1134" w:right="1134"/>
        <w:jc w:val="both"/>
        <w:rPr>
          <w:color w:val="000000" w:themeColor="text1"/>
          <w:lang w:val="fr-FR"/>
        </w:rPr>
      </w:pPr>
      <w:r w:rsidRPr="004C2A3C">
        <w:rPr>
          <w:color w:val="000000" w:themeColor="text1"/>
          <w:lang w:val="fr-FR"/>
        </w:rPr>
        <w:t>3.3.5.3.1 et 3.3.5.3.2 (nouveaux)</w:t>
      </w:r>
      <w:r w:rsidRPr="004C2A3C">
        <w:rPr>
          <w:color w:val="000000" w:themeColor="text1"/>
          <w:lang w:val="fr-FR"/>
        </w:rPr>
        <w:tab/>
        <w:t>Ajouter les deux nouveaux paragraphes suivants :</w:t>
      </w:r>
    </w:p>
    <w:p w14:paraId="51B7B9E5" w14:textId="77777777" w:rsidR="00EE41F8" w:rsidRPr="004C2A3C" w:rsidRDefault="00EE41F8" w:rsidP="00EE41F8">
      <w:pPr>
        <w:keepNext/>
        <w:tabs>
          <w:tab w:val="left" w:pos="3402"/>
        </w:tabs>
        <w:spacing w:after="120"/>
        <w:ind w:left="2268" w:right="1134"/>
        <w:jc w:val="both"/>
        <w:rPr>
          <w:color w:val="000000" w:themeColor="text1"/>
          <w:lang w:val="fr-FR"/>
        </w:rPr>
      </w:pPr>
      <w:bookmarkStart w:id="8" w:name="_Hlk69885998"/>
      <w:r w:rsidRPr="004C2A3C">
        <w:rPr>
          <w:color w:val="000000" w:themeColor="text1"/>
          <w:lang w:val="fr-FR"/>
        </w:rPr>
        <w:t>« 3.3.5.3.1</w:t>
      </w:r>
      <w:r w:rsidRPr="004C2A3C">
        <w:rPr>
          <w:color w:val="000000" w:themeColor="text1"/>
          <w:lang w:val="fr-FR"/>
        </w:rPr>
        <w:tab/>
      </w:r>
      <w:r w:rsidRPr="004C2A3C">
        <w:rPr>
          <w:i/>
          <w:iCs/>
          <w:color w:val="000000" w:themeColor="text1"/>
          <w:lang w:val="fr-FR"/>
        </w:rPr>
        <w:t>Documents de référence pertinents</w:t>
      </w:r>
    </w:p>
    <w:bookmarkEnd w:id="8"/>
    <w:p w14:paraId="10636222" w14:textId="77777777" w:rsidR="00EE41F8" w:rsidRPr="004C2A3C" w:rsidRDefault="00EE41F8" w:rsidP="00EE41F8">
      <w:pPr>
        <w:tabs>
          <w:tab w:val="left" w:pos="3402"/>
        </w:tabs>
        <w:spacing w:after="120"/>
        <w:ind w:left="2268" w:right="1134"/>
        <w:jc w:val="both"/>
        <w:rPr>
          <w:color w:val="000000" w:themeColor="text1"/>
          <w:lang w:val="fr-FR"/>
        </w:rPr>
      </w:pPr>
      <w:r w:rsidRPr="004C2A3C">
        <w:rPr>
          <w:color w:val="000000" w:themeColor="text1"/>
          <w:lang w:val="fr-FR"/>
        </w:rPr>
        <w:tab/>
        <w:t>On trouvera dans le document d</w:t>
      </w:r>
      <w:r>
        <w:rPr>
          <w:color w:val="000000" w:themeColor="text1"/>
          <w:lang w:val="fr-FR"/>
        </w:rPr>
        <w:t>’</w:t>
      </w:r>
      <w:r w:rsidRPr="004C2A3C">
        <w:rPr>
          <w:color w:val="000000" w:themeColor="text1"/>
          <w:lang w:val="fr-FR"/>
        </w:rPr>
        <w:t>orientation 263 de l</w:t>
      </w:r>
      <w:r>
        <w:rPr>
          <w:color w:val="000000" w:themeColor="text1"/>
          <w:lang w:val="fr-FR"/>
        </w:rPr>
        <w:t>’</w:t>
      </w:r>
      <w:r w:rsidRPr="004C2A3C">
        <w:rPr>
          <w:color w:val="000000" w:themeColor="text1"/>
          <w:lang w:val="fr-FR"/>
        </w:rPr>
        <w:t xml:space="preserve">OCDE − </w:t>
      </w:r>
      <w:r w:rsidRPr="004C2A3C">
        <w:rPr>
          <w:color w:val="000000" w:themeColor="text1"/>
        </w:rPr>
        <w:t xml:space="preserve">Guidance Document on Integrated </w:t>
      </w:r>
      <w:proofErr w:type="spellStart"/>
      <w:r w:rsidRPr="004C2A3C">
        <w:rPr>
          <w:color w:val="000000" w:themeColor="text1"/>
        </w:rPr>
        <w:t>Approaches</w:t>
      </w:r>
      <w:proofErr w:type="spellEnd"/>
      <w:r w:rsidRPr="004C2A3C">
        <w:rPr>
          <w:color w:val="000000" w:themeColor="text1"/>
        </w:rPr>
        <w:t xml:space="preserve"> to </w:t>
      </w:r>
      <w:proofErr w:type="spellStart"/>
      <w:r w:rsidRPr="004C2A3C">
        <w:rPr>
          <w:color w:val="000000" w:themeColor="text1"/>
        </w:rPr>
        <w:t>Testing</w:t>
      </w:r>
      <w:proofErr w:type="spellEnd"/>
      <w:r w:rsidRPr="004C2A3C">
        <w:rPr>
          <w:color w:val="000000" w:themeColor="text1"/>
        </w:rPr>
        <w:t xml:space="preserve"> and </w:t>
      </w:r>
      <w:proofErr w:type="spellStart"/>
      <w:r w:rsidRPr="004C2A3C">
        <w:rPr>
          <w:color w:val="000000" w:themeColor="text1"/>
        </w:rPr>
        <w:t>Assessment</w:t>
      </w:r>
      <w:proofErr w:type="spellEnd"/>
      <w:r w:rsidRPr="004C2A3C">
        <w:rPr>
          <w:color w:val="000000" w:themeColor="text1"/>
        </w:rPr>
        <w:t xml:space="preserve"> (IATA) for </w:t>
      </w:r>
      <w:proofErr w:type="spellStart"/>
      <w:r w:rsidRPr="004C2A3C">
        <w:rPr>
          <w:color w:val="000000" w:themeColor="text1"/>
        </w:rPr>
        <w:t>Serious</w:t>
      </w:r>
      <w:proofErr w:type="spellEnd"/>
      <w:r w:rsidRPr="004C2A3C">
        <w:rPr>
          <w:color w:val="000000" w:themeColor="text1"/>
        </w:rPr>
        <w:t xml:space="preserve"> Eye Damage and Eye Irritation</w:t>
      </w:r>
      <w:r w:rsidRPr="004C2A3C">
        <w:rPr>
          <w:color w:val="000000" w:themeColor="text1"/>
          <w:lang w:val="fr-FR"/>
        </w:rPr>
        <w:t xml:space="preserve"> − des informations sur les avantages et les inconvénients des différentes méthodes avec ou sans essais, ainsi que des indications sur la façon d</w:t>
      </w:r>
      <w:r>
        <w:rPr>
          <w:color w:val="000000" w:themeColor="text1"/>
          <w:lang w:val="fr-FR"/>
        </w:rPr>
        <w:t>’</w:t>
      </w:r>
      <w:r w:rsidRPr="004C2A3C">
        <w:rPr>
          <w:color w:val="000000" w:themeColor="text1"/>
          <w:lang w:val="fr-FR"/>
        </w:rPr>
        <w:t>appliquer une méthode fondée sur la force probante des données.</w:t>
      </w:r>
    </w:p>
    <w:p w14:paraId="4FB860F5" w14:textId="77777777" w:rsidR="00EE41F8" w:rsidRPr="004C2A3C" w:rsidRDefault="00EE41F8" w:rsidP="00EE41F8">
      <w:pPr>
        <w:tabs>
          <w:tab w:val="left" w:pos="3402"/>
        </w:tabs>
        <w:spacing w:after="120"/>
        <w:ind w:left="2268" w:right="1134"/>
        <w:jc w:val="both"/>
        <w:rPr>
          <w:i/>
          <w:iCs/>
          <w:color w:val="000000" w:themeColor="text1"/>
          <w:lang w:val="fr-FR"/>
        </w:rPr>
      </w:pPr>
      <w:r w:rsidRPr="004C2A3C">
        <w:rPr>
          <w:color w:val="000000" w:themeColor="text1"/>
          <w:lang w:val="fr-FR"/>
        </w:rPr>
        <w:t>3.3.5.3.2</w:t>
      </w:r>
      <w:r w:rsidRPr="004C2A3C">
        <w:rPr>
          <w:color w:val="000000" w:themeColor="text1"/>
          <w:lang w:val="fr-FR"/>
        </w:rPr>
        <w:tab/>
      </w:r>
      <w:r w:rsidRPr="004C2A3C">
        <w:rPr>
          <w:i/>
          <w:iCs/>
          <w:color w:val="000000" w:themeColor="text1"/>
          <w:lang w:val="fr-FR"/>
        </w:rPr>
        <w:t>Directives sur l</w:t>
      </w:r>
      <w:r>
        <w:rPr>
          <w:i/>
          <w:iCs/>
          <w:color w:val="000000" w:themeColor="text1"/>
          <w:lang w:val="fr-FR"/>
        </w:rPr>
        <w:t>’</w:t>
      </w:r>
      <w:r w:rsidRPr="004C2A3C">
        <w:rPr>
          <w:i/>
          <w:iCs/>
          <w:color w:val="000000" w:themeColor="text1"/>
          <w:lang w:val="fr-FR"/>
        </w:rPr>
        <w:t>utilisation des données obtenues sur l</w:t>
      </w:r>
      <w:r>
        <w:rPr>
          <w:i/>
          <w:iCs/>
          <w:color w:val="000000" w:themeColor="text1"/>
          <w:lang w:val="fr-FR"/>
        </w:rPr>
        <w:t>’</w:t>
      </w:r>
      <w:r w:rsidRPr="004C2A3C">
        <w:rPr>
          <w:i/>
          <w:iCs/>
          <w:color w:val="000000" w:themeColor="text1"/>
          <w:lang w:val="fr-FR"/>
        </w:rPr>
        <w:t>homme pour la classification au titre des lésions oculaires graves ou de l</w:t>
      </w:r>
      <w:r>
        <w:rPr>
          <w:i/>
          <w:iCs/>
          <w:color w:val="000000" w:themeColor="text1"/>
          <w:lang w:val="fr-FR"/>
        </w:rPr>
        <w:t>’</w:t>
      </w:r>
      <w:r w:rsidRPr="004C2A3C">
        <w:rPr>
          <w:i/>
          <w:iCs/>
          <w:color w:val="000000" w:themeColor="text1"/>
          <w:lang w:val="fr-FR"/>
        </w:rPr>
        <w:t>irritation oculaire</w:t>
      </w:r>
    </w:p>
    <w:p w14:paraId="6F6C7017" w14:textId="77777777" w:rsidR="00EE41F8" w:rsidRPr="004C2A3C" w:rsidRDefault="00EE41F8" w:rsidP="00EE41F8">
      <w:pPr>
        <w:tabs>
          <w:tab w:val="left" w:pos="3402"/>
        </w:tabs>
        <w:spacing w:after="120"/>
        <w:ind w:left="2268" w:right="1134"/>
        <w:jc w:val="both"/>
        <w:rPr>
          <w:color w:val="000000" w:themeColor="text1"/>
          <w:lang w:val="fr-FR"/>
        </w:rPr>
      </w:pPr>
      <w:r w:rsidRPr="004C2A3C">
        <w:rPr>
          <w:color w:val="000000" w:themeColor="text1"/>
          <w:lang w:val="fr-FR"/>
        </w:rPr>
        <w:tab/>
        <w:t>La disponibilité de données sur l</w:t>
      </w:r>
      <w:r>
        <w:rPr>
          <w:color w:val="000000" w:themeColor="text1"/>
          <w:lang w:val="fr-FR"/>
        </w:rPr>
        <w:t>’</w:t>
      </w:r>
      <w:r w:rsidRPr="004C2A3C">
        <w:rPr>
          <w:color w:val="000000" w:themeColor="text1"/>
          <w:lang w:val="fr-FR"/>
        </w:rPr>
        <w:t>homme pour les lésions oculaires graves et l</w:t>
      </w:r>
      <w:r>
        <w:rPr>
          <w:color w:val="000000" w:themeColor="text1"/>
          <w:lang w:val="fr-FR"/>
        </w:rPr>
        <w:t>’</w:t>
      </w:r>
      <w:r w:rsidRPr="004C2A3C">
        <w:rPr>
          <w:color w:val="000000" w:themeColor="text1"/>
          <w:lang w:val="fr-FR"/>
        </w:rPr>
        <w:t>irritation oculaire est limitée et les données disponibles peuvent comporter des incertitudes. Toutefois, lorsque ces données existent, il convient de les prendre en compte en fonction de leur qualité. Les données sur l</w:t>
      </w:r>
      <w:r>
        <w:rPr>
          <w:color w:val="000000" w:themeColor="text1"/>
          <w:lang w:val="fr-FR"/>
        </w:rPr>
        <w:t>’</w:t>
      </w:r>
      <w:r w:rsidRPr="004C2A3C">
        <w:rPr>
          <w:color w:val="000000" w:themeColor="text1"/>
          <w:lang w:val="fr-FR"/>
        </w:rPr>
        <w:t>homme peuvent provenir d</w:t>
      </w:r>
      <w:r>
        <w:rPr>
          <w:color w:val="000000" w:themeColor="text1"/>
          <w:lang w:val="fr-FR"/>
        </w:rPr>
        <w:t>’</w:t>
      </w:r>
      <w:r w:rsidRPr="004C2A3C">
        <w:rPr>
          <w:color w:val="000000" w:themeColor="text1"/>
          <w:lang w:val="fr-FR"/>
        </w:rPr>
        <w:t>études épidémiologiques, de l</w:t>
      </w:r>
      <w:r>
        <w:rPr>
          <w:color w:val="000000" w:themeColor="text1"/>
          <w:lang w:val="fr-FR"/>
        </w:rPr>
        <w:t>’</w:t>
      </w:r>
      <w:r w:rsidRPr="004C2A3C">
        <w:rPr>
          <w:color w:val="000000" w:themeColor="text1"/>
          <w:lang w:val="fr-FR"/>
        </w:rPr>
        <w:t>expérience humaine (expérience de consommateurs, par exemple), des centres antipoison, des programmes nationaux et internationaux de surveillance des accidents de la vie courante, d</w:t>
      </w:r>
      <w:r>
        <w:rPr>
          <w:color w:val="000000" w:themeColor="text1"/>
          <w:lang w:val="fr-FR"/>
        </w:rPr>
        <w:t>’</w:t>
      </w:r>
      <w:r w:rsidRPr="004C2A3C">
        <w:rPr>
          <w:color w:val="000000" w:themeColor="text1"/>
          <w:lang w:val="fr-FR"/>
        </w:rPr>
        <w:t>études de cas, ou encore d</w:t>
      </w:r>
      <w:r>
        <w:rPr>
          <w:color w:val="000000" w:themeColor="text1"/>
          <w:lang w:val="fr-FR"/>
        </w:rPr>
        <w:t>’</w:t>
      </w:r>
      <w:r w:rsidRPr="004C2A3C">
        <w:rPr>
          <w:color w:val="000000" w:themeColor="text1"/>
          <w:lang w:val="fr-FR"/>
        </w:rPr>
        <w:t>expériences et d</w:t>
      </w:r>
      <w:r>
        <w:rPr>
          <w:color w:val="000000" w:themeColor="text1"/>
          <w:lang w:val="fr-FR"/>
        </w:rPr>
        <w:t>’</w:t>
      </w:r>
      <w:r w:rsidRPr="004C2A3C">
        <w:rPr>
          <w:color w:val="000000" w:themeColor="text1"/>
          <w:lang w:val="fr-FR"/>
        </w:rPr>
        <w:t>accidents dans le monde du travail. Les études de cas sur l</w:t>
      </w:r>
      <w:r>
        <w:rPr>
          <w:color w:val="000000" w:themeColor="text1"/>
          <w:lang w:val="fr-FR"/>
        </w:rPr>
        <w:t>’</w:t>
      </w:r>
      <w:r w:rsidRPr="004C2A3C">
        <w:rPr>
          <w:color w:val="000000" w:themeColor="text1"/>
          <w:lang w:val="fr-FR"/>
        </w:rPr>
        <w:t>homme peuvent avoir une valeur prédictive limitée, car dans bien des cas la présence d</w:t>
      </w:r>
      <w:r>
        <w:rPr>
          <w:color w:val="000000" w:themeColor="text1"/>
          <w:lang w:val="fr-FR"/>
        </w:rPr>
        <w:t>’</w:t>
      </w:r>
      <w:r w:rsidRPr="004C2A3C">
        <w:rPr>
          <w:color w:val="000000" w:themeColor="text1"/>
          <w:lang w:val="fr-FR"/>
        </w:rPr>
        <w:t>une substance ou d</w:t>
      </w:r>
      <w:r>
        <w:rPr>
          <w:color w:val="000000" w:themeColor="text1"/>
          <w:lang w:val="fr-FR"/>
        </w:rPr>
        <w:t>’</w:t>
      </w:r>
      <w:r w:rsidRPr="004C2A3C">
        <w:rPr>
          <w:color w:val="000000" w:themeColor="text1"/>
          <w:lang w:val="fr-FR"/>
        </w:rPr>
        <w:t>un mélange dans l</w:t>
      </w:r>
      <w:r>
        <w:rPr>
          <w:color w:val="000000" w:themeColor="text1"/>
          <w:lang w:val="fr-FR"/>
        </w:rPr>
        <w:t>’</w:t>
      </w:r>
      <w:r w:rsidRPr="004C2A3C">
        <w:rPr>
          <w:color w:val="000000" w:themeColor="text1"/>
          <w:lang w:val="fr-FR"/>
        </w:rPr>
        <w:t>œil entraîne une douleur et un rapide rinçage des yeux. Les effets observés peuvent ainsi conduire à sous-estimer la propriété intrinsèque de la substance ou du mélange à affecter l</w:t>
      </w:r>
      <w:r>
        <w:rPr>
          <w:color w:val="000000" w:themeColor="text1"/>
          <w:lang w:val="fr-FR"/>
        </w:rPr>
        <w:t>’</w:t>
      </w:r>
      <w:r w:rsidRPr="004C2A3C">
        <w:rPr>
          <w:color w:val="000000" w:themeColor="text1"/>
          <w:lang w:val="fr-FR"/>
        </w:rPr>
        <w:t>œil lorsqu</w:t>
      </w:r>
      <w:r>
        <w:rPr>
          <w:color w:val="000000" w:themeColor="text1"/>
          <w:lang w:val="fr-FR"/>
        </w:rPr>
        <w:t>’</w:t>
      </w:r>
      <w:r w:rsidRPr="004C2A3C">
        <w:rPr>
          <w:color w:val="000000" w:themeColor="text1"/>
          <w:lang w:val="fr-FR"/>
        </w:rPr>
        <w:t>il n</w:t>
      </w:r>
      <w:r>
        <w:rPr>
          <w:color w:val="000000" w:themeColor="text1"/>
          <w:lang w:val="fr-FR"/>
        </w:rPr>
        <w:t>’</w:t>
      </w:r>
      <w:r w:rsidRPr="004C2A3C">
        <w:rPr>
          <w:color w:val="000000" w:themeColor="text1"/>
          <w:lang w:val="fr-FR"/>
        </w:rPr>
        <w:t>est pas rincé. On trouvera dans le document d</w:t>
      </w:r>
      <w:r>
        <w:rPr>
          <w:color w:val="000000" w:themeColor="text1"/>
          <w:lang w:val="fr-FR"/>
        </w:rPr>
        <w:t>’</w:t>
      </w:r>
      <w:r w:rsidRPr="004C2A3C">
        <w:rPr>
          <w:color w:val="000000" w:themeColor="text1"/>
          <w:lang w:val="fr-FR"/>
        </w:rPr>
        <w:t>orientation 263 de l</w:t>
      </w:r>
      <w:r>
        <w:rPr>
          <w:color w:val="000000" w:themeColor="text1"/>
          <w:lang w:val="fr-FR"/>
        </w:rPr>
        <w:t>’</w:t>
      </w:r>
      <w:r w:rsidRPr="004C2A3C">
        <w:rPr>
          <w:color w:val="000000" w:themeColor="text1"/>
          <w:lang w:val="fr-FR"/>
        </w:rPr>
        <w:t xml:space="preserve">OCDE (sect. 4.1, module 1 : </w:t>
      </w:r>
      <w:proofErr w:type="spellStart"/>
      <w:r w:rsidRPr="004C2A3C">
        <w:rPr>
          <w:color w:val="000000" w:themeColor="text1"/>
        </w:rPr>
        <w:t>Existing</w:t>
      </w:r>
      <w:proofErr w:type="spellEnd"/>
      <w:r w:rsidRPr="004C2A3C">
        <w:rPr>
          <w:color w:val="000000" w:themeColor="text1"/>
        </w:rPr>
        <w:t xml:space="preserve"> </w:t>
      </w:r>
      <w:proofErr w:type="spellStart"/>
      <w:r w:rsidRPr="004C2A3C">
        <w:rPr>
          <w:color w:val="000000" w:themeColor="text1"/>
        </w:rPr>
        <w:t>human</w:t>
      </w:r>
      <w:proofErr w:type="spellEnd"/>
      <w:r w:rsidRPr="004C2A3C">
        <w:rPr>
          <w:color w:val="000000" w:themeColor="text1"/>
        </w:rPr>
        <w:t xml:space="preserve"> data on </w:t>
      </w:r>
      <w:proofErr w:type="spellStart"/>
      <w:r w:rsidRPr="004C2A3C">
        <w:rPr>
          <w:color w:val="000000" w:themeColor="text1"/>
        </w:rPr>
        <w:t>serious</w:t>
      </w:r>
      <w:proofErr w:type="spellEnd"/>
      <w:r w:rsidRPr="004C2A3C">
        <w:rPr>
          <w:color w:val="000000" w:themeColor="text1"/>
        </w:rPr>
        <w:t xml:space="preserve"> </w:t>
      </w:r>
      <w:proofErr w:type="spellStart"/>
      <w:r w:rsidRPr="004C2A3C">
        <w:rPr>
          <w:color w:val="000000" w:themeColor="text1"/>
        </w:rPr>
        <w:t>eye</w:t>
      </w:r>
      <w:proofErr w:type="spellEnd"/>
      <w:r w:rsidRPr="004C2A3C">
        <w:rPr>
          <w:color w:val="000000" w:themeColor="text1"/>
        </w:rPr>
        <w:t xml:space="preserve"> damage and </w:t>
      </w:r>
      <w:proofErr w:type="spellStart"/>
      <w:r w:rsidRPr="004C2A3C">
        <w:rPr>
          <w:color w:val="000000" w:themeColor="text1"/>
        </w:rPr>
        <w:t>eye</w:t>
      </w:r>
      <w:proofErr w:type="spellEnd"/>
      <w:r w:rsidRPr="004C2A3C">
        <w:rPr>
          <w:color w:val="000000" w:themeColor="text1"/>
        </w:rPr>
        <w:t xml:space="preserve"> irritation</w:t>
      </w:r>
      <w:r w:rsidRPr="004C2A3C">
        <w:rPr>
          <w:color w:val="000000" w:themeColor="text1"/>
          <w:lang w:val="fr-FR"/>
        </w:rPr>
        <w:t>), de plus amples informations sur les avantages et les inconvénients des données sur l</w:t>
      </w:r>
      <w:r>
        <w:rPr>
          <w:color w:val="000000" w:themeColor="text1"/>
          <w:lang w:val="fr-FR"/>
        </w:rPr>
        <w:t>’</w:t>
      </w:r>
      <w:r w:rsidRPr="004C2A3C">
        <w:rPr>
          <w:color w:val="000000" w:themeColor="text1"/>
          <w:lang w:val="fr-FR"/>
        </w:rPr>
        <w:t>homme pour les lésions oculaires graves et l</w:t>
      </w:r>
      <w:r>
        <w:rPr>
          <w:color w:val="000000" w:themeColor="text1"/>
          <w:lang w:val="fr-FR"/>
        </w:rPr>
        <w:t>’</w:t>
      </w:r>
      <w:r w:rsidRPr="004C2A3C">
        <w:rPr>
          <w:color w:val="000000" w:themeColor="text1"/>
          <w:lang w:val="fr-FR"/>
        </w:rPr>
        <w:t>irritation oculaire). ».</w:t>
      </w:r>
    </w:p>
    <w:p w14:paraId="2E15216F" w14:textId="77777777" w:rsidR="00EE41F8" w:rsidRPr="004C2A3C" w:rsidRDefault="00EE41F8" w:rsidP="00EE41F8">
      <w:pPr>
        <w:keepNext/>
        <w:spacing w:after="120"/>
        <w:ind w:left="1134" w:right="1134"/>
        <w:jc w:val="both"/>
        <w:rPr>
          <w:color w:val="000000" w:themeColor="text1"/>
          <w:lang w:val="fr-FR"/>
        </w:rPr>
      </w:pPr>
      <w:r w:rsidRPr="004C2A3C">
        <w:rPr>
          <w:color w:val="000000" w:themeColor="text1"/>
          <w:lang w:val="fr-FR"/>
        </w:rPr>
        <w:t>3.3.5.3.3</w:t>
      </w:r>
      <w:r w:rsidRPr="004C2A3C">
        <w:rPr>
          <w:color w:val="000000" w:themeColor="text1"/>
          <w:lang w:val="fr-FR"/>
        </w:rPr>
        <w:tab/>
        <w:t>Ajouter le nouveau titre suivant :</w:t>
      </w:r>
    </w:p>
    <w:p w14:paraId="7BB07B8F" w14:textId="77777777" w:rsidR="00EE41F8" w:rsidRPr="004C2A3C" w:rsidRDefault="00EE41F8" w:rsidP="00EE41F8">
      <w:pPr>
        <w:spacing w:after="120"/>
        <w:ind w:left="2268" w:right="1134"/>
        <w:jc w:val="both"/>
        <w:rPr>
          <w:i/>
          <w:iCs/>
          <w:color w:val="000000" w:themeColor="text1"/>
          <w:lang w:val="fr-FR"/>
        </w:rPr>
      </w:pPr>
      <w:r w:rsidRPr="004C2A3C">
        <w:rPr>
          <w:color w:val="000000" w:themeColor="text1"/>
          <w:lang w:val="fr-FR"/>
        </w:rPr>
        <w:t>« 3.3.5.3.3</w:t>
      </w:r>
      <w:r w:rsidRPr="004C2A3C">
        <w:rPr>
          <w:color w:val="000000" w:themeColor="text1"/>
          <w:lang w:val="fr-FR"/>
        </w:rPr>
        <w:tab/>
      </w:r>
      <w:r w:rsidRPr="004C2A3C">
        <w:rPr>
          <w:i/>
          <w:iCs/>
          <w:color w:val="000000" w:themeColor="text1"/>
          <w:lang w:val="fr-FR"/>
        </w:rPr>
        <w:t>Classification fondée sur les résultats d</w:t>
      </w:r>
      <w:r>
        <w:rPr>
          <w:i/>
          <w:iCs/>
          <w:color w:val="000000" w:themeColor="text1"/>
          <w:lang w:val="fr-FR"/>
        </w:rPr>
        <w:t>’</w:t>
      </w:r>
      <w:r w:rsidRPr="004C2A3C">
        <w:rPr>
          <w:i/>
          <w:iCs/>
          <w:color w:val="000000" w:themeColor="text1"/>
          <w:lang w:val="fr-FR"/>
        </w:rPr>
        <w:t>essais normalisés sur des animaux, portant sur plus de trois animaux </w:t>
      </w:r>
      <w:r w:rsidRPr="004C2A3C">
        <w:rPr>
          <w:color w:val="000000" w:themeColor="text1"/>
          <w:lang w:val="fr-FR"/>
        </w:rPr>
        <w:t>».</w:t>
      </w:r>
    </w:p>
    <w:p w14:paraId="3C810DCB" w14:textId="77777777" w:rsidR="00EE41F8" w:rsidRPr="004C2A3C" w:rsidRDefault="00EE41F8" w:rsidP="00EE41F8">
      <w:pPr>
        <w:tabs>
          <w:tab w:val="left" w:pos="2268"/>
          <w:tab w:val="left" w:pos="4820"/>
          <w:tab w:val="left" w:pos="5954"/>
        </w:tabs>
        <w:spacing w:after="120"/>
        <w:ind w:left="2268" w:right="1134" w:hanging="1134"/>
        <w:jc w:val="both"/>
        <w:rPr>
          <w:color w:val="000000" w:themeColor="text1"/>
          <w:lang w:val="fr-FR"/>
        </w:rPr>
      </w:pPr>
      <w:r w:rsidRPr="004C2A3C">
        <w:rPr>
          <w:color w:val="000000" w:themeColor="text1"/>
          <w:lang w:val="fr-FR"/>
        </w:rPr>
        <w:t>3.3.5.3.3.2 (nouveau, ancien 3.3.5.3.2)</w:t>
      </w:r>
      <w:r w:rsidRPr="004C2A3C">
        <w:rPr>
          <w:color w:val="000000" w:themeColor="text1"/>
          <w:lang w:val="fr-FR"/>
        </w:rPr>
        <w:tab/>
        <w:t>Remplacer « 3.3.2.1 » par « 3.3.2.2 ».</w:t>
      </w:r>
    </w:p>
    <w:p w14:paraId="3DFAED80" w14:textId="77777777" w:rsidR="00EE41F8" w:rsidRPr="004C2A3C" w:rsidRDefault="00EE41F8" w:rsidP="00EE41F8">
      <w:pPr>
        <w:keepNext/>
        <w:spacing w:after="120"/>
        <w:ind w:left="1134" w:right="1134"/>
        <w:jc w:val="both"/>
        <w:rPr>
          <w:color w:val="000000" w:themeColor="text1"/>
          <w:lang w:val="fr-FR"/>
        </w:rPr>
      </w:pPr>
      <w:r w:rsidRPr="004C2A3C">
        <w:rPr>
          <w:color w:val="000000" w:themeColor="text1"/>
          <w:lang w:val="fr-FR"/>
        </w:rPr>
        <w:t>3.3.5.3.4 à 3.3.5.3.7.2</w:t>
      </w:r>
      <w:r w:rsidRPr="004C2A3C">
        <w:rPr>
          <w:color w:val="000000" w:themeColor="text1"/>
          <w:lang w:val="fr-FR"/>
        </w:rPr>
        <w:tab/>
        <w:t>Ajouter les nouvelles sections suivantes :</w:t>
      </w:r>
    </w:p>
    <w:p w14:paraId="5E762FA6" w14:textId="77777777" w:rsidR="00EE41F8" w:rsidRPr="004C2A3C" w:rsidRDefault="00EE41F8" w:rsidP="00EE41F8">
      <w:pPr>
        <w:spacing w:after="120"/>
        <w:ind w:left="2268" w:right="1134"/>
        <w:jc w:val="both"/>
        <w:rPr>
          <w:color w:val="000000" w:themeColor="text1"/>
          <w:lang w:val="fr-FR"/>
        </w:rPr>
      </w:pPr>
      <w:r w:rsidRPr="004C2A3C">
        <w:rPr>
          <w:color w:val="000000" w:themeColor="text1"/>
          <w:lang w:val="fr-FR"/>
        </w:rPr>
        <w:t>« 3.3.5.3.4</w:t>
      </w:r>
      <w:r w:rsidRPr="004C2A3C">
        <w:rPr>
          <w:color w:val="000000" w:themeColor="text1"/>
          <w:lang w:val="fr-FR"/>
        </w:rPr>
        <w:tab/>
      </w:r>
      <w:r w:rsidRPr="004C2A3C">
        <w:rPr>
          <w:i/>
          <w:iCs/>
          <w:color w:val="000000" w:themeColor="text1"/>
          <w:lang w:val="fr-FR"/>
        </w:rPr>
        <w:t>Directive sur l</w:t>
      </w:r>
      <w:r>
        <w:rPr>
          <w:i/>
          <w:iCs/>
          <w:color w:val="000000" w:themeColor="text1"/>
          <w:lang w:val="fr-FR"/>
        </w:rPr>
        <w:t>’</w:t>
      </w:r>
      <w:r w:rsidRPr="004C2A3C">
        <w:rPr>
          <w:i/>
          <w:iCs/>
          <w:color w:val="000000" w:themeColor="text1"/>
          <w:lang w:val="fr-FR"/>
        </w:rPr>
        <w:t>utilisation de méthodes définies et</w:t>
      </w:r>
      <w:r w:rsidRPr="004C2A3C">
        <w:rPr>
          <w:iCs/>
          <w:color w:val="000000" w:themeColor="text1"/>
          <w:lang w:val="fr-FR"/>
        </w:rPr>
        <w:t>/</w:t>
      </w:r>
      <w:r w:rsidRPr="004C2A3C">
        <w:rPr>
          <w:i/>
          <w:iCs/>
          <w:color w:val="000000" w:themeColor="text1"/>
          <w:lang w:val="fr-FR"/>
        </w:rPr>
        <w:t xml:space="preserve">ou de données </w:t>
      </w:r>
      <w:r w:rsidRPr="004C2A3C">
        <w:rPr>
          <w:color w:val="000000" w:themeColor="text1"/>
          <w:lang w:val="fr-FR"/>
        </w:rPr>
        <w:t>in vitro/ex vivo</w:t>
      </w:r>
      <w:r w:rsidRPr="004C2A3C">
        <w:rPr>
          <w:i/>
          <w:iCs/>
          <w:color w:val="000000" w:themeColor="text1"/>
          <w:lang w:val="fr-FR"/>
        </w:rPr>
        <w:t xml:space="preserve"> pour la classification à l</w:t>
      </w:r>
      <w:r>
        <w:rPr>
          <w:i/>
          <w:iCs/>
          <w:color w:val="000000" w:themeColor="text1"/>
          <w:lang w:val="fr-FR"/>
        </w:rPr>
        <w:t>’</w:t>
      </w:r>
      <w:r w:rsidRPr="004C2A3C">
        <w:rPr>
          <w:i/>
          <w:iCs/>
          <w:color w:val="000000" w:themeColor="text1"/>
          <w:lang w:val="fr-FR"/>
        </w:rPr>
        <w:t>étape 2 de la figure 3.3.1</w:t>
      </w:r>
    </w:p>
    <w:p w14:paraId="770EDF93" w14:textId="77777777" w:rsidR="00EE41F8" w:rsidRPr="004C2A3C" w:rsidRDefault="00EE41F8" w:rsidP="00EE41F8">
      <w:pPr>
        <w:spacing w:after="120"/>
        <w:ind w:left="2268" w:right="1134"/>
        <w:jc w:val="both"/>
        <w:rPr>
          <w:color w:val="000000" w:themeColor="text1"/>
          <w:lang w:val="fr-FR"/>
        </w:rPr>
      </w:pPr>
      <w:r w:rsidRPr="004C2A3C">
        <w:rPr>
          <w:color w:val="000000" w:themeColor="text1"/>
          <w:lang w:val="fr-FR"/>
        </w:rPr>
        <w:t>3.3.5.3.4.1</w:t>
      </w:r>
      <w:r w:rsidRPr="004C2A3C">
        <w:rPr>
          <w:color w:val="000000" w:themeColor="text1"/>
          <w:lang w:val="fr-FR"/>
        </w:rPr>
        <w:tab/>
        <w:t>Les méthodes définies désignent un ensemble prédéfini de sources d</w:t>
      </w:r>
      <w:r>
        <w:rPr>
          <w:color w:val="000000" w:themeColor="text1"/>
          <w:lang w:val="fr-FR"/>
        </w:rPr>
        <w:t>’</w:t>
      </w:r>
      <w:r w:rsidRPr="004C2A3C">
        <w:rPr>
          <w:color w:val="000000" w:themeColor="text1"/>
          <w:lang w:val="fr-FR"/>
        </w:rPr>
        <w:t xml:space="preserve">information différentes (méthodes </w:t>
      </w:r>
      <w:r w:rsidRPr="004C2A3C">
        <w:rPr>
          <w:i/>
          <w:iCs/>
          <w:color w:val="000000" w:themeColor="text1"/>
          <w:lang w:val="fr-FR"/>
        </w:rPr>
        <w:t>in vitro</w:t>
      </w:r>
      <w:r w:rsidRPr="004C2A3C">
        <w:rPr>
          <w:color w:val="000000" w:themeColor="text1"/>
          <w:lang w:val="fr-FR"/>
        </w:rPr>
        <w:t xml:space="preserve">, méthodes </w:t>
      </w:r>
      <w:r w:rsidRPr="004C2A3C">
        <w:rPr>
          <w:i/>
          <w:iCs/>
          <w:color w:val="000000" w:themeColor="text1"/>
          <w:lang w:val="fr-FR"/>
        </w:rPr>
        <w:t>ex vivo</w:t>
      </w:r>
      <w:r w:rsidRPr="004C2A3C">
        <w:rPr>
          <w:color w:val="000000" w:themeColor="text1"/>
          <w:lang w:val="fr-FR"/>
        </w:rPr>
        <w:t>, propriétés physico-chimiques ou méthodes sans essais, par exemple) qui, lorsqu</w:t>
      </w:r>
      <w:r>
        <w:rPr>
          <w:color w:val="000000" w:themeColor="text1"/>
          <w:lang w:val="fr-FR"/>
        </w:rPr>
        <w:t>’</w:t>
      </w:r>
      <w:r w:rsidRPr="004C2A3C">
        <w:rPr>
          <w:color w:val="000000" w:themeColor="text1"/>
          <w:lang w:val="fr-FR"/>
        </w:rPr>
        <w:t>on les combine entre elles au moyen d</w:t>
      </w:r>
      <w:r>
        <w:rPr>
          <w:color w:val="000000" w:themeColor="text1"/>
          <w:lang w:val="fr-FR"/>
        </w:rPr>
        <w:t>’</w:t>
      </w:r>
      <w:r w:rsidRPr="004C2A3C">
        <w:rPr>
          <w:color w:val="000000" w:themeColor="text1"/>
          <w:lang w:val="fr-FR"/>
        </w:rPr>
        <w:t>une procédure d</w:t>
      </w:r>
      <w:r>
        <w:rPr>
          <w:color w:val="000000" w:themeColor="text1"/>
          <w:lang w:val="fr-FR"/>
        </w:rPr>
        <w:t>’</w:t>
      </w:r>
      <w:r w:rsidRPr="004C2A3C">
        <w:rPr>
          <w:color w:val="000000" w:themeColor="text1"/>
          <w:lang w:val="fr-FR"/>
        </w:rPr>
        <w:t>interprétation des données établie, en vue d</w:t>
      </w:r>
      <w:r>
        <w:rPr>
          <w:color w:val="000000" w:themeColor="text1"/>
          <w:lang w:val="fr-FR"/>
        </w:rPr>
        <w:t>’</w:t>
      </w:r>
      <w:r w:rsidRPr="004C2A3C">
        <w:rPr>
          <w:color w:val="000000" w:themeColor="text1"/>
          <w:lang w:val="fr-FR"/>
        </w:rPr>
        <w:t>obtenir une prédiction (ou un résultat) à partir des données en entrée, peuvent produire une conclusion sur la classification d</w:t>
      </w:r>
      <w:r>
        <w:rPr>
          <w:color w:val="000000" w:themeColor="text1"/>
          <w:lang w:val="fr-FR"/>
        </w:rPr>
        <w:t>’</w:t>
      </w:r>
      <w:r w:rsidRPr="004C2A3C">
        <w:rPr>
          <w:color w:val="000000" w:themeColor="text1"/>
          <w:lang w:val="fr-FR"/>
        </w:rPr>
        <w:t>une substance ou d</w:t>
      </w:r>
      <w:r>
        <w:rPr>
          <w:color w:val="000000" w:themeColor="text1"/>
          <w:lang w:val="fr-FR"/>
        </w:rPr>
        <w:t>’</w:t>
      </w:r>
      <w:r w:rsidRPr="004C2A3C">
        <w:rPr>
          <w:color w:val="000000" w:themeColor="text1"/>
          <w:lang w:val="fr-FR"/>
        </w:rPr>
        <w:t>un mélange. Une procédure d</w:t>
      </w:r>
      <w:r>
        <w:rPr>
          <w:color w:val="000000" w:themeColor="text1"/>
          <w:lang w:val="fr-FR"/>
        </w:rPr>
        <w:t>’</w:t>
      </w:r>
      <w:r w:rsidRPr="004C2A3C">
        <w:rPr>
          <w:color w:val="000000" w:themeColor="text1"/>
          <w:lang w:val="fr-FR"/>
        </w:rPr>
        <w:t>interprétation des données établie est un algorithme établi qui permet d</w:t>
      </w:r>
      <w:r>
        <w:rPr>
          <w:color w:val="000000" w:themeColor="text1"/>
          <w:lang w:val="fr-FR"/>
        </w:rPr>
        <w:t>’</w:t>
      </w:r>
      <w:r w:rsidRPr="004C2A3C">
        <w:rPr>
          <w:color w:val="000000" w:themeColor="text1"/>
          <w:lang w:val="fr-FR"/>
        </w:rPr>
        <w:t>interpréter des données provenant d</w:t>
      </w:r>
      <w:r>
        <w:rPr>
          <w:color w:val="000000" w:themeColor="text1"/>
          <w:lang w:val="fr-FR"/>
        </w:rPr>
        <w:t>’</w:t>
      </w:r>
      <w:r w:rsidRPr="004C2A3C">
        <w:rPr>
          <w:color w:val="000000" w:themeColor="text1"/>
          <w:lang w:val="fr-FR"/>
        </w:rPr>
        <w:t>une ou généralement de plusieurs sources d</w:t>
      </w:r>
      <w:r>
        <w:rPr>
          <w:color w:val="000000" w:themeColor="text1"/>
          <w:lang w:val="fr-FR"/>
        </w:rPr>
        <w:t>’</w:t>
      </w:r>
      <w:r w:rsidRPr="004C2A3C">
        <w:rPr>
          <w:color w:val="000000" w:themeColor="text1"/>
          <w:lang w:val="fr-FR"/>
        </w:rPr>
        <w:t>information et qui s</w:t>
      </w:r>
      <w:r>
        <w:rPr>
          <w:color w:val="000000" w:themeColor="text1"/>
          <w:lang w:val="fr-FR"/>
        </w:rPr>
        <w:t>’</w:t>
      </w:r>
      <w:r w:rsidRPr="004C2A3C">
        <w:rPr>
          <w:color w:val="000000" w:themeColor="text1"/>
          <w:lang w:val="fr-FR"/>
        </w:rPr>
        <w:t>appuie sur des règles dans le sens où il est fondé, par exemple, sur une formule ou un algorithme (des critères de décision, une règle ou un ensemble de règles, par exemple) qui ne dépendent pas du jugement d</w:t>
      </w:r>
      <w:r>
        <w:rPr>
          <w:color w:val="000000" w:themeColor="text1"/>
          <w:lang w:val="fr-FR"/>
        </w:rPr>
        <w:t>’</w:t>
      </w:r>
      <w:r w:rsidRPr="004C2A3C">
        <w:rPr>
          <w:color w:val="000000" w:themeColor="text1"/>
          <w:lang w:val="fr-FR"/>
        </w:rPr>
        <w:t>un expert. Le résultat d</w:t>
      </w:r>
      <w:r>
        <w:rPr>
          <w:color w:val="000000" w:themeColor="text1"/>
          <w:lang w:val="fr-FR"/>
        </w:rPr>
        <w:t>’</w:t>
      </w:r>
      <w:r w:rsidRPr="004C2A3C">
        <w:rPr>
          <w:color w:val="000000" w:themeColor="text1"/>
          <w:lang w:val="fr-FR"/>
        </w:rPr>
        <w:t>une procédure d</w:t>
      </w:r>
      <w:r>
        <w:rPr>
          <w:color w:val="000000" w:themeColor="text1"/>
          <w:lang w:val="fr-FR"/>
        </w:rPr>
        <w:t>’</w:t>
      </w:r>
      <w:r w:rsidRPr="004C2A3C">
        <w:rPr>
          <w:color w:val="000000" w:themeColor="text1"/>
          <w:lang w:val="fr-FR"/>
        </w:rPr>
        <w:t>interprétation des données est généralement une prédiction d</w:t>
      </w:r>
      <w:r>
        <w:rPr>
          <w:color w:val="000000" w:themeColor="text1"/>
          <w:lang w:val="fr-FR"/>
        </w:rPr>
        <w:t>’</w:t>
      </w:r>
      <w:r w:rsidRPr="004C2A3C">
        <w:rPr>
          <w:color w:val="000000" w:themeColor="text1"/>
          <w:lang w:val="fr-FR"/>
        </w:rPr>
        <w:t>un effet biologique présentant un intérêt ou un critère terminal d</w:t>
      </w:r>
      <w:r>
        <w:rPr>
          <w:color w:val="000000" w:themeColor="text1"/>
          <w:lang w:val="fr-FR"/>
        </w:rPr>
        <w:t>’</w:t>
      </w:r>
      <w:r w:rsidRPr="004C2A3C">
        <w:rPr>
          <w:color w:val="000000" w:themeColor="text1"/>
          <w:lang w:val="fr-FR"/>
        </w:rPr>
        <w:t>évaluation. Dans le cas d</w:t>
      </w:r>
      <w:r>
        <w:rPr>
          <w:color w:val="000000" w:themeColor="text1"/>
          <w:lang w:val="fr-FR"/>
        </w:rPr>
        <w:t>’</w:t>
      </w:r>
      <w:r w:rsidRPr="004C2A3C">
        <w:rPr>
          <w:color w:val="000000" w:themeColor="text1"/>
          <w:lang w:val="fr-FR"/>
        </w:rPr>
        <w:t>une méthode définie, sachant que les sources d</w:t>
      </w:r>
      <w:r>
        <w:rPr>
          <w:color w:val="000000" w:themeColor="text1"/>
          <w:lang w:val="fr-FR"/>
        </w:rPr>
        <w:t>’</w:t>
      </w:r>
      <w:r w:rsidRPr="004C2A3C">
        <w:rPr>
          <w:color w:val="000000" w:themeColor="text1"/>
          <w:lang w:val="fr-FR"/>
        </w:rPr>
        <w:t>information sont prescrites et que l</w:t>
      </w:r>
      <w:r>
        <w:rPr>
          <w:color w:val="000000" w:themeColor="text1"/>
          <w:lang w:val="fr-FR"/>
        </w:rPr>
        <w:t>’</w:t>
      </w:r>
      <w:r w:rsidRPr="004C2A3C">
        <w:rPr>
          <w:color w:val="000000" w:themeColor="text1"/>
          <w:lang w:val="fr-FR"/>
        </w:rPr>
        <w:t>ensemble des règles sur la manière de les intégrer et de les interpréter est prédéterminé, on parvient toujours à la même conclusion sur le même ensemble de données, car il n</w:t>
      </w:r>
      <w:r>
        <w:rPr>
          <w:color w:val="000000" w:themeColor="text1"/>
          <w:lang w:val="fr-FR"/>
        </w:rPr>
        <w:t>’</w:t>
      </w:r>
      <w:r w:rsidRPr="004C2A3C">
        <w:rPr>
          <w:color w:val="000000" w:themeColor="text1"/>
          <w:lang w:val="fr-FR"/>
        </w:rPr>
        <w:t>y a aucune place pour une interprétation subjective. Dans le cas d</w:t>
      </w:r>
      <w:r>
        <w:rPr>
          <w:color w:val="000000" w:themeColor="text1"/>
          <w:lang w:val="fr-FR"/>
        </w:rPr>
        <w:t>’</w:t>
      </w:r>
      <w:r w:rsidRPr="004C2A3C">
        <w:rPr>
          <w:color w:val="000000" w:themeColor="text1"/>
          <w:lang w:val="fr-FR"/>
        </w:rPr>
        <w:t>une évaluation de la force probante des données, en revanche, un expert porte un jugement au cas par cas sur la base des informations disponibles, ce qui peut conduire à des conclusions différentes car il n</w:t>
      </w:r>
      <w:r>
        <w:rPr>
          <w:color w:val="000000" w:themeColor="text1"/>
          <w:lang w:val="fr-FR"/>
        </w:rPr>
        <w:t>’</w:t>
      </w:r>
      <w:r w:rsidRPr="004C2A3C">
        <w:rPr>
          <w:color w:val="000000" w:themeColor="text1"/>
          <w:lang w:val="fr-FR"/>
        </w:rPr>
        <w:t>y a pas de règles établies pour l</w:t>
      </w:r>
      <w:r>
        <w:rPr>
          <w:color w:val="000000" w:themeColor="text1"/>
          <w:lang w:val="fr-FR"/>
        </w:rPr>
        <w:t>’</w:t>
      </w:r>
      <w:r w:rsidRPr="004C2A3C">
        <w:rPr>
          <w:color w:val="000000" w:themeColor="text1"/>
          <w:lang w:val="fr-FR"/>
        </w:rPr>
        <w:t>interprétation des données.</w:t>
      </w:r>
    </w:p>
    <w:p w14:paraId="10A3F64D" w14:textId="77777777" w:rsidR="00EE41F8" w:rsidRPr="004C2A3C" w:rsidRDefault="00EE41F8" w:rsidP="00EE41F8">
      <w:pPr>
        <w:spacing w:after="120"/>
        <w:ind w:left="2268" w:right="1134"/>
        <w:jc w:val="both"/>
        <w:rPr>
          <w:color w:val="000000" w:themeColor="text1"/>
          <w:spacing w:val="-1"/>
          <w:lang w:val="fr-FR"/>
        </w:rPr>
      </w:pPr>
      <w:bookmarkStart w:id="9" w:name="_Hlk69886088"/>
      <w:r w:rsidRPr="004C2A3C">
        <w:rPr>
          <w:color w:val="000000" w:themeColor="text1"/>
          <w:spacing w:val="-1"/>
          <w:lang w:val="fr-FR"/>
        </w:rPr>
        <w:t>3.3.5.3.4.2</w:t>
      </w:r>
      <w:r w:rsidRPr="004C2A3C">
        <w:rPr>
          <w:color w:val="000000" w:themeColor="text1"/>
          <w:spacing w:val="-1"/>
          <w:lang w:val="fr-FR"/>
        </w:rPr>
        <w:tab/>
        <w:t>Une démarche par étapes pour l</w:t>
      </w:r>
      <w:r>
        <w:rPr>
          <w:color w:val="000000" w:themeColor="text1"/>
          <w:spacing w:val="-1"/>
          <w:lang w:val="fr-FR"/>
        </w:rPr>
        <w:t>’</w:t>
      </w:r>
      <w:r w:rsidRPr="004C2A3C">
        <w:rPr>
          <w:color w:val="000000" w:themeColor="text1"/>
          <w:spacing w:val="-1"/>
          <w:lang w:val="fr-FR"/>
        </w:rPr>
        <w:t>évaluation des informations issues de l</w:t>
      </w:r>
      <w:r>
        <w:rPr>
          <w:color w:val="000000" w:themeColor="text1"/>
          <w:spacing w:val="-1"/>
          <w:lang w:val="fr-FR"/>
        </w:rPr>
        <w:t>’</w:t>
      </w:r>
      <w:r w:rsidRPr="004C2A3C">
        <w:rPr>
          <w:color w:val="000000" w:themeColor="text1"/>
          <w:spacing w:val="-1"/>
          <w:lang w:val="fr-FR"/>
        </w:rPr>
        <w:t>étape 2 de la figure 3.3.1, à savoir les données des méthodes définies et/ou des méthodes d</w:t>
      </w:r>
      <w:r>
        <w:rPr>
          <w:color w:val="000000" w:themeColor="text1"/>
          <w:spacing w:val="-1"/>
          <w:lang w:val="fr-FR"/>
        </w:rPr>
        <w:t>’</w:t>
      </w:r>
      <w:r w:rsidRPr="004C2A3C">
        <w:rPr>
          <w:color w:val="000000" w:themeColor="text1"/>
          <w:spacing w:val="-1"/>
          <w:lang w:val="fr-FR"/>
        </w:rPr>
        <w:t xml:space="preserve">essai </w:t>
      </w:r>
      <w:r w:rsidRPr="004C2A3C">
        <w:rPr>
          <w:i/>
          <w:iCs/>
          <w:color w:val="000000" w:themeColor="text1"/>
          <w:spacing w:val="-1"/>
          <w:lang w:val="fr-FR"/>
        </w:rPr>
        <w:t>in vitro</w:t>
      </w:r>
      <w:r w:rsidRPr="004C2A3C">
        <w:rPr>
          <w:iCs/>
          <w:color w:val="000000" w:themeColor="text1"/>
          <w:spacing w:val="-1"/>
          <w:lang w:val="fr-FR"/>
        </w:rPr>
        <w:t>/</w:t>
      </w:r>
      <w:r w:rsidRPr="004C2A3C">
        <w:rPr>
          <w:i/>
          <w:iCs/>
          <w:color w:val="000000" w:themeColor="text1"/>
          <w:spacing w:val="-1"/>
          <w:lang w:val="fr-FR"/>
        </w:rPr>
        <w:t>ex vivo</w:t>
      </w:r>
      <w:r w:rsidRPr="004C2A3C">
        <w:rPr>
          <w:color w:val="000000" w:themeColor="text1"/>
          <w:spacing w:val="-1"/>
          <w:lang w:val="fr-FR"/>
        </w:rPr>
        <w:t>, doit être envisagée s</w:t>
      </w:r>
      <w:r>
        <w:rPr>
          <w:color w:val="000000" w:themeColor="text1"/>
          <w:spacing w:val="-1"/>
          <w:lang w:val="fr-FR"/>
        </w:rPr>
        <w:t>’</w:t>
      </w:r>
      <w:r w:rsidRPr="004C2A3C">
        <w:rPr>
          <w:color w:val="000000" w:themeColor="text1"/>
          <w:spacing w:val="-1"/>
          <w:lang w:val="fr-FR"/>
        </w:rPr>
        <w:t>il y a lieu (figure 3.3.3), sachant que certains éléments peuvent ne pas être pertinents. Cependant, il convient d</w:t>
      </w:r>
      <w:r>
        <w:rPr>
          <w:color w:val="000000" w:themeColor="text1"/>
          <w:spacing w:val="-1"/>
          <w:lang w:val="fr-FR"/>
        </w:rPr>
        <w:t>’</w:t>
      </w:r>
      <w:r w:rsidRPr="004C2A3C">
        <w:rPr>
          <w:color w:val="000000" w:themeColor="text1"/>
          <w:spacing w:val="-1"/>
          <w:lang w:val="fr-FR"/>
        </w:rPr>
        <w:t>examiner toutes les informations disponibles, pertinentes et de qualité suffisante pour s</w:t>
      </w:r>
      <w:r>
        <w:rPr>
          <w:color w:val="000000" w:themeColor="text1"/>
          <w:spacing w:val="-1"/>
          <w:lang w:val="fr-FR"/>
        </w:rPr>
        <w:t>’</w:t>
      </w:r>
      <w:r w:rsidRPr="004C2A3C">
        <w:rPr>
          <w:color w:val="000000" w:themeColor="text1"/>
          <w:spacing w:val="-1"/>
          <w:lang w:val="fr-FR"/>
        </w:rPr>
        <w:t>assurer de leur cohérence avec la classification résultante. Un résultat d</w:t>
      </w:r>
      <w:r>
        <w:rPr>
          <w:color w:val="000000" w:themeColor="text1"/>
          <w:spacing w:val="-1"/>
          <w:lang w:val="fr-FR"/>
        </w:rPr>
        <w:t>’</w:t>
      </w:r>
      <w:r w:rsidRPr="004C2A3C">
        <w:rPr>
          <w:color w:val="000000" w:themeColor="text1"/>
          <w:spacing w:val="-1"/>
          <w:lang w:val="fr-FR"/>
        </w:rPr>
        <w:t>application d</w:t>
      </w:r>
      <w:r>
        <w:rPr>
          <w:color w:val="000000" w:themeColor="text1"/>
          <w:spacing w:val="-1"/>
          <w:lang w:val="fr-FR"/>
        </w:rPr>
        <w:t>’</w:t>
      </w:r>
      <w:r w:rsidRPr="004C2A3C">
        <w:rPr>
          <w:color w:val="000000" w:themeColor="text1"/>
          <w:spacing w:val="-1"/>
          <w:lang w:val="fr-FR"/>
        </w:rPr>
        <w:t>une méthode définie comportant des données concluantes sur l</w:t>
      </w:r>
      <w:r>
        <w:rPr>
          <w:color w:val="000000" w:themeColor="text1"/>
          <w:spacing w:val="-1"/>
          <w:lang w:val="fr-FR"/>
        </w:rPr>
        <w:t>’</w:t>
      </w:r>
      <w:r w:rsidRPr="004C2A3C">
        <w:rPr>
          <w:color w:val="000000" w:themeColor="text1"/>
          <w:spacing w:val="-1"/>
          <w:lang w:val="fr-FR"/>
        </w:rPr>
        <w:t>animal et/ou l</w:t>
      </w:r>
      <w:r>
        <w:rPr>
          <w:color w:val="000000" w:themeColor="text1"/>
          <w:spacing w:val="-1"/>
          <w:lang w:val="fr-FR"/>
        </w:rPr>
        <w:t>’</w:t>
      </w:r>
      <w:r w:rsidRPr="004C2A3C">
        <w:rPr>
          <w:color w:val="000000" w:themeColor="text1"/>
          <w:spacing w:val="-1"/>
          <w:lang w:val="fr-FR"/>
        </w:rPr>
        <w:t>homme peut aussi être pris en compte ultérieurement, au moment de l</w:t>
      </w:r>
      <w:r>
        <w:rPr>
          <w:color w:val="000000" w:themeColor="text1"/>
          <w:spacing w:val="-1"/>
          <w:lang w:val="fr-FR"/>
        </w:rPr>
        <w:t>’</w:t>
      </w:r>
      <w:r w:rsidRPr="004C2A3C">
        <w:rPr>
          <w:color w:val="000000" w:themeColor="text1"/>
          <w:spacing w:val="-1"/>
          <w:lang w:val="fr-FR"/>
        </w:rPr>
        <w:t>évaluation globale de la force probante des données, à l</w:t>
      </w:r>
      <w:r>
        <w:rPr>
          <w:color w:val="000000" w:themeColor="text1"/>
          <w:spacing w:val="-1"/>
          <w:lang w:val="fr-FR"/>
        </w:rPr>
        <w:t>’</w:t>
      </w:r>
      <w:r w:rsidRPr="004C2A3C">
        <w:rPr>
          <w:color w:val="000000" w:themeColor="text1"/>
          <w:spacing w:val="-1"/>
          <w:lang w:val="fr-FR"/>
        </w:rPr>
        <w:t>étape 7 (voir figure 3.3.1). Lorsque les informations provenant de plusieurs étapes sont incohérentes ou contradictoires au regard de la classification établie, les informations de qualité suffisante d</w:t>
      </w:r>
      <w:r>
        <w:rPr>
          <w:color w:val="000000" w:themeColor="text1"/>
          <w:spacing w:val="-1"/>
          <w:lang w:val="fr-FR"/>
        </w:rPr>
        <w:t>’</w:t>
      </w:r>
      <w:r w:rsidRPr="004C2A3C">
        <w:rPr>
          <w:color w:val="000000" w:themeColor="text1"/>
          <w:spacing w:val="-1"/>
          <w:lang w:val="fr-FR"/>
        </w:rPr>
        <w:t>une étape supérieure ont généralement un poids supérieur par rapport aux informations provenant d</w:t>
      </w:r>
      <w:r>
        <w:rPr>
          <w:color w:val="000000" w:themeColor="text1"/>
          <w:spacing w:val="-1"/>
          <w:lang w:val="fr-FR"/>
        </w:rPr>
        <w:t>’</w:t>
      </w:r>
      <w:r w:rsidRPr="004C2A3C">
        <w:rPr>
          <w:color w:val="000000" w:themeColor="text1"/>
          <w:spacing w:val="-1"/>
          <w:lang w:val="fr-FR"/>
        </w:rPr>
        <w:t>une étape inférieure. Néanmoins, lorsque les informations d</w:t>
      </w:r>
      <w:r>
        <w:rPr>
          <w:color w:val="000000" w:themeColor="text1"/>
          <w:spacing w:val="-1"/>
          <w:lang w:val="fr-FR"/>
        </w:rPr>
        <w:t>’</w:t>
      </w:r>
      <w:r w:rsidRPr="004C2A3C">
        <w:rPr>
          <w:color w:val="000000" w:themeColor="text1"/>
          <w:spacing w:val="-1"/>
          <w:lang w:val="fr-FR"/>
        </w:rPr>
        <w:t>une étape inférieure aboutiraient à une classification plus stricte que les informations d</w:t>
      </w:r>
      <w:r>
        <w:rPr>
          <w:color w:val="000000" w:themeColor="text1"/>
          <w:spacing w:val="-1"/>
          <w:lang w:val="fr-FR"/>
        </w:rPr>
        <w:t>’</w:t>
      </w:r>
      <w:r w:rsidRPr="004C2A3C">
        <w:rPr>
          <w:color w:val="000000" w:themeColor="text1"/>
          <w:spacing w:val="-1"/>
          <w:lang w:val="fr-FR"/>
        </w:rPr>
        <w:t>une étape supérieure, et qu</w:t>
      </w:r>
      <w:r>
        <w:rPr>
          <w:color w:val="000000" w:themeColor="text1"/>
          <w:spacing w:val="-1"/>
          <w:lang w:val="fr-FR"/>
        </w:rPr>
        <w:t>’</w:t>
      </w:r>
      <w:r w:rsidRPr="004C2A3C">
        <w:rPr>
          <w:color w:val="000000" w:themeColor="text1"/>
          <w:spacing w:val="-1"/>
          <w:lang w:val="fr-FR"/>
        </w:rPr>
        <w:t>il existe un risque de classification incorrecte, on classe sur la base d</w:t>
      </w:r>
      <w:r>
        <w:rPr>
          <w:color w:val="000000" w:themeColor="text1"/>
          <w:spacing w:val="-1"/>
          <w:lang w:val="fr-FR"/>
        </w:rPr>
        <w:t>’</w:t>
      </w:r>
      <w:r w:rsidRPr="004C2A3C">
        <w:rPr>
          <w:color w:val="000000" w:themeColor="text1"/>
          <w:spacing w:val="-1"/>
          <w:lang w:val="fr-FR"/>
        </w:rPr>
        <w:t>une évaluation de la force probante des données au niveau d</w:t>
      </w:r>
      <w:r>
        <w:rPr>
          <w:color w:val="000000" w:themeColor="text1"/>
          <w:spacing w:val="-1"/>
          <w:lang w:val="fr-FR"/>
        </w:rPr>
        <w:t>’</w:t>
      </w:r>
      <w:r w:rsidRPr="004C2A3C">
        <w:rPr>
          <w:color w:val="000000" w:themeColor="text1"/>
          <w:spacing w:val="-1"/>
          <w:lang w:val="fr-FR"/>
        </w:rPr>
        <w:t>une étape. Par exemple, si l</w:t>
      </w:r>
      <w:r>
        <w:rPr>
          <w:color w:val="000000" w:themeColor="text1"/>
          <w:spacing w:val="-1"/>
          <w:lang w:val="fr-FR"/>
        </w:rPr>
        <w:t>’</w:t>
      </w:r>
      <w:r w:rsidRPr="004C2A3C">
        <w:rPr>
          <w:color w:val="000000" w:themeColor="text1"/>
          <w:spacing w:val="-1"/>
          <w:lang w:val="fr-FR"/>
        </w:rPr>
        <w:t>on est préoccupé par un résultat négatif pour des lésions oculaires graves selon une méthode définie, alors qu</w:t>
      </w:r>
      <w:r>
        <w:rPr>
          <w:color w:val="000000" w:themeColor="text1"/>
          <w:spacing w:val="-1"/>
          <w:lang w:val="fr-FR"/>
        </w:rPr>
        <w:t>’</w:t>
      </w:r>
      <w:r w:rsidRPr="004C2A3C">
        <w:rPr>
          <w:color w:val="000000" w:themeColor="text1"/>
          <w:spacing w:val="-1"/>
          <w:lang w:val="fr-FR"/>
        </w:rPr>
        <w:t xml:space="preserve">il existe un résultat positif pour lesdites lésions selon une méthode </w:t>
      </w:r>
      <w:r w:rsidRPr="004C2A3C">
        <w:rPr>
          <w:i/>
          <w:iCs/>
          <w:color w:val="000000" w:themeColor="text1"/>
          <w:spacing w:val="-1"/>
          <w:lang w:val="fr-FR"/>
        </w:rPr>
        <w:t>in vitro</w:t>
      </w:r>
      <w:r w:rsidRPr="004C2A3C">
        <w:rPr>
          <w:iCs/>
          <w:color w:val="000000" w:themeColor="text1"/>
          <w:spacing w:val="-1"/>
          <w:lang w:val="fr-FR"/>
        </w:rPr>
        <w:t>/</w:t>
      </w:r>
      <w:r w:rsidRPr="004C2A3C">
        <w:rPr>
          <w:i/>
          <w:iCs/>
          <w:color w:val="000000" w:themeColor="text1"/>
          <w:spacing w:val="-1"/>
          <w:lang w:val="fr-FR"/>
        </w:rPr>
        <w:t>ex vivo</w:t>
      </w:r>
      <w:r w:rsidRPr="004C2A3C">
        <w:rPr>
          <w:color w:val="000000" w:themeColor="text1"/>
          <w:spacing w:val="-1"/>
          <w:lang w:val="fr-FR"/>
        </w:rPr>
        <w:t>, il convient de procéder à une évaluation de la force probante des données au niveau d</w:t>
      </w:r>
      <w:r>
        <w:rPr>
          <w:color w:val="000000" w:themeColor="text1"/>
          <w:spacing w:val="-1"/>
          <w:lang w:val="fr-FR"/>
        </w:rPr>
        <w:t>’</w:t>
      </w:r>
      <w:r w:rsidRPr="004C2A3C">
        <w:rPr>
          <w:color w:val="000000" w:themeColor="text1"/>
          <w:spacing w:val="-1"/>
          <w:lang w:val="fr-FR"/>
        </w:rPr>
        <w:t>une étape.</w:t>
      </w:r>
      <w:bookmarkEnd w:id="9"/>
    </w:p>
    <w:p w14:paraId="7D2CB106" w14:textId="77777777" w:rsidR="00EE41F8" w:rsidRPr="004C2A3C" w:rsidRDefault="00EE41F8" w:rsidP="00EE41F8">
      <w:pPr>
        <w:spacing w:after="120"/>
        <w:ind w:left="2268" w:right="1134"/>
        <w:jc w:val="both"/>
        <w:rPr>
          <w:color w:val="000000" w:themeColor="text1"/>
          <w:lang w:val="fr-FR"/>
        </w:rPr>
      </w:pPr>
      <w:r w:rsidRPr="004C2A3C">
        <w:rPr>
          <w:color w:val="000000" w:themeColor="text1"/>
          <w:lang w:val="fr-FR"/>
        </w:rPr>
        <w:t>3.3.5.3.4.3</w:t>
      </w:r>
      <w:r w:rsidRPr="004C2A3C">
        <w:rPr>
          <w:color w:val="000000" w:themeColor="text1"/>
          <w:lang w:val="fr-FR"/>
        </w:rPr>
        <w:tab/>
        <w:t>Les méthodes d</w:t>
      </w:r>
      <w:r>
        <w:rPr>
          <w:color w:val="000000" w:themeColor="text1"/>
          <w:lang w:val="fr-FR"/>
        </w:rPr>
        <w:t>’</w:t>
      </w:r>
      <w:r w:rsidRPr="004C2A3C">
        <w:rPr>
          <w:color w:val="000000" w:themeColor="text1"/>
          <w:lang w:val="fr-FR"/>
        </w:rPr>
        <w:t xml:space="preserve">essai </w:t>
      </w:r>
      <w:r w:rsidRPr="004C2A3C">
        <w:rPr>
          <w:i/>
          <w:iCs/>
          <w:color w:val="000000" w:themeColor="text1"/>
          <w:lang w:val="fr-FR"/>
        </w:rPr>
        <w:t>in vitro</w:t>
      </w:r>
      <w:r w:rsidRPr="004C2A3C">
        <w:rPr>
          <w:iCs/>
          <w:color w:val="000000" w:themeColor="text1"/>
          <w:lang w:val="fr-FR"/>
        </w:rPr>
        <w:t>/</w:t>
      </w:r>
      <w:r w:rsidRPr="004C2A3C">
        <w:rPr>
          <w:i/>
          <w:iCs/>
          <w:color w:val="000000" w:themeColor="text1"/>
          <w:lang w:val="fr-FR"/>
        </w:rPr>
        <w:t xml:space="preserve">ex vivo </w:t>
      </w:r>
      <w:r w:rsidRPr="004C2A3C">
        <w:rPr>
          <w:color w:val="000000" w:themeColor="text1"/>
          <w:lang w:val="fr-FR"/>
        </w:rPr>
        <w:t xml:space="preserve">actuelles ne permettent pas de distinguer certains effets </w:t>
      </w:r>
      <w:r w:rsidRPr="004C2A3C">
        <w:rPr>
          <w:i/>
          <w:iCs/>
          <w:color w:val="000000" w:themeColor="text1"/>
          <w:lang w:val="fr-FR"/>
        </w:rPr>
        <w:t>in vivo</w:t>
      </w:r>
      <w:r w:rsidRPr="004C2A3C">
        <w:rPr>
          <w:color w:val="000000" w:themeColor="text1"/>
          <w:lang w:val="fr-FR"/>
        </w:rPr>
        <w:t xml:space="preserve"> tels que l</w:t>
      </w:r>
      <w:r>
        <w:rPr>
          <w:color w:val="000000" w:themeColor="text1"/>
          <w:lang w:val="fr-FR"/>
        </w:rPr>
        <w:t>’</w:t>
      </w:r>
      <w:r w:rsidRPr="004C2A3C">
        <w:rPr>
          <w:color w:val="000000" w:themeColor="text1"/>
          <w:lang w:val="fr-FR"/>
        </w:rPr>
        <w:t>opacité de la cornée, l</w:t>
      </w:r>
      <w:r>
        <w:rPr>
          <w:color w:val="000000" w:themeColor="text1"/>
          <w:lang w:val="fr-FR"/>
        </w:rPr>
        <w:t>’</w:t>
      </w:r>
      <w:r w:rsidRPr="004C2A3C">
        <w:rPr>
          <w:color w:val="000000" w:themeColor="text1"/>
          <w:lang w:val="fr-FR"/>
        </w:rPr>
        <w:t>iritis, la rougeur conjonctivale ou l</w:t>
      </w:r>
      <w:r>
        <w:rPr>
          <w:color w:val="000000" w:themeColor="text1"/>
          <w:lang w:val="fr-FR"/>
        </w:rPr>
        <w:t>’</w:t>
      </w:r>
      <w:r w:rsidRPr="004C2A3C">
        <w:rPr>
          <w:color w:val="000000" w:themeColor="text1"/>
          <w:lang w:val="fr-FR"/>
        </w:rPr>
        <w:t>œdème conjonctival, mais elles ont montré leur capacité à mettre en évidence correctement les substances induisant des lésions oculaires graves ou une irritation oculaire, indépendamment des types d</w:t>
      </w:r>
      <w:r>
        <w:rPr>
          <w:color w:val="000000" w:themeColor="text1"/>
          <w:lang w:val="fr-FR"/>
        </w:rPr>
        <w:t>’</w:t>
      </w:r>
      <w:r w:rsidRPr="004C2A3C">
        <w:rPr>
          <w:color w:val="000000" w:themeColor="text1"/>
          <w:lang w:val="fr-FR"/>
        </w:rPr>
        <w:t xml:space="preserve">effets oculaires observés </w:t>
      </w:r>
      <w:r w:rsidRPr="004C2A3C">
        <w:rPr>
          <w:i/>
          <w:iCs/>
          <w:color w:val="000000" w:themeColor="text1"/>
          <w:lang w:val="fr-FR"/>
        </w:rPr>
        <w:t>in vivo</w:t>
      </w:r>
      <w:r w:rsidRPr="004C2A3C">
        <w:rPr>
          <w:color w:val="000000" w:themeColor="text1"/>
          <w:lang w:val="fr-FR"/>
        </w:rPr>
        <w:t>. Un grand nombre de ces méthodes permettent ainsi de mettre en évidence des substances ou des mélanges ne nécessitant pas de classification avec une grande sensibilité, mais présentent une spécificité limitée lorsqu</w:t>
      </w:r>
      <w:r>
        <w:rPr>
          <w:color w:val="000000" w:themeColor="text1"/>
          <w:lang w:val="fr-FR"/>
        </w:rPr>
        <w:t>’</w:t>
      </w:r>
      <w:r w:rsidRPr="004C2A3C">
        <w:rPr>
          <w:color w:val="000000" w:themeColor="text1"/>
          <w:lang w:val="fr-FR"/>
        </w:rPr>
        <w:t>on les utilise pour distinguer les substances ou les mélanges non classés des substances ou des mélanges classés. Cela signifie qu</w:t>
      </w:r>
      <w:r>
        <w:rPr>
          <w:color w:val="000000" w:themeColor="text1"/>
          <w:lang w:val="fr-FR"/>
        </w:rPr>
        <w:t>’</w:t>
      </w:r>
      <w:r w:rsidRPr="004C2A3C">
        <w:rPr>
          <w:color w:val="000000" w:themeColor="text1"/>
          <w:lang w:val="fr-FR"/>
        </w:rPr>
        <w:t>il est raisonnablement certain qu</w:t>
      </w:r>
      <w:r>
        <w:rPr>
          <w:color w:val="000000" w:themeColor="text1"/>
          <w:lang w:val="fr-FR"/>
        </w:rPr>
        <w:t>’</w:t>
      </w:r>
      <w:r w:rsidRPr="004C2A3C">
        <w:rPr>
          <w:color w:val="000000" w:themeColor="text1"/>
          <w:lang w:val="fr-FR"/>
        </w:rPr>
        <w:t>une substance ou un mélange reconnu comme substance ou mélange ne nécessitant pas de classification selon les lignes directrices 437, 438, 491, 492, 494 ou 496 de l</w:t>
      </w:r>
      <w:r>
        <w:rPr>
          <w:color w:val="000000" w:themeColor="text1"/>
          <w:lang w:val="fr-FR"/>
        </w:rPr>
        <w:t>’</w:t>
      </w:r>
      <w:r w:rsidRPr="004C2A3C">
        <w:rPr>
          <w:color w:val="000000" w:themeColor="text1"/>
          <w:lang w:val="fr-FR"/>
        </w:rPr>
        <w:t>OCDE (voir tableau 3.3.6) n</w:t>
      </w:r>
      <w:r>
        <w:rPr>
          <w:color w:val="000000" w:themeColor="text1"/>
          <w:lang w:val="fr-FR"/>
        </w:rPr>
        <w:t>’</w:t>
      </w:r>
      <w:r w:rsidRPr="004C2A3C">
        <w:rPr>
          <w:color w:val="000000" w:themeColor="text1"/>
          <w:lang w:val="fr-FR"/>
        </w:rPr>
        <w:t>induit effectivement pas d</w:t>
      </w:r>
      <w:r>
        <w:rPr>
          <w:color w:val="000000" w:themeColor="text1"/>
          <w:lang w:val="fr-FR"/>
        </w:rPr>
        <w:t>’</w:t>
      </w:r>
      <w:r w:rsidRPr="004C2A3C">
        <w:rPr>
          <w:color w:val="000000" w:themeColor="text1"/>
          <w:lang w:val="fr-FR"/>
        </w:rPr>
        <w:t>effets oculaires justifiant une classification, mais que certaines substances ou certains mélanges ne nécessitant pas de classification sont surestimés par lesdites méthodes lorsqu</w:t>
      </w:r>
      <w:r>
        <w:rPr>
          <w:color w:val="000000" w:themeColor="text1"/>
          <w:lang w:val="fr-FR"/>
        </w:rPr>
        <w:t>’</w:t>
      </w:r>
      <w:r w:rsidRPr="004C2A3C">
        <w:rPr>
          <w:color w:val="000000" w:themeColor="text1"/>
          <w:lang w:val="fr-FR"/>
        </w:rPr>
        <w:t>elles sont utilisées isolément. En outre, il convient de noter que les substances induisant des lésions oculaires graves sont mises en évidence par nombre de ces méthodes avec une spécificité élevée mais une sensibilité limitée lorsque ces dernières sont utilisées pour distinguer la catégorie 1 de la catégorie 2 et les substances non classées. Par conséquent, il est raisonnablement certain qu</w:t>
      </w:r>
      <w:r>
        <w:rPr>
          <w:color w:val="000000" w:themeColor="text1"/>
          <w:lang w:val="fr-FR"/>
        </w:rPr>
        <w:t>’</w:t>
      </w:r>
      <w:r w:rsidRPr="004C2A3C">
        <w:rPr>
          <w:color w:val="000000" w:themeColor="text1"/>
          <w:lang w:val="fr-FR"/>
        </w:rPr>
        <w:t>une substance ou un mélange reconnu comme substance ou mélange de la catégorie 1 selon les lignes directrices 437, 438, 460, 491 ou 496 de l</w:t>
      </w:r>
      <w:r>
        <w:rPr>
          <w:color w:val="000000" w:themeColor="text1"/>
          <w:lang w:val="fr-FR"/>
        </w:rPr>
        <w:t>’</w:t>
      </w:r>
      <w:r w:rsidRPr="004C2A3C">
        <w:rPr>
          <w:color w:val="000000" w:themeColor="text1"/>
          <w:lang w:val="fr-FR"/>
        </w:rPr>
        <w:t>OCDE (voir tableau 3.3.6) induit effectivement des effets oculaires irréversibles, tandis que certaines substances ou certains mélanges induisant des lésions oculaires graves sont sous-estimés par lesdites méthodes lorsqu</w:t>
      </w:r>
      <w:r>
        <w:rPr>
          <w:color w:val="000000" w:themeColor="text1"/>
          <w:lang w:val="fr-FR"/>
        </w:rPr>
        <w:t>’</w:t>
      </w:r>
      <w:r w:rsidRPr="004C2A3C">
        <w:rPr>
          <w:color w:val="000000" w:themeColor="text1"/>
          <w:lang w:val="fr-FR"/>
        </w:rPr>
        <w:t>elles sont utilisées isolément. Il en découle qu</w:t>
      </w:r>
      <w:r>
        <w:rPr>
          <w:color w:val="000000" w:themeColor="text1"/>
          <w:lang w:val="fr-FR"/>
        </w:rPr>
        <w:t>’</w:t>
      </w:r>
      <w:r w:rsidRPr="004C2A3C">
        <w:rPr>
          <w:color w:val="000000" w:themeColor="text1"/>
          <w:lang w:val="fr-FR"/>
        </w:rPr>
        <w:t>une seule méthode d</w:t>
      </w:r>
      <w:r>
        <w:rPr>
          <w:color w:val="000000" w:themeColor="text1"/>
          <w:lang w:val="fr-FR"/>
        </w:rPr>
        <w:t>’</w:t>
      </w:r>
      <w:r w:rsidRPr="004C2A3C">
        <w:rPr>
          <w:color w:val="000000" w:themeColor="text1"/>
          <w:lang w:val="fr-FR"/>
        </w:rPr>
        <w:t xml:space="preserve">essai </w:t>
      </w:r>
      <w:r w:rsidRPr="004C2A3C">
        <w:rPr>
          <w:i/>
          <w:iCs/>
          <w:color w:val="000000" w:themeColor="text1"/>
          <w:lang w:val="fr-FR"/>
        </w:rPr>
        <w:t>in vitro</w:t>
      </w:r>
      <w:r w:rsidRPr="004C2A3C">
        <w:rPr>
          <w:iCs/>
          <w:color w:val="000000" w:themeColor="text1"/>
          <w:lang w:val="fr-FR"/>
        </w:rPr>
        <w:t>/</w:t>
      </w:r>
      <w:r w:rsidRPr="004C2A3C">
        <w:rPr>
          <w:i/>
          <w:iCs/>
          <w:color w:val="000000" w:themeColor="text1"/>
          <w:lang w:val="fr-FR"/>
        </w:rPr>
        <w:t>ex vivo</w:t>
      </w:r>
      <w:r w:rsidRPr="004C2A3C">
        <w:rPr>
          <w:color w:val="000000" w:themeColor="text1"/>
          <w:lang w:val="fr-FR"/>
        </w:rPr>
        <w:t xml:space="preserve"> de l</w:t>
      </w:r>
      <w:r>
        <w:rPr>
          <w:color w:val="000000" w:themeColor="text1"/>
          <w:lang w:val="fr-FR"/>
        </w:rPr>
        <w:t>’</w:t>
      </w:r>
      <w:r w:rsidRPr="004C2A3C">
        <w:rPr>
          <w:color w:val="000000" w:themeColor="text1"/>
          <w:lang w:val="fr-FR"/>
        </w:rPr>
        <w:t>OCDE suffit actuellement pour conclure à une classification dans la catégorie 1 ou à l</w:t>
      </w:r>
      <w:r>
        <w:rPr>
          <w:color w:val="000000" w:themeColor="text1"/>
          <w:lang w:val="fr-FR"/>
        </w:rPr>
        <w:t>’</w:t>
      </w:r>
      <w:r w:rsidRPr="004C2A3C">
        <w:rPr>
          <w:color w:val="000000" w:themeColor="text1"/>
          <w:lang w:val="fr-FR"/>
        </w:rPr>
        <w:t>absence de classification selon les critères définis du tableau 3.3.6, mais pas pour conclure à une classification dans la catégorie 2. Lorsque l</w:t>
      </w:r>
      <w:r>
        <w:rPr>
          <w:color w:val="000000" w:themeColor="text1"/>
          <w:lang w:val="fr-FR"/>
        </w:rPr>
        <w:t>’</w:t>
      </w:r>
      <w:r w:rsidRPr="004C2A3C">
        <w:rPr>
          <w:color w:val="000000" w:themeColor="text1"/>
          <w:lang w:val="fr-FR"/>
        </w:rPr>
        <w:t>application d</w:t>
      </w:r>
      <w:r>
        <w:rPr>
          <w:color w:val="000000" w:themeColor="text1"/>
          <w:lang w:val="fr-FR"/>
        </w:rPr>
        <w:t>’</w:t>
      </w:r>
      <w:r w:rsidRPr="004C2A3C">
        <w:rPr>
          <w:color w:val="000000" w:themeColor="text1"/>
          <w:lang w:val="fr-FR"/>
        </w:rPr>
        <w:t xml:space="preserve">une méthode </w:t>
      </w:r>
      <w:r w:rsidRPr="004C2A3C">
        <w:rPr>
          <w:i/>
          <w:iCs/>
          <w:color w:val="000000" w:themeColor="text1"/>
          <w:lang w:val="fr-FR"/>
        </w:rPr>
        <w:t>in vitro</w:t>
      </w:r>
      <w:r w:rsidRPr="004C2A3C">
        <w:rPr>
          <w:iCs/>
          <w:color w:val="000000" w:themeColor="text1"/>
          <w:lang w:val="fr-FR"/>
        </w:rPr>
        <w:t>/</w:t>
      </w:r>
      <w:r w:rsidRPr="004C2A3C">
        <w:rPr>
          <w:i/>
          <w:iCs/>
          <w:color w:val="000000" w:themeColor="text1"/>
          <w:lang w:val="fr-FR"/>
        </w:rPr>
        <w:t>ex vivo</w:t>
      </w:r>
      <w:r w:rsidRPr="004C2A3C">
        <w:rPr>
          <w:color w:val="000000" w:themeColor="text1"/>
          <w:lang w:val="fr-FR"/>
        </w:rPr>
        <w:t xml:space="preserve"> débouche sur l</w:t>
      </w:r>
      <w:r>
        <w:rPr>
          <w:color w:val="000000" w:themeColor="text1"/>
          <w:lang w:val="fr-FR"/>
        </w:rPr>
        <w:t>’</w:t>
      </w:r>
      <w:r w:rsidRPr="004C2A3C">
        <w:rPr>
          <w:color w:val="000000" w:themeColor="text1"/>
          <w:lang w:val="fr-FR"/>
        </w:rPr>
        <w:t>impossibilité de faire une prédiction indépendante (voir par exemple le tableau 3.3.6), on ne peut pas tirer de conclusion sur la base de ce seul résultat et des données complémentaires sont nécessaires aux fins de la classification. Certaines méthodes d</w:t>
      </w:r>
      <w:r>
        <w:rPr>
          <w:color w:val="000000" w:themeColor="text1"/>
          <w:lang w:val="fr-FR"/>
        </w:rPr>
        <w:t>’</w:t>
      </w:r>
      <w:r w:rsidRPr="004C2A3C">
        <w:rPr>
          <w:color w:val="000000" w:themeColor="text1"/>
          <w:lang w:val="fr-FR"/>
        </w:rPr>
        <w:t xml:space="preserve">essai </w:t>
      </w:r>
      <w:r w:rsidRPr="004C2A3C">
        <w:rPr>
          <w:i/>
          <w:iCs/>
          <w:color w:val="000000" w:themeColor="text1"/>
          <w:lang w:val="fr-FR"/>
        </w:rPr>
        <w:t>in vitro</w:t>
      </w:r>
      <w:r w:rsidRPr="004C2A3C">
        <w:rPr>
          <w:iCs/>
          <w:color w:val="000000" w:themeColor="text1"/>
          <w:lang w:val="fr-FR"/>
        </w:rPr>
        <w:t>/</w:t>
      </w:r>
      <w:r w:rsidRPr="004C2A3C">
        <w:rPr>
          <w:i/>
          <w:iCs/>
          <w:color w:val="000000" w:themeColor="text1"/>
          <w:lang w:val="fr-FR"/>
        </w:rPr>
        <w:t xml:space="preserve">ex vivo </w:t>
      </w:r>
      <w:r w:rsidRPr="004C2A3C">
        <w:rPr>
          <w:color w:val="000000" w:themeColor="text1"/>
          <w:lang w:val="fr-FR"/>
        </w:rPr>
        <w:t>qui ont été validées conformément à des procédures internationales, mais qui n</w:t>
      </w:r>
      <w:r>
        <w:rPr>
          <w:color w:val="000000" w:themeColor="text1"/>
          <w:lang w:val="fr-FR"/>
        </w:rPr>
        <w:t>’</w:t>
      </w:r>
      <w:r w:rsidRPr="004C2A3C">
        <w:rPr>
          <w:color w:val="000000" w:themeColor="text1"/>
          <w:lang w:val="fr-FR"/>
        </w:rPr>
        <w:t>ont pas été adoptées par l</w:t>
      </w:r>
      <w:r>
        <w:rPr>
          <w:color w:val="000000" w:themeColor="text1"/>
          <w:lang w:val="fr-FR"/>
        </w:rPr>
        <w:t>’</w:t>
      </w:r>
      <w:r w:rsidRPr="004C2A3C">
        <w:rPr>
          <w:color w:val="000000" w:themeColor="text1"/>
          <w:lang w:val="fr-FR"/>
        </w:rPr>
        <w:t>OCDE, peuvent être acceptées par certaines autorités compétentes pour une classification dans la catégorie 2 (voir 3.3.5.3.5.2). De plus, la combinaison de méthodes d</w:t>
      </w:r>
      <w:r>
        <w:rPr>
          <w:color w:val="000000" w:themeColor="text1"/>
          <w:lang w:val="fr-FR"/>
        </w:rPr>
        <w:t>’</w:t>
      </w:r>
      <w:r w:rsidRPr="004C2A3C">
        <w:rPr>
          <w:color w:val="000000" w:themeColor="text1"/>
          <w:lang w:val="fr-FR"/>
        </w:rPr>
        <w:t xml:space="preserve">essai </w:t>
      </w:r>
      <w:r w:rsidRPr="004C2A3C">
        <w:rPr>
          <w:i/>
          <w:iCs/>
          <w:color w:val="000000" w:themeColor="text1"/>
          <w:lang w:val="fr-FR"/>
        </w:rPr>
        <w:t>in vitro</w:t>
      </w:r>
      <w:r w:rsidRPr="004C2A3C">
        <w:rPr>
          <w:iCs/>
          <w:color w:val="000000" w:themeColor="text1"/>
          <w:lang w:val="fr-FR"/>
        </w:rPr>
        <w:t>/</w:t>
      </w:r>
      <w:r w:rsidRPr="004C2A3C">
        <w:rPr>
          <w:i/>
          <w:iCs/>
          <w:color w:val="000000" w:themeColor="text1"/>
          <w:lang w:val="fr-FR"/>
        </w:rPr>
        <w:t>ex vivo</w:t>
      </w:r>
      <w:r w:rsidRPr="004C2A3C">
        <w:rPr>
          <w:color w:val="000000" w:themeColor="text1"/>
          <w:lang w:val="fr-FR"/>
        </w:rPr>
        <w:t xml:space="preserve"> dans des méthodes par étapes ou leur intégration dans celles-ci (voir 3.3.2.3) peuvent réduire le nombre de prédictions erronées et offrir des résultats appropriés aux fins de la classification.</w:t>
      </w:r>
    </w:p>
    <w:p w14:paraId="36903734" w14:textId="77777777" w:rsidR="00EE41F8" w:rsidRPr="004C2A3C" w:rsidRDefault="00EE41F8" w:rsidP="00EE41F8">
      <w:pPr>
        <w:spacing w:after="120"/>
        <w:ind w:left="2268" w:right="1134"/>
        <w:jc w:val="both"/>
        <w:rPr>
          <w:color w:val="000000" w:themeColor="text1"/>
          <w:lang w:val="fr-FR"/>
        </w:rPr>
      </w:pPr>
      <w:r w:rsidRPr="004C2A3C">
        <w:rPr>
          <w:color w:val="000000" w:themeColor="text1"/>
          <w:lang w:val="fr-FR"/>
        </w:rPr>
        <w:t>3.3.5.3.4.4</w:t>
      </w:r>
      <w:r w:rsidRPr="004C2A3C">
        <w:rPr>
          <w:color w:val="000000" w:themeColor="text1"/>
          <w:lang w:val="fr-FR"/>
        </w:rPr>
        <w:tab/>
        <w:t>En l</w:t>
      </w:r>
      <w:r>
        <w:rPr>
          <w:color w:val="000000" w:themeColor="text1"/>
          <w:lang w:val="fr-FR"/>
        </w:rPr>
        <w:t>’</w:t>
      </w:r>
      <w:r w:rsidRPr="004C2A3C">
        <w:rPr>
          <w:color w:val="000000" w:themeColor="text1"/>
          <w:lang w:val="fr-FR"/>
        </w:rPr>
        <w:t>absence d</w:t>
      </w:r>
      <w:r>
        <w:rPr>
          <w:color w:val="000000" w:themeColor="text1"/>
          <w:lang w:val="fr-FR"/>
        </w:rPr>
        <w:t>’</w:t>
      </w:r>
      <w:r w:rsidRPr="004C2A3C">
        <w:rPr>
          <w:color w:val="000000" w:themeColor="text1"/>
          <w:lang w:val="fr-FR"/>
        </w:rPr>
        <w:t xml:space="preserve">une méthode définie adéquate (voir 3.3.2.3) ou de données </w:t>
      </w:r>
      <w:r w:rsidRPr="004C2A3C">
        <w:rPr>
          <w:i/>
          <w:iCs/>
          <w:color w:val="000000" w:themeColor="text1"/>
          <w:lang w:val="fr-FR"/>
        </w:rPr>
        <w:t>in vitro</w:t>
      </w:r>
      <w:r w:rsidRPr="004C2A3C">
        <w:rPr>
          <w:iCs/>
          <w:color w:val="000000" w:themeColor="text1"/>
          <w:lang w:val="fr-FR"/>
        </w:rPr>
        <w:t>/</w:t>
      </w:r>
      <w:r w:rsidRPr="004C2A3C">
        <w:rPr>
          <w:i/>
          <w:iCs/>
          <w:color w:val="000000" w:themeColor="text1"/>
          <w:lang w:val="fr-FR"/>
        </w:rPr>
        <w:t>ex vivo</w:t>
      </w:r>
      <w:r w:rsidRPr="004C2A3C">
        <w:rPr>
          <w:color w:val="000000" w:themeColor="text1"/>
          <w:lang w:val="fr-FR"/>
        </w:rPr>
        <w:t xml:space="preserve"> concluantes (voir 3.3.2.4.1 et 3.3.2.4.2), il n</w:t>
      </w:r>
      <w:r>
        <w:rPr>
          <w:color w:val="000000" w:themeColor="text1"/>
          <w:lang w:val="fr-FR"/>
        </w:rPr>
        <w:t>’</w:t>
      </w:r>
      <w:r w:rsidRPr="004C2A3C">
        <w:rPr>
          <w:color w:val="000000" w:themeColor="text1"/>
          <w:lang w:val="fr-FR"/>
        </w:rPr>
        <w:t>est pas possible de faire une prédiction indépendante. Dans ce cas, une évaluation de la force probante des données en appliquant plus d</w:t>
      </w:r>
      <w:r>
        <w:rPr>
          <w:color w:val="000000" w:themeColor="text1"/>
          <w:lang w:val="fr-FR"/>
        </w:rPr>
        <w:t>’</w:t>
      </w:r>
      <w:r w:rsidRPr="004C2A3C">
        <w:rPr>
          <w:color w:val="000000" w:themeColor="text1"/>
          <w:lang w:val="fr-FR"/>
        </w:rPr>
        <w:t>une méthode au niveau d</w:t>
      </w:r>
      <w:r>
        <w:rPr>
          <w:color w:val="000000" w:themeColor="text1"/>
          <w:lang w:val="fr-FR"/>
        </w:rPr>
        <w:t>’</w:t>
      </w:r>
      <w:r w:rsidRPr="004C2A3C">
        <w:rPr>
          <w:color w:val="000000" w:themeColor="text1"/>
          <w:lang w:val="fr-FR"/>
        </w:rPr>
        <w:t>une étape s</w:t>
      </w:r>
      <w:r>
        <w:rPr>
          <w:color w:val="000000" w:themeColor="text1"/>
          <w:lang w:val="fr-FR"/>
        </w:rPr>
        <w:t>’</w:t>
      </w:r>
      <w:r w:rsidRPr="004C2A3C">
        <w:rPr>
          <w:color w:val="000000" w:themeColor="text1"/>
          <w:lang w:val="fr-FR"/>
        </w:rPr>
        <w:t>impose pour une classification à l</w:t>
      </w:r>
      <w:r>
        <w:rPr>
          <w:color w:val="000000" w:themeColor="text1"/>
          <w:lang w:val="fr-FR"/>
        </w:rPr>
        <w:t>’</w:t>
      </w:r>
      <w:r w:rsidRPr="004C2A3C">
        <w:rPr>
          <w:color w:val="000000" w:themeColor="text1"/>
          <w:lang w:val="fr-FR"/>
        </w:rPr>
        <w:t>étape 2. Si cette évaluation n</w:t>
      </w:r>
      <w:r>
        <w:rPr>
          <w:color w:val="000000" w:themeColor="text1"/>
          <w:lang w:val="fr-FR"/>
        </w:rPr>
        <w:t>’</w:t>
      </w:r>
      <w:r w:rsidRPr="004C2A3C">
        <w:rPr>
          <w:color w:val="000000" w:themeColor="text1"/>
          <w:lang w:val="fr-FR"/>
        </w:rPr>
        <w:t>est toujours pas concluante, des données provenant d</w:t>
      </w:r>
      <w:r>
        <w:rPr>
          <w:color w:val="000000" w:themeColor="text1"/>
          <w:lang w:val="fr-FR"/>
        </w:rPr>
        <w:t>’</w:t>
      </w:r>
      <w:r w:rsidRPr="004C2A3C">
        <w:rPr>
          <w:color w:val="000000" w:themeColor="text1"/>
          <w:lang w:val="fr-FR"/>
        </w:rPr>
        <w:t>étapes inférieures peuvent être nécessaires pour parvenir à une conclusion (voir figure 3.3.1).</w:t>
      </w:r>
    </w:p>
    <w:p w14:paraId="55A2A1D4" w14:textId="77777777" w:rsidR="00EE41F8" w:rsidRPr="004C2A3C" w:rsidRDefault="00EE41F8" w:rsidP="00EE41F8">
      <w:pPr>
        <w:suppressAutoHyphens w:val="0"/>
        <w:kinsoku/>
        <w:overflowPunct/>
        <w:autoSpaceDE/>
        <w:autoSpaceDN/>
        <w:adjustRightInd/>
        <w:snapToGrid/>
        <w:spacing w:after="200" w:line="276" w:lineRule="auto"/>
        <w:rPr>
          <w:b/>
          <w:bCs/>
          <w:i/>
          <w:color w:val="000000" w:themeColor="text1"/>
          <w:lang w:val="fr-FR"/>
        </w:rPr>
      </w:pPr>
      <w:r w:rsidRPr="004C2A3C">
        <w:rPr>
          <w:b/>
          <w:bCs/>
          <w:i/>
          <w:color w:val="000000" w:themeColor="text1"/>
          <w:lang w:val="fr-FR"/>
        </w:rPr>
        <w:br w:type="page"/>
      </w:r>
    </w:p>
    <w:p w14:paraId="5B2716FC" w14:textId="77777777" w:rsidR="00EE41F8" w:rsidRPr="004C2A3C" w:rsidRDefault="00EE41F8" w:rsidP="00EE41F8">
      <w:pPr>
        <w:spacing w:after="120"/>
        <w:ind w:left="1134"/>
        <w:jc w:val="center"/>
        <w:rPr>
          <w:b/>
          <w:bCs/>
          <w:lang w:val="fr-FR"/>
        </w:rPr>
      </w:pPr>
      <w:r w:rsidRPr="004C2A3C">
        <w:rPr>
          <w:b/>
          <w:bCs/>
          <w:lang w:val="fr-FR"/>
        </w:rPr>
        <w:t>Figure 3.3.3 : Classification fondée sur l</w:t>
      </w:r>
      <w:r>
        <w:rPr>
          <w:b/>
          <w:bCs/>
          <w:lang w:val="fr-FR"/>
        </w:rPr>
        <w:t>’</w:t>
      </w:r>
      <w:r w:rsidRPr="004C2A3C">
        <w:rPr>
          <w:b/>
          <w:bCs/>
          <w:lang w:val="fr-FR"/>
        </w:rPr>
        <w:t xml:space="preserve">utilisation de méthodes définies </w:t>
      </w:r>
      <w:r w:rsidRPr="004C2A3C">
        <w:rPr>
          <w:b/>
          <w:bCs/>
          <w:lang w:val="fr-FR"/>
        </w:rPr>
        <w:br/>
        <w:t xml:space="preserve">et/ou de données </w:t>
      </w:r>
      <w:r w:rsidRPr="004C2A3C">
        <w:rPr>
          <w:b/>
          <w:bCs/>
          <w:i/>
          <w:iCs/>
          <w:lang w:val="fr-FR"/>
        </w:rPr>
        <w:t>in vitro</w:t>
      </w:r>
      <w:r w:rsidRPr="004C2A3C">
        <w:rPr>
          <w:b/>
          <w:bCs/>
          <w:iCs/>
          <w:lang w:val="fr-FR"/>
        </w:rPr>
        <w:t>/</w:t>
      </w:r>
      <w:r w:rsidRPr="004C2A3C">
        <w:rPr>
          <w:b/>
          <w:bCs/>
          <w:i/>
          <w:iCs/>
          <w:lang w:val="fr-FR"/>
        </w:rPr>
        <w:t xml:space="preserve">ex vivo </w:t>
      </w:r>
      <w:r w:rsidRPr="004C2A3C">
        <w:rPr>
          <w:b/>
          <w:bCs/>
          <w:lang w:val="fr-FR"/>
        </w:rPr>
        <w:t>dans le cadre de l</w:t>
      </w:r>
      <w:r>
        <w:rPr>
          <w:b/>
          <w:bCs/>
          <w:lang w:val="fr-FR"/>
        </w:rPr>
        <w:t>’</w:t>
      </w:r>
      <w:r w:rsidRPr="004C2A3C">
        <w:rPr>
          <w:b/>
          <w:bCs/>
          <w:lang w:val="fr-FR"/>
        </w:rPr>
        <w:t>étape 2 de la figure 3.3.1</w:t>
      </w:r>
    </w:p>
    <w:p w14:paraId="569E37EE" w14:textId="2843F0FA" w:rsidR="00EE41F8" w:rsidRPr="004C2A3C" w:rsidRDefault="00CB5781" w:rsidP="00E31191">
      <w:pPr>
        <w:spacing w:after="120"/>
        <w:ind w:left="1134"/>
        <w:jc w:val="both"/>
        <w:rPr>
          <w:i/>
          <w:color w:val="000000" w:themeColor="text1"/>
          <w:sz w:val="18"/>
          <w:szCs w:val="18"/>
          <w:lang w:val="fr-FR"/>
        </w:rPr>
      </w:pPr>
      <w:r w:rsidRPr="004C2A3C">
        <w:rPr>
          <w:noProof/>
        </w:rPr>
        <w:object w:dxaOrig="8377" w:dyaOrig="12121" w14:anchorId="0E8393CC">
          <v:shape id="_x0000_i1031" type="#_x0000_t75" alt="" style="width:422.75pt;height:610.25pt" o:ole="">
            <v:imagedata r:id="rId24" o:title=""/>
          </v:shape>
          <o:OLEObject Type="Embed" ProgID="Visio.Drawing.15" ShapeID="_x0000_i1031" DrawAspect="Content" ObjectID="_1725284371" r:id="rId25"/>
        </w:object>
      </w:r>
      <w:proofErr w:type="gramStart"/>
      <w:r w:rsidR="00EE41F8" w:rsidRPr="004C2A3C">
        <w:rPr>
          <w:b/>
          <w:bCs/>
          <w:i/>
          <w:iCs/>
          <w:color w:val="000000" w:themeColor="text1"/>
          <w:sz w:val="18"/>
          <w:szCs w:val="18"/>
          <w:vertAlign w:val="superscript"/>
          <w:lang w:val="fr-FR"/>
        </w:rPr>
        <w:t>a</w:t>
      </w:r>
      <w:r w:rsidR="00EE41F8" w:rsidRPr="004C2A3C">
        <w:rPr>
          <w:color w:val="000000" w:themeColor="text1"/>
          <w:sz w:val="18"/>
          <w:szCs w:val="18"/>
          <w:lang w:val="fr-FR"/>
        </w:rPr>
        <w:t xml:space="preserve">  </w:t>
      </w:r>
      <w:r w:rsidR="00EE41F8" w:rsidRPr="004C2A3C">
        <w:rPr>
          <w:color w:val="000000" w:themeColor="text1"/>
          <w:sz w:val="18"/>
          <w:szCs w:val="18"/>
          <w:lang w:val="fr-FR"/>
        </w:rPr>
        <w:tab/>
      </w:r>
      <w:proofErr w:type="gramEnd"/>
      <w:r w:rsidR="00EE41F8" w:rsidRPr="004C2A3C">
        <w:rPr>
          <w:i/>
          <w:iCs/>
          <w:color w:val="000000" w:themeColor="text1"/>
          <w:sz w:val="18"/>
          <w:szCs w:val="18"/>
          <w:lang w:val="fr-FR"/>
        </w:rPr>
        <w:t>Les éléments de preuve sont jugés concluants si les données répondent aux critères de la méthode définie, ou d</w:t>
      </w:r>
      <w:r w:rsidR="00EE41F8">
        <w:rPr>
          <w:i/>
          <w:iCs/>
          <w:color w:val="000000" w:themeColor="text1"/>
          <w:sz w:val="18"/>
          <w:szCs w:val="18"/>
          <w:lang w:val="fr-FR"/>
        </w:rPr>
        <w:t>’</w:t>
      </w:r>
      <w:r w:rsidR="00EE41F8" w:rsidRPr="004C2A3C">
        <w:rPr>
          <w:i/>
          <w:iCs/>
          <w:color w:val="000000" w:themeColor="text1"/>
          <w:sz w:val="18"/>
          <w:szCs w:val="18"/>
          <w:lang w:val="fr-FR"/>
        </w:rPr>
        <w:t xml:space="preserve">une autre méthode, et si aucune donnée </w:t>
      </w:r>
      <w:r w:rsidR="00EE41F8" w:rsidRPr="00E37E11">
        <w:rPr>
          <w:i/>
          <w:iCs/>
          <w:color w:val="000000" w:themeColor="text1"/>
          <w:sz w:val="18"/>
          <w:szCs w:val="18"/>
          <w:lang w:val="fr-FR"/>
        </w:rPr>
        <w:t>in vitro/ex vivo</w:t>
      </w:r>
      <w:r w:rsidR="00EE41F8" w:rsidRPr="004C2A3C">
        <w:rPr>
          <w:i/>
          <w:iCs/>
          <w:color w:val="000000" w:themeColor="text1"/>
          <w:sz w:val="18"/>
          <w:szCs w:val="18"/>
          <w:lang w:val="fr-FR"/>
        </w:rPr>
        <w:t xml:space="preserve"> ne vient les contredire.</w:t>
      </w:r>
      <w:r w:rsidR="00EE41F8" w:rsidRPr="004C2A3C">
        <w:rPr>
          <w:color w:val="000000" w:themeColor="text1"/>
          <w:sz w:val="18"/>
          <w:szCs w:val="18"/>
          <w:lang w:val="fr-FR"/>
        </w:rPr>
        <w:t xml:space="preserve"> </w:t>
      </w:r>
      <w:r w:rsidR="00EE41F8" w:rsidRPr="004C2A3C">
        <w:rPr>
          <w:i/>
          <w:iCs/>
          <w:color w:val="000000" w:themeColor="text1"/>
          <w:sz w:val="18"/>
          <w:szCs w:val="18"/>
          <w:lang w:val="fr-FR"/>
        </w:rPr>
        <w:t>Cependant, lorsque les informations d</w:t>
      </w:r>
      <w:r w:rsidR="00EE41F8">
        <w:rPr>
          <w:i/>
          <w:iCs/>
          <w:color w:val="000000" w:themeColor="text1"/>
          <w:sz w:val="18"/>
          <w:szCs w:val="18"/>
          <w:lang w:val="fr-FR"/>
        </w:rPr>
        <w:t>’</w:t>
      </w:r>
      <w:r w:rsidR="00EE41F8" w:rsidRPr="004C2A3C">
        <w:rPr>
          <w:i/>
          <w:iCs/>
          <w:color w:val="000000" w:themeColor="text1"/>
          <w:sz w:val="18"/>
          <w:szCs w:val="18"/>
          <w:lang w:val="fr-FR"/>
        </w:rPr>
        <w:t>une étape inférieure aboutiraient à une classification plus stricte que les informations d</w:t>
      </w:r>
      <w:r w:rsidR="00EE41F8">
        <w:rPr>
          <w:i/>
          <w:iCs/>
          <w:color w:val="000000" w:themeColor="text1"/>
          <w:sz w:val="18"/>
          <w:szCs w:val="18"/>
          <w:lang w:val="fr-FR"/>
        </w:rPr>
        <w:t>’</w:t>
      </w:r>
      <w:r w:rsidR="00EE41F8" w:rsidRPr="004C2A3C">
        <w:rPr>
          <w:i/>
          <w:iCs/>
          <w:color w:val="000000" w:themeColor="text1"/>
          <w:sz w:val="18"/>
          <w:szCs w:val="18"/>
          <w:lang w:val="fr-FR"/>
        </w:rPr>
        <w:t>une étape supérieure, et qu</w:t>
      </w:r>
      <w:r w:rsidR="00EE41F8">
        <w:rPr>
          <w:i/>
          <w:iCs/>
          <w:color w:val="000000" w:themeColor="text1"/>
          <w:sz w:val="18"/>
          <w:szCs w:val="18"/>
          <w:lang w:val="fr-FR"/>
        </w:rPr>
        <w:t>’</w:t>
      </w:r>
      <w:r w:rsidR="00EE41F8" w:rsidRPr="004C2A3C">
        <w:rPr>
          <w:i/>
          <w:iCs/>
          <w:color w:val="000000" w:themeColor="text1"/>
          <w:sz w:val="18"/>
          <w:szCs w:val="18"/>
          <w:lang w:val="fr-FR"/>
        </w:rPr>
        <w:t>il existe un risque de classification incorrecte, la classification s</w:t>
      </w:r>
      <w:r w:rsidR="00EE41F8">
        <w:rPr>
          <w:i/>
          <w:iCs/>
          <w:color w:val="000000" w:themeColor="text1"/>
          <w:sz w:val="18"/>
          <w:szCs w:val="18"/>
          <w:lang w:val="fr-FR"/>
        </w:rPr>
        <w:t>’</w:t>
      </w:r>
      <w:r w:rsidR="00EE41F8" w:rsidRPr="004C2A3C">
        <w:rPr>
          <w:i/>
          <w:iCs/>
          <w:color w:val="000000" w:themeColor="text1"/>
          <w:sz w:val="18"/>
          <w:szCs w:val="18"/>
          <w:lang w:val="fr-FR"/>
        </w:rPr>
        <w:t>effectue sur la base d</w:t>
      </w:r>
      <w:r w:rsidR="00EE41F8">
        <w:rPr>
          <w:i/>
          <w:iCs/>
          <w:color w:val="000000" w:themeColor="text1"/>
          <w:sz w:val="18"/>
          <w:szCs w:val="18"/>
          <w:lang w:val="fr-FR"/>
        </w:rPr>
        <w:t>’</w:t>
      </w:r>
      <w:r w:rsidR="00EE41F8" w:rsidRPr="004C2A3C">
        <w:rPr>
          <w:i/>
          <w:iCs/>
          <w:color w:val="000000" w:themeColor="text1"/>
          <w:sz w:val="18"/>
          <w:szCs w:val="18"/>
          <w:lang w:val="fr-FR"/>
        </w:rPr>
        <w:t>une évaluation fondée sur la force probante des données au niveau d</w:t>
      </w:r>
      <w:r w:rsidR="00EE41F8">
        <w:rPr>
          <w:i/>
          <w:iCs/>
          <w:color w:val="000000" w:themeColor="text1"/>
          <w:sz w:val="18"/>
          <w:szCs w:val="18"/>
          <w:lang w:val="fr-FR"/>
        </w:rPr>
        <w:t>’</w:t>
      </w:r>
      <w:r w:rsidR="00EE41F8" w:rsidRPr="004C2A3C">
        <w:rPr>
          <w:i/>
          <w:iCs/>
          <w:color w:val="000000" w:themeColor="text1"/>
          <w:sz w:val="18"/>
          <w:szCs w:val="18"/>
          <w:lang w:val="fr-FR"/>
        </w:rPr>
        <w:t>une étape.</w:t>
      </w:r>
    </w:p>
    <w:p w14:paraId="0ED481B3" w14:textId="77777777" w:rsidR="00EE41F8" w:rsidRPr="004C2A3C" w:rsidRDefault="00EE41F8" w:rsidP="00EE41F8">
      <w:pPr>
        <w:keepNext/>
        <w:keepLines/>
        <w:tabs>
          <w:tab w:val="left" w:pos="3402"/>
        </w:tabs>
        <w:spacing w:after="120"/>
        <w:ind w:left="2268" w:right="1134"/>
        <w:jc w:val="both"/>
        <w:rPr>
          <w:color w:val="000000" w:themeColor="text1"/>
          <w:lang w:val="fr-FR"/>
        </w:rPr>
      </w:pPr>
      <w:r w:rsidRPr="004C2A3C">
        <w:rPr>
          <w:color w:val="000000" w:themeColor="text1"/>
          <w:lang w:val="fr-FR"/>
        </w:rPr>
        <w:t>3.3.5.3.5</w:t>
      </w:r>
      <w:r w:rsidRPr="004C2A3C">
        <w:rPr>
          <w:color w:val="000000" w:themeColor="text1"/>
          <w:lang w:val="fr-FR"/>
        </w:rPr>
        <w:tab/>
      </w:r>
      <w:r w:rsidRPr="004C2A3C">
        <w:rPr>
          <w:i/>
          <w:iCs/>
          <w:color w:val="000000" w:themeColor="text1"/>
          <w:lang w:val="fr-FR"/>
        </w:rPr>
        <w:t xml:space="preserve">Critères de classification fondés sur des données </w:t>
      </w:r>
      <w:r w:rsidRPr="004C2A3C">
        <w:rPr>
          <w:color w:val="000000" w:themeColor="text1"/>
          <w:lang w:val="fr-FR"/>
        </w:rPr>
        <w:t>in vitro/ex vivo</w:t>
      </w:r>
    </w:p>
    <w:p w14:paraId="09807A82" w14:textId="77777777" w:rsidR="00EE41F8" w:rsidRDefault="00EE41F8" w:rsidP="00EE41F8">
      <w:pPr>
        <w:tabs>
          <w:tab w:val="left" w:pos="3402"/>
        </w:tabs>
        <w:spacing w:after="120"/>
        <w:ind w:left="2268" w:right="1134"/>
        <w:jc w:val="both"/>
        <w:rPr>
          <w:color w:val="000000" w:themeColor="text1"/>
          <w:lang w:val="fr-FR"/>
        </w:rPr>
      </w:pPr>
      <w:r w:rsidRPr="004C2A3C">
        <w:rPr>
          <w:color w:val="000000" w:themeColor="text1"/>
          <w:lang w:val="fr-FR"/>
        </w:rPr>
        <w:t>3.3.5.3.5.1</w:t>
      </w:r>
      <w:r w:rsidRPr="004C2A3C">
        <w:rPr>
          <w:color w:val="000000" w:themeColor="text1"/>
          <w:lang w:val="fr-FR"/>
        </w:rPr>
        <w:tab/>
        <w:t>Le tableau 3.3.6 indique les critères de classification dans la catégorie 1 pour les lésions oculaires graves ou les effets irréversibles sur l</w:t>
      </w:r>
      <w:r>
        <w:rPr>
          <w:color w:val="000000" w:themeColor="text1"/>
          <w:lang w:val="fr-FR"/>
        </w:rPr>
        <w:t>’</w:t>
      </w:r>
      <w:r w:rsidRPr="004C2A3C">
        <w:rPr>
          <w:color w:val="000000" w:themeColor="text1"/>
          <w:lang w:val="fr-FR"/>
        </w:rPr>
        <w:t>œil, ainsi que les critères donnant lieu à l</w:t>
      </w:r>
      <w:r>
        <w:rPr>
          <w:color w:val="000000" w:themeColor="text1"/>
          <w:lang w:val="fr-FR"/>
        </w:rPr>
        <w:t>’</w:t>
      </w:r>
      <w:r w:rsidRPr="004C2A3C">
        <w:rPr>
          <w:color w:val="000000" w:themeColor="text1"/>
          <w:lang w:val="fr-FR"/>
        </w:rPr>
        <w:t xml:space="preserve">absence de classification, lorsque des essais </w:t>
      </w:r>
      <w:r w:rsidRPr="004C2A3C">
        <w:rPr>
          <w:i/>
          <w:iCs/>
          <w:color w:val="000000" w:themeColor="text1"/>
          <w:lang w:val="fr-FR"/>
        </w:rPr>
        <w:t>in vitro</w:t>
      </w:r>
      <w:r w:rsidRPr="004C2A3C">
        <w:rPr>
          <w:iCs/>
          <w:color w:val="000000" w:themeColor="text1"/>
          <w:lang w:val="fr-FR"/>
        </w:rPr>
        <w:t>/</w:t>
      </w:r>
      <w:r w:rsidRPr="004C2A3C">
        <w:rPr>
          <w:i/>
          <w:iCs/>
          <w:color w:val="000000" w:themeColor="text1"/>
          <w:lang w:val="fr-FR"/>
        </w:rPr>
        <w:t>ex vivo</w:t>
      </w:r>
      <w:r w:rsidRPr="004C2A3C">
        <w:rPr>
          <w:color w:val="000000" w:themeColor="text1"/>
          <w:lang w:val="fr-FR"/>
        </w:rPr>
        <w:t xml:space="preserve"> sont menés conformément aux lignes directrices 437, 438, 460, 491, 492, 494 ou 496 de l</w:t>
      </w:r>
      <w:r>
        <w:rPr>
          <w:color w:val="000000" w:themeColor="text1"/>
          <w:lang w:val="fr-FR"/>
        </w:rPr>
        <w:t>’</w:t>
      </w:r>
      <w:r w:rsidRPr="004C2A3C">
        <w:rPr>
          <w:color w:val="000000" w:themeColor="text1"/>
          <w:lang w:val="fr-FR"/>
        </w:rPr>
        <w:t>OCDE.</w:t>
      </w:r>
    </w:p>
    <w:p w14:paraId="617B5D09" w14:textId="77777777" w:rsidR="00915CF4" w:rsidRDefault="00915CF4" w:rsidP="00AC3823"/>
    <w:p w14:paraId="142B0AF5" w14:textId="77777777" w:rsidR="00AA38A8" w:rsidRDefault="00AA38A8" w:rsidP="00AC3823"/>
    <w:p w14:paraId="4D19A2B4" w14:textId="0BB0AEB5" w:rsidR="00AA38A8" w:rsidRDefault="00AA38A8" w:rsidP="00AC3823">
      <w:pPr>
        <w:sectPr w:rsidR="00AA38A8" w:rsidSect="00A31DD6">
          <w:headerReference w:type="even" r:id="rId26"/>
          <w:headerReference w:type="default" r:id="rId27"/>
          <w:footerReference w:type="even" r:id="rId28"/>
          <w:footerReference w:type="default" r:id="rId29"/>
          <w:footerReference w:type="first" r:id="rId30"/>
          <w:endnotePr>
            <w:numFmt w:val="decimal"/>
          </w:endnotePr>
          <w:pgSz w:w="11906" w:h="16838" w:code="9"/>
          <w:pgMar w:top="1417" w:right="1134" w:bottom="1134" w:left="1134" w:header="850" w:footer="567" w:gutter="0"/>
          <w:cols w:space="708"/>
          <w:titlePg/>
          <w:docGrid w:linePitch="360"/>
        </w:sectPr>
      </w:pPr>
    </w:p>
    <w:p w14:paraId="53F39F47" w14:textId="77777777" w:rsidR="008443E4" w:rsidRPr="004C2A3C" w:rsidRDefault="008443E4" w:rsidP="008443E4">
      <w:pPr>
        <w:spacing w:after="120"/>
        <w:ind w:left="284" w:right="284"/>
        <w:jc w:val="center"/>
        <w:rPr>
          <w:b/>
          <w:bCs/>
          <w:i/>
          <w:iCs/>
          <w:lang w:val="fr-FR"/>
        </w:rPr>
      </w:pPr>
      <w:r w:rsidRPr="004C2A3C">
        <w:rPr>
          <w:b/>
          <w:bCs/>
          <w:lang w:val="fr-FR"/>
        </w:rPr>
        <w:t>Tableau 3.3.6 : Critères indiquant des lésions oculaires graves ou des effets irréversibles sur l</w:t>
      </w:r>
      <w:r>
        <w:rPr>
          <w:b/>
          <w:bCs/>
          <w:lang w:val="fr-FR"/>
        </w:rPr>
        <w:t>’</w:t>
      </w:r>
      <w:r w:rsidRPr="004C2A3C">
        <w:rPr>
          <w:b/>
          <w:bCs/>
          <w:lang w:val="fr-FR"/>
        </w:rPr>
        <w:t>œil et critères donnant lieu à l</w:t>
      </w:r>
      <w:r>
        <w:rPr>
          <w:b/>
          <w:bCs/>
          <w:lang w:val="fr-FR"/>
        </w:rPr>
        <w:t>’</w:t>
      </w:r>
      <w:r w:rsidRPr="004C2A3C">
        <w:rPr>
          <w:b/>
          <w:bCs/>
          <w:lang w:val="fr-FR"/>
        </w:rPr>
        <w:t xml:space="preserve">absence de </w:t>
      </w:r>
      <w:proofErr w:type="spellStart"/>
      <w:r w:rsidRPr="004C2A3C">
        <w:rPr>
          <w:b/>
          <w:bCs/>
          <w:lang w:val="fr-FR"/>
        </w:rPr>
        <w:t>classification</w:t>
      </w:r>
      <w:r w:rsidRPr="004C2A3C">
        <w:rPr>
          <w:b/>
          <w:bCs/>
          <w:i/>
          <w:iCs/>
          <w:sz w:val="18"/>
          <w:szCs w:val="18"/>
          <w:vertAlign w:val="superscript"/>
          <w:lang w:val="fr-FR"/>
        </w:rPr>
        <w:t>a</w:t>
      </w:r>
      <w:proofErr w:type="spellEnd"/>
      <w:r w:rsidRPr="004C2A3C">
        <w:rPr>
          <w:b/>
          <w:bCs/>
          <w:lang w:val="fr-FR"/>
        </w:rPr>
        <w:t xml:space="preserve"> </w:t>
      </w:r>
      <w:r w:rsidRPr="004C2A3C">
        <w:rPr>
          <w:b/>
          <w:bCs/>
          <w:lang w:val="fr-FR"/>
        </w:rPr>
        <w:br/>
        <w:t xml:space="preserve">pour les méthodes </w:t>
      </w:r>
      <w:r w:rsidRPr="004C2A3C">
        <w:rPr>
          <w:b/>
          <w:bCs/>
          <w:i/>
          <w:iCs/>
          <w:lang w:val="fr-FR"/>
        </w:rPr>
        <w:t>in vitro</w:t>
      </w:r>
      <w:r w:rsidRPr="004C2A3C">
        <w:rPr>
          <w:b/>
          <w:bCs/>
          <w:iCs/>
          <w:lang w:val="fr-FR"/>
        </w:rPr>
        <w:t>/</w:t>
      </w:r>
      <w:r w:rsidRPr="004C2A3C">
        <w:rPr>
          <w:b/>
          <w:bCs/>
          <w:i/>
          <w:iCs/>
          <w:lang w:val="fr-FR"/>
        </w:rPr>
        <w:t>ex vivo</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6"/>
        <w:gridCol w:w="978"/>
        <w:gridCol w:w="978"/>
        <w:gridCol w:w="1667"/>
        <w:gridCol w:w="1667"/>
        <w:gridCol w:w="1667"/>
        <w:gridCol w:w="785"/>
        <w:gridCol w:w="788"/>
        <w:gridCol w:w="788"/>
        <w:gridCol w:w="788"/>
        <w:gridCol w:w="1433"/>
        <w:gridCol w:w="1433"/>
      </w:tblGrid>
      <w:tr w:rsidR="008443E4" w:rsidRPr="004562B4" w14:paraId="2D4BA5DB" w14:textId="77777777" w:rsidTr="000654E6">
        <w:trPr>
          <w:tblHeader/>
        </w:trPr>
        <w:tc>
          <w:tcPr>
            <w:tcW w:w="2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4324BF2" w14:textId="77777777" w:rsidR="008443E4" w:rsidRPr="004C2A3C" w:rsidRDefault="008443E4" w:rsidP="000654E6">
            <w:pPr>
              <w:spacing w:before="40" w:after="40" w:line="240" w:lineRule="auto"/>
              <w:ind w:left="57" w:right="57"/>
              <w:jc w:val="center"/>
              <w:rPr>
                <w:b/>
                <w:bCs/>
                <w:noProof/>
                <w:color w:val="000000" w:themeColor="text1"/>
                <w:sz w:val="14"/>
                <w:szCs w:val="14"/>
              </w:rPr>
            </w:pPr>
            <w:r w:rsidRPr="004C2A3C">
              <w:rPr>
                <w:rFonts w:eastAsia="Calibri"/>
                <w:b/>
                <w:bCs/>
                <w:noProof/>
                <w:color w:val="000000" w:themeColor="text1"/>
                <w:sz w:val="14"/>
                <w:szCs w:val="14"/>
              </w:rPr>
              <w:t>Catégorie</w:t>
            </w:r>
          </w:p>
        </w:tc>
        <w:tc>
          <w:tcPr>
            <w:tcW w:w="710"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89864FE" w14:textId="77777777" w:rsidR="008443E4" w:rsidRPr="004C2A3C" w:rsidRDefault="008443E4" w:rsidP="000654E6">
            <w:pPr>
              <w:spacing w:before="40" w:after="40" w:line="240" w:lineRule="auto"/>
              <w:ind w:left="57" w:right="57"/>
              <w:jc w:val="center"/>
              <w:rPr>
                <w:b/>
                <w:bCs/>
                <w:noProof/>
                <w:color w:val="000000" w:themeColor="text1"/>
                <w:sz w:val="14"/>
                <w:szCs w:val="14"/>
                <w:lang w:val="fr-FR"/>
              </w:rPr>
            </w:pPr>
            <w:bookmarkStart w:id="10" w:name="OLE_LINK10"/>
            <w:bookmarkStart w:id="11" w:name="OLE_LINK7"/>
            <w:r w:rsidRPr="004C2A3C">
              <w:rPr>
                <w:b/>
                <w:bCs/>
                <w:noProof/>
                <w:color w:val="000000" w:themeColor="text1"/>
                <w:sz w:val="14"/>
                <w:szCs w:val="14"/>
                <w:lang w:val="fr-FR"/>
              </w:rPr>
              <w:t>Ligne directrice 437 de l</w:t>
            </w:r>
            <w:r>
              <w:rPr>
                <w:b/>
                <w:bCs/>
                <w:noProof/>
                <w:color w:val="000000" w:themeColor="text1"/>
                <w:sz w:val="14"/>
                <w:szCs w:val="14"/>
                <w:lang w:val="fr-FR"/>
              </w:rPr>
              <w:t>’</w:t>
            </w:r>
            <w:r w:rsidRPr="004C2A3C">
              <w:rPr>
                <w:b/>
                <w:bCs/>
                <w:noProof/>
                <w:color w:val="000000" w:themeColor="text1"/>
                <w:sz w:val="14"/>
                <w:szCs w:val="14"/>
                <w:lang w:val="fr-FR"/>
              </w:rPr>
              <w:t>OCDE</w:t>
            </w:r>
            <w:bookmarkEnd w:id="10"/>
            <w:bookmarkEnd w:id="11"/>
            <w:r w:rsidRPr="004C2A3C">
              <w:rPr>
                <w:b/>
                <w:bCs/>
                <w:noProof/>
                <w:color w:val="000000" w:themeColor="text1"/>
                <w:sz w:val="14"/>
                <w:szCs w:val="14"/>
                <w:lang w:val="fr-FR"/>
              </w:rPr>
              <w:t xml:space="preserve"> − Méthode d</w:t>
            </w:r>
            <w:r>
              <w:rPr>
                <w:b/>
                <w:bCs/>
                <w:noProof/>
                <w:color w:val="000000" w:themeColor="text1"/>
                <w:sz w:val="14"/>
                <w:szCs w:val="14"/>
                <w:lang w:val="fr-FR"/>
              </w:rPr>
              <w:t>’</w:t>
            </w:r>
            <w:r w:rsidRPr="004C2A3C">
              <w:rPr>
                <w:b/>
                <w:bCs/>
                <w:noProof/>
                <w:color w:val="000000" w:themeColor="text1"/>
                <w:sz w:val="14"/>
                <w:szCs w:val="14"/>
                <w:lang w:val="fr-FR"/>
              </w:rPr>
              <w:t>essai d</w:t>
            </w:r>
            <w:r>
              <w:rPr>
                <w:b/>
                <w:bCs/>
                <w:noProof/>
                <w:color w:val="000000" w:themeColor="text1"/>
                <w:sz w:val="14"/>
                <w:szCs w:val="14"/>
                <w:lang w:val="fr-FR"/>
              </w:rPr>
              <w:t>’</w:t>
            </w:r>
            <w:r w:rsidRPr="004C2A3C">
              <w:rPr>
                <w:b/>
                <w:bCs/>
                <w:noProof/>
                <w:color w:val="000000" w:themeColor="text1"/>
                <w:sz w:val="14"/>
                <w:szCs w:val="14"/>
                <w:lang w:val="fr-FR"/>
              </w:rPr>
              <w:t>opacité et de perméabilité de la cornée bovine</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9675B8F" w14:textId="77777777" w:rsidR="008443E4" w:rsidRPr="004C2A3C" w:rsidRDefault="008443E4" w:rsidP="000654E6">
            <w:pPr>
              <w:spacing w:before="40" w:after="40" w:line="240" w:lineRule="auto"/>
              <w:ind w:left="57" w:right="57"/>
              <w:jc w:val="center"/>
              <w:rPr>
                <w:b/>
                <w:bCs/>
                <w:noProof/>
                <w:color w:val="000000" w:themeColor="text1"/>
                <w:sz w:val="14"/>
                <w:szCs w:val="14"/>
                <w:lang w:val="fr-FR"/>
              </w:rPr>
            </w:pPr>
            <w:r w:rsidRPr="004C2A3C">
              <w:rPr>
                <w:b/>
                <w:bCs/>
                <w:noProof/>
                <w:color w:val="000000" w:themeColor="text1"/>
                <w:sz w:val="14"/>
                <w:szCs w:val="14"/>
                <w:lang w:val="fr-FR"/>
              </w:rPr>
              <w:t>Ligne directrice 438 de l</w:t>
            </w:r>
            <w:r>
              <w:rPr>
                <w:b/>
                <w:bCs/>
                <w:noProof/>
                <w:color w:val="000000" w:themeColor="text1"/>
                <w:sz w:val="14"/>
                <w:szCs w:val="14"/>
                <w:lang w:val="fr-FR"/>
              </w:rPr>
              <w:t>’</w:t>
            </w:r>
            <w:r w:rsidRPr="004C2A3C">
              <w:rPr>
                <w:b/>
                <w:bCs/>
                <w:noProof/>
                <w:color w:val="000000" w:themeColor="text1"/>
                <w:sz w:val="14"/>
                <w:szCs w:val="14"/>
                <w:lang w:val="fr-FR"/>
              </w:rPr>
              <w:t>OCDE − Méthode d</w:t>
            </w:r>
            <w:r>
              <w:rPr>
                <w:b/>
                <w:bCs/>
                <w:noProof/>
                <w:color w:val="000000" w:themeColor="text1"/>
                <w:sz w:val="14"/>
                <w:szCs w:val="14"/>
                <w:lang w:val="fr-FR"/>
              </w:rPr>
              <w:t>’</w:t>
            </w:r>
            <w:r w:rsidRPr="004C2A3C">
              <w:rPr>
                <w:b/>
                <w:bCs/>
                <w:noProof/>
                <w:color w:val="000000" w:themeColor="text1"/>
                <w:sz w:val="14"/>
                <w:szCs w:val="14"/>
                <w:lang w:val="fr-FR"/>
              </w:rPr>
              <w:t>essai sur oeil de poulet isolé</w:t>
            </w:r>
          </w:p>
        </w:tc>
        <w:tc>
          <w:tcPr>
            <w:tcW w:w="605" w:type="pct"/>
            <w:tcBorders>
              <w:top w:val="single" w:sz="4" w:space="0" w:color="auto"/>
              <w:left w:val="single" w:sz="4" w:space="0" w:color="auto"/>
              <w:bottom w:val="single" w:sz="4" w:space="0" w:color="auto"/>
              <w:right w:val="single" w:sz="4" w:space="0" w:color="auto"/>
            </w:tcBorders>
            <w:hideMark/>
          </w:tcPr>
          <w:p w14:paraId="3D305D62" w14:textId="77777777" w:rsidR="008443E4" w:rsidRPr="004C2A3C" w:rsidRDefault="008443E4" w:rsidP="000654E6">
            <w:pPr>
              <w:spacing w:before="40" w:after="40" w:line="240" w:lineRule="auto"/>
              <w:ind w:left="57" w:right="57"/>
              <w:jc w:val="center"/>
              <w:rPr>
                <w:b/>
                <w:bCs/>
                <w:noProof/>
                <w:color w:val="000000" w:themeColor="text1"/>
                <w:sz w:val="14"/>
                <w:szCs w:val="14"/>
                <w:lang w:val="fr-FR"/>
              </w:rPr>
            </w:pPr>
            <w:r w:rsidRPr="004C2A3C">
              <w:rPr>
                <w:b/>
                <w:bCs/>
                <w:noProof/>
                <w:color w:val="000000" w:themeColor="text1"/>
                <w:sz w:val="14"/>
                <w:szCs w:val="14"/>
                <w:lang w:val="fr-FR"/>
              </w:rPr>
              <w:t>Ligne directrice 460 de l</w:t>
            </w:r>
            <w:r>
              <w:rPr>
                <w:b/>
                <w:bCs/>
                <w:noProof/>
                <w:color w:val="000000" w:themeColor="text1"/>
                <w:sz w:val="14"/>
                <w:szCs w:val="14"/>
                <w:lang w:val="fr-FR"/>
              </w:rPr>
              <w:t>’</w:t>
            </w:r>
            <w:r w:rsidRPr="004C2A3C">
              <w:rPr>
                <w:b/>
                <w:bCs/>
                <w:noProof/>
                <w:color w:val="000000" w:themeColor="text1"/>
                <w:sz w:val="14"/>
                <w:szCs w:val="14"/>
                <w:lang w:val="fr-FR"/>
              </w:rPr>
              <w:t>OCDE − Méthode d</w:t>
            </w:r>
            <w:r>
              <w:rPr>
                <w:b/>
                <w:bCs/>
                <w:noProof/>
                <w:color w:val="000000" w:themeColor="text1"/>
                <w:sz w:val="14"/>
                <w:szCs w:val="14"/>
                <w:lang w:val="fr-FR"/>
              </w:rPr>
              <w:t>’</w:t>
            </w:r>
            <w:r w:rsidRPr="004C2A3C">
              <w:rPr>
                <w:b/>
                <w:bCs/>
                <w:noProof/>
                <w:color w:val="000000" w:themeColor="text1"/>
                <w:sz w:val="14"/>
                <w:szCs w:val="14"/>
                <w:lang w:val="fr-FR"/>
              </w:rPr>
              <w:t>essai de diffusion de fluorescéine</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37B49AE" w14:textId="77777777" w:rsidR="008443E4" w:rsidRPr="004C2A3C" w:rsidRDefault="008443E4" w:rsidP="000654E6">
            <w:pPr>
              <w:spacing w:before="40" w:after="40" w:line="240" w:lineRule="auto"/>
              <w:ind w:left="57" w:right="57"/>
              <w:jc w:val="center"/>
              <w:rPr>
                <w:b/>
                <w:bCs/>
                <w:noProof/>
                <w:color w:val="000000" w:themeColor="text1"/>
                <w:sz w:val="14"/>
                <w:szCs w:val="14"/>
                <w:lang w:val="fr-FR"/>
              </w:rPr>
            </w:pPr>
            <w:r w:rsidRPr="004C2A3C">
              <w:rPr>
                <w:b/>
                <w:bCs/>
                <w:noProof/>
                <w:color w:val="000000" w:themeColor="text1"/>
                <w:sz w:val="14"/>
                <w:szCs w:val="14"/>
                <w:lang w:val="fr-FR"/>
              </w:rPr>
              <w:t>Ligne directrice 491 de l</w:t>
            </w:r>
            <w:r>
              <w:rPr>
                <w:b/>
                <w:bCs/>
                <w:noProof/>
                <w:color w:val="000000" w:themeColor="text1"/>
                <w:sz w:val="14"/>
                <w:szCs w:val="14"/>
                <w:lang w:val="fr-FR"/>
              </w:rPr>
              <w:t>’</w:t>
            </w:r>
            <w:r w:rsidRPr="004C2A3C">
              <w:rPr>
                <w:b/>
                <w:bCs/>
                <w:noProof/>
                <w:color w:val="000000" w:themeColor="text1"/>
                <w:sz w:val="14"/>
                <w:szCs w:val="14"/>
                <w:lang w:val="fr-FR"/>
              </w:rPr>
              <w:t>OCDE − Méthode d</w:t>
            </w:r>
            <w:r>
              <w:rPr>
                <w:b/>
                <w:bCs/>
                <w:noProof/>
                <w:color w:val="000000" w:themeColor="text1"/>
                <w:sz w:val="14"/>
                <w:szCs w:val="14"/>
                <w:lang w:val="fr-FR"/>
              </w:rPr>
              <w:t>’</w:t>
            </w:r>
            <w:r w:rsidRPr="004C2A3C">
              <w:rPr>
                <w:b/>
                <w:bCs/>
                <w:noProof/>
                <w:color w:val="000000" w:themeColor="text1"/>
                <w:sz w:val="14"/>
                <w:szCs w:val="14"/>
                <w:lang w:val="fr-FR"/>
              </w:rPr>
              <w:t>essai d</w:t>
            </w:r>
            <w:r>
              <w:rPr>
                <w:b/>
                <w:bCs/>
                <w:noProof/>
                <w:color w:val="000000" w:themeColor="text1"/>
                <w:sz w:val="14"/>
                <w:szCs w:val="14"/>
                <w:lang w:val="fr-FR"/>
              </w:rPr>
              <w:t>’</w:t>
            </w:r>
            <w:r w:rsidRPr="004C2A3C">
              <w:rPr>
                <w:b/>
                <w:bCs/>
                <w:noProof/>
                <w:color w:val="000000" w:themeColor="text1"/>
                <w:sz w:val="14"/>
                <w:szCs w:val="14"/>
                <w:lang w:val="fr-FR"/>
              </w:rPr>
              <w:t>exposition de courte durée</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BC639DB" w14:textId="77777777" w:rsidR="008443E4" w:rsidRPr="004C2A3C" w:rsidRDefault="008443E4" w:rsidP="000654E6">
            <w:pPr>
              <w:spacing w:before="40" w:after="40" w:line="240" w:lineRule="auto"/>
              <w:ind w:left="57" w:right="57"/>
              <w:jc w:val="center"/>
              <w:rPr>
                <w:b/>
                <w:bCs/>
                <w:noProof/>
                <w:color w:val="000000" w:themeColor="text1"/>
                <w:sz w:val="14"/>
                <w:szCs w:val="14"/>
                <w:lang w:val="fr-FR"/>
              </w:rPr>
            </w:pPr>
            <w:r w:rsidRPr="004C2A3C">
              <w:rPr>
                <w:b/>
                <w:bCs/>
                <w:noProof/>
                <w:color w:val="000000" w:themeColor="text1"/>
                <w:sz w:val="14"/>
                <w:szCs w:val="14"/>
                <w:lang w:val="fr-FR"/>
              </w:rPr>
              <w:t>Ligne directrice 492 de l</w:t>
            </w:r>
            <w:r>
              <w:rPr>
                <w:b/>
                <w:bCs/>
                <w:noProof/>
                <w:color w:val="000000" w:themeColor="text1"/>
                <w:sz w:val="14"/>
                <w:szCs w:val="14"/>
                <w:lang w:val="fr-FR"/>
              </w:rPr>
              <w:t>’</w:t>
            </w:r>
            <w:r w:rsidRPr="004C2A3C">
              <w:rPr>
                <w:b/>
                <w:bCs/>
                <w:noProof/>
                <w:color w:val="000000" w:themeColor="text1"/>
                <w:sz w:val="14"/>
                <w:szCs w:val="14"/>
                <w:lang w:val="fr-FR"/>
              </w:rPr>
              <w:t>OCDE − Méthodes d</w:t>
            </w:r>
            <w:r>
              <w:rPr>
                <w:b/>
                <w:bCs/>
                <w:noProof/>
                <w:color w:val="000000" w:themeColor="text1"/>
                <w:sz w:val="14"/>
                <w:szCs w:val="14"/>
                <w:lang w:val="fr-FR"/>
              </w:rPr>
              <w:t>’</w:t>
            </w:r>
            <w:r w:rsidRPr="004C2A3C">
              <w:rPr>
                <w:b/>
                <w:bCs/>
                <w:noProof/>
                <w:color w:val="000000" w:themeColor="text1"/>
                <w:sz w:val="14"/>
                <w:szCs w:val="14"/>
                <w:lang w:val="fr-FR"/>
              </w:rPr>
              <w:t>essai sur modèle d</w:t>
            </w:r>
            <w:r>
              <w:rPr>
                <w:b/>
                <w:bCs/>
                <w:noProof/>
                <w:color w:val="000000" w:themeColor="text1"/>
                <w:sz w:val="14"/>
                <w:szCs w:val="14"/>
                <w:lang w:val="fr-FR"/>
              </w:rPr>
              <w:t>’</w:t>
            </w:r>
            <w:r w:rsidRPr="004C2A3C">
              <w:rPr>
                <w:b/>
                <w:bCs/>
                <w:noProof/>
                <w:color w:val="000000" w:themeColor="text1"/>
                <w:sz w:val="14"/>
                <w:szCs w:val="14"/>
                <w:lang w:val="fr-FR"/>
              </w:rPr>
              <w:t>épithéliumcornéen humain reconstitué (echr) : méthodes 1, 2, 3 et 4 visées à l</w:t>
            </w:r>
            <w:r>
              <w:rPr>
                <w:b/>
                <w:bCs/>
                <w:noProof/>
                <w:color w:val="000000" w:themeColor="text1"/>
                <w:sz w:val="14"/>
                <w:szCs w:val="14"/>
                <w:lang w:val="fr-FR"/>
              </w:rPr>
              <w:t>’</w:t>
            </w:r>
            <w:r w:rsidRPr="004C2A3C">
              <w:rPr>
                <w:b/>
                <w:bCs/>
                <w:noProof/>
                <w:color w:val="000000" w:themeColor="text1"/>
                <w:sz w:val="14"/>
                <w:szCs w:val="14"/>
                <w:lang w:val="fr-FR"/>
              </w:rPr>
              <w:t>annexe II de la ligne directrice de l</w:t>
            </w:r>
            <w:r>
              <w:rPr>
                <w:b/>
                <w:bCs/>
                <w:noProof/>
                <w:color w:val="000000" w:themeColor="text1"/>
                <w:sz w:val="14"/>
                <w:szCs w:val="14"/>
                <w:lang w:val="fr-FR"/>
              </w:rPr>
              <w:t>’</w:t>
            </w:r>
            <w:r w:rsidRPr="004C2A3C">
              <w:rPr>
                <w:b/>
                <w:bCs/>
                <w:noProof/>
                <w:color w:val="000000" w:themeColor="text1"/>
                <w:sz w:val="14"/>
                <w:szCs w:val="14"/>
                <w:lang w:val="fr-FR"/>
              </w:rPr>
              <w:t>OCDE pour l</w:t>
            </w:r>
            <w:r>
              <w:rPr>
                <w:b/>
                <w:bCs/>
                <w:noProof/>
                <w:color w:val="000000" w:themeColor="text1"/>
                <w:sz w:val="14"/>
                <w:szCs w:val="14"/>
                <w:lang w:val="fr-FR"/>
              </w:rPr>
              <w:t>’</w:t>
            </w:r>
            <w:r w:rsidRPr="004C2A3C">
              <w:rPr>
                <w:b/>
                <w:bCs/>
                <w:noProof/>
                <w:color w:val="000000" w:themeColor="text1"/>
                <w:sz w:val="14"/>
                <w:szCs w:val="14"/>
                <w:lang w:val="fr-FR"/>
              </w:rPr>
              <w:t>essai 492</w:t>
            </w:r>
          </w:p>
        </w:tc>
        <w:tc>
          <w:tcPr>
            <w:tcW w:w="520" w:type="pct"/>
            <w:tcBorders>
              <w:top w:val="single" w:sz="4" w:space="0" w:color="auto"/>
              <w:left w:val="single" w:sz="4" w:space="0" w:color="auto"/>
              <w:bottom w:val="single" w:sz="4" w:space="0" w:color="auto"/>
              <w:right w:val="single" w:sz="4" w:space="0" w:color="auto"/>
            </w:tcBorders>
            <w:hideMark/>
          </w:tcPr>
          <w:p w14:paraId="6EA64F63" w14:textId="77777777" w:rsidR="008443E4" w:rsidRPr="004C2A3C" w:rsidRDefault="008443E4" w:rsidP="000654E6">
            <w:pPr>
              <w:spacing w:before="40" w:after="40" w:line="240" w:lineRule="auto"/>
              <w:ind w:left="57" w:right="57"/>
              <w:jc w:val="center"/>
              <w:rPr>
                <w:b/>
                <w:bCs/>
                <w:noProof/>
                <w:color w:val="000000" w:themeColor="text1"/>
                <w:sz w:val="14"/>
                <w:szCs w:val="14"/>
                <w:lang w:val="fr-FR"/>
              </w:rPr>
            </w:pPr>
            <w:r w:rsidRPr="004C2A3C">
              <w:rPr>
                <w:b/>
                <w:bCs/>
                <w:noProof/>
                <w:color w:val="000000" w:themeColor="text1"/>
                <w:sz w:val="14"/>
                <w:szCs w:val="14"/>
                <w:lang w:val="fr-FR"/>
              </w:rPr>
              <w:t>Ligne directrice 494 de l</w:t>
            </w:r>
            <w:r>
              <w:rPr>
                <w:b/>
                <w:bCs/>
                <w:noProof/>
                <w:color w:val="000000" w:themeColor="text1"/>
                <w:sz w:val="14"/>
                <w:szCs w:val="14"/>
                <w:lang w:val="fr-FR"/>
              </w:rPr>
              <w:t>’</w:t>
            </w:r>
            <w:r w:rsidRPr="004C2A3C">
              <w:rPr>
                <w:b/>
                <w:bCs/>
                <w:noProof/>
                <w:color w:val="000000" w:themeColor="text1"/>
                <w:sz w:val="14"/>
                <w:szCs w:val="14"/>
                <w:lang w:val="fr-FR"/>
              </w:rPr>
              <w:t>OCDE − Méthode d</w:t>
            </w:r>
            <w:r>
              <w:rPr>
                <w:b/>
                <w:bCs/>
                <w:noProof/>
                <w:color w:val="000000" w:themeColor="text1"/>
                <w:sz w:val="14"/>
                <w:szCs w:val="14"/>
                <w:lang w:val="fr-FR"/>
              </w:rPr>
              <w:t>’</w:t>
            </w:r>
            <w:r w:rsidRPr="004C2A3C">
              <w:rPr>
                <w:b/>
                <w:bCs/>
                <w:noProof/>
                <w:color w:val="000000" w:themeColor="text1"/>
                <w:sz w:val="14"/>
                <w:szCs w:val="14"/>
                <w:lang w:val="fr-FR"/>
              </w:rPr>
              <w:t>essai Vitrigel</w:t>
            </w:r>
          </w:p>
        </w:tc>
        <w:tc>
          <w:tcPr>
            <w:tcW w:w="520" w:type="pct"/>
            <w:tcBorders>
              <w:top w:val="single" w:sz="4" w:space="0" w:color="auto"/>
              <w:left w:val="single" w:sz="4" w:space="0" w:color="auto"/>
              <w:bottom w:val="single" w:sz="4" w:space="0" w:color="auto"/>
              <w:right w:val="single" w:sz="4" w:space="0" w:color="auto"/>
            </w:tcBorders>
            <w:hideMark/>
          </w:tcPr>
          <w:p w14:paraId="7D407815" w14:textId="77777777" w:rsidR="008443E4" w:rsidRPr="004C2A3C" w:rsidRDefault="008443E4" w:rsidP="000654E6">
            <w:pPr>
              <w:spacing w:before="40" w:after="40" w:line="240" w:lineRule="auto"/>
              <w:ind w:left="57" w:right="57"/>
              <w:jc w:val="center"/>
              <w:rPr>
                <w:b/>
                <w:bCs/>
                <w:noProof/>
                <w:color w:val="000000" w:themeColor="text1"/>
                <w:sz w:val="14"/>
                <w:szCs w:val="14"/>
                <w:lang w:val="fr-FR"/>
              </w:rPr>
            </w:pPr>
            <w:bookmarkStart w:id="12" w:name="_Hlk69886218"/>
            <w:r w:rsidRPr="004C2A3C">
              <w:rPr>
                <w:b/>
                <w:bCs/>
                <w:noProof/>
                <w:color w:val="000000" w:themeColor="text1"/>
                <w:sz w:val="14"/>
                <w:szCs w:val="14"/>
                <w:lang w:val="fr-FR"/>
              </w:rPr>
              <w:t>Ligne directrice 496 de l</w:t>
            </w:r>
            <w:r>
              <w:rPr>
                <w:b/>
                <w:bCs/>
                <w:noProof/>
                <w:color w:val="000000" w:themeColor="text1"/>
                <w:sz w:val="14"/>
                <w:szCs w:val="14"/>
                <w:lang w:val="fr-FR"/>
              </w:rPr>
              <w:t>’</w:t>
            </w:r>
            <w:r w:rsidRPr="004C2A3C">
              <w:rPr>
                <w:b/>
                <w:bCs/>
                <w:noProof/>
                <w:color w:val="000000" w:themeColor="text1"/>
                <w:sz w:val="14"/>
                <w:szCs w:val="14"/>
                <w:lang w:val="fr-FR"/>
              </w:rPr>
              <w:t xml:space="preserve">OCDE − </w:t>
            </w:r>
            <w:r w:rsidRPr="004C2A3C">
              <w:rPr>
                <w:b/>
                <w:bCs/>
                <w:iCs/>
                <w:noProof/>
                <w:color w:val="000000" w:themeColor="text1"/>
                <w:sz w:val="14"/>
                <w:szCs w:val="14"/>
                <w:lang w:val="fr-FR"/>
              </w:rPr>
              <w:t>Méthode d</w:t>
            </w:r>
            <w:r>
              <w:rPr>
                <w:b/>
                <w:bCs/>
                <w:iCs/>
                <w:noProof/>
                <w:color w:val="000000" w:themeColor="text1"/>
                <w:sz w:val="14"/>
                <w:szCs w:val="14"/>
                <w:lang w:val="fr-FR"/>
              </w:rPr>
              <w:t>’</w:t>
            </w:r>
            <w:r w:rsidRPr="004C2A3C">
              <w:rPr>
                <w:b/>
                <w:bCs/>
                <w:iCs/>
                <w:noProof/>
                <w:color w:val="000000" w:themeColor="text1"/>
                <w:sz w:val="14"/>
                <w:szCs w:val="14"/>
                <w:lang w:val="fr-FR"/>
              </w:rPr>
              <w:t>essai macromoléculaire</w:t>
            </w:r>
            <w:r w:rsidRPr="004C2A3C">
              <w:rPr>
                <w:b/>
                <w:bCs/>
                <w:noProof/>
                <w:color w:val="000000" w:themeColor="text1"/>
                <w:sz w:val="14"/>
                <w:szCs w:val="14"/>
                <w:lang w:val="fr-FR"/>
              </w:rPr>
              <w:t xml:space="preserve"> </w:t>
            </w:r>
            <w:r w:rsidRPr="004C2A3C">
              <w:rPr>
                <w:b/>
                <w:bCs/>
                <w:i/>
                <w:iCs/>
                <w:noProof/>
                <w:color w:val="000000" w:themeColor="text1"/>
                <w:sz w:val="14"/>
                <w:szCs w:val="14"/>
                <w:lang w:val="fr-FR"/>
              </w:rPr>
              <w:t>in vitro</w:t>
            </w:r>
            <w:r w:rsidRPr="004C2A3C">
              <w:rPr>
                <w:b/>
                <w:bCs/>
                <w:noProof/>
                <w:color w:val="000000" w:themeColor="text1"/>
                <w:sz w:val="14"/>
                <w:szCs w:val="14"/>
                <w:lang w:val="fr-FR"/>
              </w:rPr>
              <w:t xml:space="preserve"> (méthode d</w:t>
            </w:r>
            <w:r>
              <w:rPr>
                <w:b/>
                <w:bCs/>
                <w:noProof/>
                <w:color w:val="000000" w:themeColor="text1"/>
                <w:sz w:val="14"/>
                <w:szCs w:val="14"/>
                <w:lang w:val="fr-FR"/>
              </w:rPr>
              <w:t>’</w:t>
            </w:r>
            <w:r w:rsidRPr="004C2A3C">
              <w:rPr>
                <w:b/>
                <w:bCs/>
                <w:noProof/>
                <w:color w:val="000000" w:themeColor="text1"/>
                <w:sz w:val="14"/>
                <w:szCs w:val="14"/>
                <w:lang w:val="fr-FR"/>
              </w:rPr>
              <w:t>essai 1)</w:t>
            </w:r>
            <w:bookmarkEnd w:id="12"/>
          </w:p>
        </w:tc>
      </w:tr>
      <w:tr w:rsidR="008443E4" w:rsidRPr="004562B4" w14:paraId="5A370882" w14:textId="77777777" w:rsidTr="000654E6">
        <w:tc>
          <w:tcPr>
            <w:tcW w:w="2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A268F82" w14:textId="77777777" w:rsidR="008443E4" w:rsidRPr="004C2A3C" w:rsidRDefault="008443E4" w:rsidP="000654E6">
            <w:pPr>
              <w:spacing w:before="60" w:after="60" w:line="200" w:lineRule="atLeast"/>
              <w:ind w:left="57" w:right="57"/>
              <w:contextualSpacing/>
              <w:jc w:val="center"/>
              <w:rPr>
                <w:rFonts w:eastAsia="Calibri"/>
                <w:b/>
                <w:bCs/>
                <w:noProof/>
                <w:color w:val="000000" w:themeColor="text1"/>
                <w:sz w:val="14"/>
                <w:szCs w:val="14"/>
                <w:lang w:val="fr-FR"/>
              </w:rPr>
            </w:pPr>
          </w:p>
        </w:tc>
        <w:tc>
          <w:tcPr>
            <w:tcW w:w="710"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45C5CF8" w14:textId="77777777" w:rsidR="008443E4" w:rsidRPr="004C2A3C" w:rsidRDefault="008443E4" w:rsidP="000654E6">
            <w:pPr>
              <w:spacing w:before="60" w:after="60" w:line="200" w:lineRule="atLeast"/>
              <w:ind w:left="57" w:right="57"/>
              <w:rPr>
                <w:rFonts w:eastAsia="Calibri"/>
                <w:bCs/>
                <w:noProof/>
                <w:color w:val="000000" w:themeColor="text1"/>
                <w:sz w:val="14"/>
                <w:szCs w:val="14"/>
                <w:lang w:val="fr-FR"/>
              </w:rPr>
            </w:pPr>
            <w:bookmarkStart w:id="13" w:name="OLE_LINK8"/>
            <w:r w:rsidRPr="004C2A3C">
              <w:rPr>
                <w:rFonts w:eastAsia="Calibri"/>
                <w:bCs/>
                <w:noProof/>
                <w:color w:val="000000" w:themeColor="text1"/>
                <w:sz w:val="14"/>
                <w:szCs w:val="14"/>
                <w:lang w:val="fr-FR"/>
              </w:rPr>
              <w:t xml:space="preserve">Essai organotypique </w:t>
            </w:r>
            <w:r w:rsidRPr="004C2A3C">
              <w:rPr>
                <w:rFonts w:eastAsia="Calibri"/>
                <w:bCs/>
                <w:i/>
                <w:noProof/>
                <w:color w:val="000000" w:themeColor="text1"/>
                <w:sz w:val="14"/>
                <w:szCs w:val="14"/>
                <w:lang w:val="fr-FR"/>
              </w:rPr>
              <w:t>ex vivo</w:t>
            </w:r>
            <w:r w:rsidRPr="004C2A3C">
              <w:rPr>
                <w:rFonts w:eastAsia="Calibri"/>
                <w:bCs/>
                <w:noProof/>
                <w:color w:val="000000" w:themeColor="text1"/>
                <w:sz w:val="14"/>
                <w:szCs w:val="14"/>
                <w:lang w:val="fr-FR"/>
              </w:rPr>
              <w:t xml:space="preserve"> portant sur des cornées isolées provenant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 xml:space="preserve">yeux de bovins récemment abattus. </w:t>
            </w:r>
            <w:bookmarkEnd w:id="13"/>
            <w:r w:rsidRPr="004C2A3C">
              <w:rPr>
                <w:rFonts w:eastAsia="Calibri"/>
                <w:bCs/>
                <w:noProof/>
                <w:color w:val="000000" w:themeColor="text1"/>
                <w:sz w:val="14"/>
                <w:szCs w:val="14"/>
                <w:lang w:val="fr-FR"/>
              </w:rPr>
              <w:t xml:space="preserve">Les produits </w:t>
            </w:r>
            <w:r w:rsidRPr="004C2A3C">
              <w:rPr>
                <w:sz w:val="14"/>
                <w:szCs w:val="14"/>
              </w:rPr>
              <w:t>chimiques</w:t>
            </w:r>
            <w:r w:rsidRPr="004C2A3C">
              <w:rPr>
                <w:rFonts w:eastAsia="Calibri"/>
                <w:bCs/>
                <w:noProof/>
                <w:color w:val="000000" w:themeColor="text1"/>
                <w:sz w:val="14"/>
                <w:szCs w:val="14"/>
                <w:lang w:val="fr-FR"/>
              </w:rPr>
              <w:t xml:space="preserve"> testés sont appliqués sur la surface épithéliale de la cornée. Les dommages causés par le produit chimique testé sont évalués par des mesures quantitatives :</w:t>
            </w:r>
          </w:p>
          <w:p w14:paraId="266781C5" w14:textId="77777777" w:rsidR="008443E4" w:rsidRPr="004C2A3C" w:rsidRDefault="008443E4" w:rsidP="000654E6">
            <w:pPr>
              <w:tabs>
                <w:tab w:val="left" w:pos="284"/>
              </w:tabs>
              <w:spacing w:before="60" w:after="60" w:line="200" w:lineRule="atLeast"/>
              <w:ind w:left="57" w:right="57"/>
              <w:rPr>
                <w:rFonts w:eastAsia="Calibri"/>
                <w:bCs/>
                <w:noProof/>
                <w:color w:val="000000" w:themeColor="text1"/>
                <w:sz w:val="14"/>
                <w:szCs w:val="14"/>
                <w:lang w:val="fr-FR"/>
              </w:rPr>
            </w:pPr>
            <w:r w:rsidRPr="004C2A3C">
              <w:rPr>
                <w:rFonts w:eastAsia="Calibri"/>
                <w:bCs/>
                <w:noProof/>
                <w:color w:val="000000" w:themeColor="text1"/>
                <w:sz w:val="14"/>
                <w:szCs w:val="14"/>
                <w:lang w:val="fr-FR"/>
              </w:rPr>
              <w:t>-</w:t>
            </w:r>
            <w:r w:rsidRPr="004C2A3C">
              <w:rPr>
                <w:rFonts w:eastAsia="Calibri"/>
                <w:bCs/>
                <w:noProof/>
                <w:color w:val="000000" w:themeColor="text1"/>
                <w:sz w:val="14"/>
                <w:szCs w:val="14"/>
                <w:lang w:val="fr-FR"/>
              </w:rPr>
              <w:tab/>
              <w:t xml:space="preserve">Des </w:t>
            </w:r>
            <w:r w:rsidRPr="004C2A3C">
              <w:rPr>
                <w:sz w:val="14"/>
                <w:szCs w:val="14"/>
              </w:rPr>
              <w:t>modifications</w:t>
            </w:r>
            <w:r w:rsidRPr="004C2A3C">
              <w:rPr>
                <w:rFonts w:eastAsia="Calibri"/>
                <w:bCs/>
                <w:noProof/>
                <w:color w:val="000000" w:themeColor="text1"/>
                <w:sz w:val="14"/>
                <w:szCs w:val="14"/>
                <w:lang w:val="fr-FR"/>
              </w:rPr>
              <w:t xml:space="preserve"> de l</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opacité de la cornée, à l</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aide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un opacimètre classique (opacimètre 1) ou à laser (opacimètre 2) ;</w:t>
            </w:r>
          </w:p>
          <w:p w14:paraId="6BEA16B7" w14:textId="77777777" w:rsidR="008443E4" w:rsidRPr="004C2A3C" w:rsidRDefault="008443E4" w:rsidP="000654E6">
            <w:pPr>
              <w:tabs>
                <w:tab w:val="left" w:pos="284"/>
              </w:tabs>
              <w:spacing w:before="60" w:after="60" w:line="200" w:lineRule="atLeast"/>
              <w:ind w:left="57" w:right="57"/>
              <w:rPr>
                <w:rFonts w:eastAsia="Calibri"/>
                <w:bCs/>
                <w:noProof/>
                <w:color w:val="000000" w:themeColor="text1"/>
                <w:sz w:val="14"/>
                <w:szCs w:val="14"/>
                <w:lang w:val="fr-FR"/>
              </w:rPr>
            </w:pPr>
            <w:r w:rsidRPr="004C2A3C">
              <w:rPr>
                <w:rFonts w:eastAsia="Calibri"/>
                <w:bCs/>
                <w:noProof/>
                <w:color w:val="000000" w:themeColor="text1"/>
                <w:sz w:val="14"/>
                <w:szCs w:val="14"/>
                <w:lang w:val="fr-FR"/>
              </w:rPr>
              <w:t>-</w:t>
            </w:r>
            <w:r w:rsidRPr="004C2A3C">
              <w:rPr>
                <w:rFonts w:eastAsia="Calibri"/>
                <w:bCs/>
                <w:noProof/>
                <w:color w:val="000000" w:themeColor="text1"/>
                <w:sz w:val="14"/>
                <w:szCs w:val="14"/>
                <w:lang w:val="fr-FR"/>
              </w:rPr>
              <w:tab/>
              <w:t xml:space="preserve">Des </w:t>
            </w:r>
            <w:r w:rsidRPr="004C2A3C">
              <w:rPr>
                <w:sz w:val="14"/>
                <w:szCs w:val="14"/>
              </w:rPr>
              <w:t>modifications</w:t>
            </w:r>
            <w:r w:rsidRPr="004C2A3C">
              <w:rPr>
                <w:rFonts w:eastAsia="Calibri"/>
                <w:bCs/>
                <w:noProof/>
                <w:color w:val="000000" w:themeColor="text1"/>
                <w:sz w:val="14"/>
                <w:szCs w:val="14"/>
                <w:lang w:val="fr-FR"/>
              </w:rPr>
              <w:t xml:space="preserve"> de la perméabilité de la cornée (au moyen de fluorescéine sodique).</w:t>
            </w:r>
          </w:p>
          <w:p w14:paraId="0E765482" w14:textId="77777777" w:rsidR="008443E4" w:rsidRPr="004C2A3C" w:rsidRDefault="008443E4" w:rsidP="000654E6">
            <w:pPr>
              <w:spacing w:before="60" w:after="60" w:line="200" w:lineRule="atLeast"/>
              <w:ind w:left="57" w:right="57"/>
              <w:rPr>
                <w:rFonts w:eastAsia="Calibri"/>
                <w:b/>
                <w:bCs/>
                <w:noProof/>
                <w:color w:val="000000" w:themeColor="text1"/>
                <w:sz w:val="14"/>
                <w:szCs w:val="14"/>
                <w:lang w:val="fr-FR"/>
              </w:rPr>
            </w:pPr>
            <w:r w:rsidRPr="004C2A3C">
              <w:rPr>
                <w:rFonts w:eastAsia="Calibri"/>
                <w:bCs/>
                <w:noProof/>
                <w:color w:val="000000" w:themeColor="text1"/>
                <w:sz w:val="14"/>
                <w:szCs w:val="14"/>
                <w:lang w:val="fr-FR"/>
              </w:rPr>
              <w:t xml:space="preserve">Les deux mesures servent à déterminer </w:t>
            </w:r>
            <w:bookmarkStart w:id="14" w:name="OLE_LINK9"/>
            <w:r w:rsidRPr="004C2A3C">
              <w:rPr>
                <w:rFonts w:eastAsia="Calibri"/>
                <w:bCs/>
                <w:noProof/>
                <w:color w:val="000000" w:themeColor="text1"/>
                <w:sz w:val="14"/>
                <w:szCs w:val="14"/>
                <w:lang w:val="fr-FR"/>
              </w:rPr>
              <w:t>le score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 xml:space="preserve">irritation </w:t>
            </w:r>
            <w:r w:rsidRPr="004C2A3C">
              <w:rPr>
                <w:rFonts w:eastAsia="Calibri"/>
                <w:bCs/>
                <w:i/>
                <w:noProof/>
                <w:color w:val="000000" w:themeColor="text1"/>
                <w:sz w:val="14"/>
                <w:szCs w:val="14"/>
                <w:lang w:val="fr-FR"/>
              </w:rPr>
              <w:t>in vitro</w:t>
            </w:r>
            <w:r w:rsidRPr="004C2A3C">
              <w:rPr>
                <w:rFonts w:eastAsia="Calibri"/>
                <w:bCs/>
                <w:noProof/>
                <w:color w:val="000000" w:themeColor="text1"/>
                <w:sz w:val="14"/>
                <w:szCs w:val="14"/>
                <w:lang w:val="fr-FR"/>
              </w:rPr>
              <w:t xml:space="preserve"> </w:t>
            </w:r>
            <w:bookmarkEnd w:id="14"/>
            <w:r w:rsidRPr="004C2A3C">
              <w:rPr>
                <w:rFonts w:eastAsia="Calibri"/>
                <w:bCs/>
                <w:noProof/>
                <w:color w:val="000000" w:themeColor="text1"/>
                <w:sz w:val="14"/>
                <w:szCs w:val="14"/>
                <w:lang w:val="fr-FR"/>
              </w:rPr>
              <w:t>(IVIS) lorsqu</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on utilise l</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opacimètre 1, ou le score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irritation LLBO (LIS) lorsqu</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on utilise l</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opacimètre 2.</w:t>
            </w:r>
          </w:p>
          <w:p w14:paraId="6C94B399" w14:textId="77777777" w:rsidR="008443E4" w:rsidRPr="004C2A3C" w:rsidRDefault="008443E4" w:rsidP="000654E6">
            <w:pPr>
              <w:spacing w:before="60" w:after="60" w:line="200" w:lineRule="atLeast"/>
              <w:ind w:left="57" w:right="57"/>
              <w:rPr>
                <w:rFonts w:eastAsia="Calibri"/>
                <w:b/>
                <w:bCs/>
                <w:noProof/>
                <w:color w:val="000000" w:themeColor="text1"/>
                <w:sz w:val="14"/>
                <w:szCs w:val="14"/>
                <w:lang w:val="fr-FR"/>
              </w:rPr>
            </w:pPr>
            <w:r w:rsidRPr="004C2A3C">
              <w:rPr>
                <w:rFonts w:eastAsia="Calibri"/>
                <w:b/>
                <w:bCs/>
                <w:noProof/>
                <w:color w:val="000000" w:themeColor="text1"/>
                <w:sz w:val="14"/>
                <w:szCs w:val="14"/>
                <w:lang w:val="fr-FR"/>
              </w:rPr>
              <w:t xml:space="preserve">Critères </w:t>
            </w:r>
            <w:r w:rsidRPr="004C2A3C">
              <w:rPr>
                <w:b/>
                <w:bCs/>
                <w:sz w:val="14"/>
                <w:szCs w:val="14"/>
              </w:rPr>
              <w:t>fondés</w:t>
            </w:r>
            <w:r w:rsidRPr="004C2A3C">
              <w:rPr>
                <w:rFonts w:eastAsia="Calibri"/>
                <w:b/>
                <w:bCs/>
                <w:noProof/>
                <w:color w:val="000000" w:themeColor="text1"/>
                <w:sz w:val="14"/>
                <w:szCs w:val="14"/>
                <w:lang w:val="fr-FR"/>
              </w:rPr>
              <w:t xml:space="preserve"> sur le score IVIS ou LIS.</w:t>
            </w:r>
          </w:p>
        </w:tc>
        <w:tc>
          <w:tcPr>
            <w:tcW w:w="605" w:type="pct"/>
            <w:tcBorders>
              <w:top w:val="single" w:sz="4" w:space="0" w:color="auto"/>
              <w:left w:val="single" w:sz="4" w:space="0" w:color="auto"/>
              <w:bottom w:val="single" w:sz="4" w:space="0" w:color="auto"/>
              <w:right w:val="single" w:sz="4" w:space="0" w:color="auto"/>
            </w:tcBorders>
            <w:hideMark/>
          </w:tcPr>
          <w:p w14:paraId="1FBAF383" w14:textId="77777777" w:rsidR="008443E4" w:rsidRPr="003F1C55" w:rsidRDefault="008443E4" w:rsidP="000654E6">
            <w:pPr>
              <w:spacing w:before="60" w:after="60" w:line="200" w:lineRule="atLeast"/>
              <w:ind w:left="57" w:right="57"/>
              <w:rPr>
                <w:rFonts w:eastAsia="Calibri"/>
                <w:bCs/>
                <w:noProof/>
                <w:color w:val="000000" w:themeColor="text1"/>
                <w:spacing w:val="-1"/>
                <w:sz w:val="14"/>
                <w:szCs w:val="14"/>
                <w:lang w:val="fr-FR"/>
              </w:rPr>
            </w:pPr>
            <w:r w:rsidRPr="003F1C55">
              <w:rPr>
                <w:rFonts w:eastAsia="Calibri"/>
                <w:bCs/>
                <w:noProof/>
                <w:color w:val="000000" w:themeColor="text1"/>
                <w:spacing w:val="-1"/>
                <w:sz w:val="14"/>
                <w:szCs w:val="14"/>
                <w:lang w:val="fr-FR"/>
              </w:rPr>
              <w:t xml:space="preserve">Essai organotypique </w:t>
            </w:r>
            <w:r w:rsidRPr="003F1C55">
              <w:rPr>
                <w:rFonts w:eastAsia="Calibri"/>
                <w:bCs/>
                <w:i/>
                <w:noProof/>
                <w:color w:val="000000" w:themeColor="text1"/>
                <w:spacing w:val="-1"/>
                <w:sz w:val="14"/>
                <w:szCs w:val="14"/>
                <w:lang w:val="fr-FR"/>
              </w:rPr>
              <w:t>ex vivo</w:t>
            </w:r>
            <w:r w:rsidRPr="003F1C55">
              <w:rPr>
                <w:rFonts w:eastAsia="Calibri"/>
                <w:bCs/>
                <w:noProof/>
                <w:color w:val="000000" w:themeColor="text1"/>
                <w:spacing w:val="-1"/>
                <w:sz w:val="14"/>
                <w:szCs w:val="14"/>
                <w:lang w:val="fr-FR"/>
              </w:rPr>
              <w:t xml:space="preserve"> consistant à conserver des yeux de poulet </w:t>
            </w:r>
            <w:r w:rsidRPr="003F1C55">
              <w:rPr>
                <w:rFonts w:eastAsia="Calibri"/>
                <w:bCs/>
                <w:i/>
                <w:noProof/>
                <w:color w:val="000000" w:themeColor="text1"/>
                <w:spacing w:val="-1"/>
                <w:sz w:val="14"/>
                <w:szCs w:val="14"/>
                <w:lang w:val="fr-FR"/>
              </w:rPr>
              <w:t>in vitro</w:t>
            </w:r>
            <w:r w:rsidRPr="003F1C55">
              <w:rPr>
                <w:rFonts w:eastAsia="Calibri"/>
                <w:bCs/>
                <w:noProof/>
                <w:color w:val="000000" w:themeColor="text1"/>
                <w:spacing w:val="-1"/>
                <w:sz w:val="14"/>
                <w:szCs w:val="14"/>
                <w:lang w:val="fr-FR"/>
              </w:rPr>
              <w:t xml:space="preserve"> durant une brève période. Les produits chimiques testés sont appliqués sur la surface épithéliale de la cornée. Les dommages causés par le produit chimique testé sont évalués par : i) une mesure quantitative de l’augmentation de l’épaisseur de la cornée (gonflement) ; ii) une mesure </w:t>
            </w:r>
            <w:r w:rsidRPr="003F1C55">
              <w:rPr>
                <w:spacing w:val="-1"/>
                <w:sz w:val="14"/>
                <w:szCs w:val="14"/>
              </w:rPr>
              <w:t>qualitative</w:t>
            </w:r>
            <w:r w:rsidRPr="003F1C55">
              <w:rPr>
                <w:rFonts w:eastAsia="Calibri"/>
                <w:bCs/>
                <w:noProof/>
                <w:color w:val="000000" w:themeColor="text1"/>
                <w:spacing w:val="-1"/>
                <w:sz w:val="14"/>
                <w:szCs w:val="14"/>
                <w:lang w:val="fr-FR"/>
              </w:rPr>
              <w:t xml:space="preserve"> de l’opacité de la cornée ; iii) une mesure qualitative des dommages causés à l’épithélium, par application de fluorescéine sur l’œil ; et iv) une évaluation qualitative des dommages morphologiques macroscopiques causés à la surface. Un examen histopathologique peut être utilisé pour accroître la sensibilité de la méthode en vue d’identifier les détergents et surfactants de la Catégorie 1 à pH non extrême </w:t>
            </w:r>
            <w:r w:rsidRPr="003F1C55">
              <w:rPr>
                <w:rFonts w:eastAsia="Calibri"/>
                <w:bCs/>
                <w:noProof/>
                <w:color w:val="000000" w:themeColor="text1"/>
                <w:spacing w:val="-1"/>
                <w:sz w:val="14"/>
                <w:szCs w:val="14"/>
                <w:lang w:val="fr-FR"/>
              </w:rPr>
              <w:br/>
              <w:t>(2 &lt; pH &lt; 11,5)</w:t>
            </w:r>
            <w:r w:rsidRPr="003F1C55">
              <w:rPr>
                <w:rFonts w:eastAsia="Calibri"/>
                <w:bCs/>
                <w:i/>
                <w:iCs/>
                <w:noProof/>
                <w:color w:val="000000" w:themeColor="text1"/>
                <w:spacing w:val="-1"/>
                <w:sz w:val="14"/>
                <w:szCs w:val="14"/>
                <w:vertAlign w:val="superscript"/>
                <w:lang w:val="fr-FR"/>
              </w:rPr>
              <w:t>b</w:t>
            </w:r>
            <w:r w:rsidRPr="003F1C55">
              <w:rPr>
                <w:rFonts w:eastAsia="Calibri"/>
                <w:bCs/>
                <w:noProof/>
                <w:color w:val="000000" w:themeColor="text1"/>
                <w:spacing w:val="-1"/>
                <w:sz w:val="14"/>
                <w:szCs w:val="14"/>
                <w:lang w:val="fr-FR"/>
              </w:rPr>
              <w:t>.</w:t>
            </w:r>
          </w:p>
          <w:p w14:paraId="621CB70A" w14:textId="77777777" w:rsidR="008443E4" w:rsidRPr="003F1C55" w:rsidRDefault="008443E4" w:rsidP="000654E6">
            <w:pPr>
              <w:spacing w:before="60" w:after="60" w:line="200" w:lineRule="atLeast"/>
              <w:ind w:left="57" w:right="57"/>
              <w:rPr>
                <w:rFonts w:eastAsia="Calibri"/>
                <w:b/>
                <w:bCs/>
                <w:noProof/>
                <w:color w:val="000000" w:themeColor="text1"/>
                <w:spacing w:val="-1"/>
                <w:sz w:val="14"/>
                <w:szCs w:val="14"/>
                <w:lang w:val="fr-FR"/>
              </w:rPr>
            </w:pPr>
            <w:r w:rsidRPr="003F1C55">
              <w:rPr>
                <w:rFonts w:eastAsia="Calibri"/>
                <w:b/>
                <w:bCs/>
                <w:noProof/>
                <w:color w:val="000000" w:themeColor="text1"/>
                <w:spacing w:val="-1"/>
                <w:sz w:val="14"/>
                <w:szCs w:val="14"/>
                <w:lang w:val="fr-FR"/>
              </w:rPr>
              <w:t>Critères fondés sur les scores obtenus pour le gonflement de la cornée, l’opacité et la rétention de fluorescéine, lesquels servent à attribuer une classe OPI (I, II, III ou IV) à chaque critère terminal, et sur une évaluation macroscopique et histopathologique</w:t>
            </w:r>
            <w:r w:rsidRPr="003F1C55">
              <w:rPr>
                <w:rFonts w:eastAsia="Calibri"/>
                <w:b/>
                <w:bCs/>
                <w:i/>
                <w:iCs/>
                <w:noProof/>
                <w:color w:val="000000" w:themeColor="text1"/>
                <w:spacing w:val="-1"/>
                <w:sz w:val="14"/>
                <w:szCs w:val="14"/>
                <w:vertAlign w:val="superscript"/>
                <w:lang w:val="fr-FR"/>
              </w:rPr>
              <w:t>b</w:t>
            </w:r>
            <w:r w:rsidRPr="003F1C55">
              <w:rPr>
                <w:b/>
                <w:bCs/>
                <w:spacing w:val="-1"/>
                <w:sz w:val="14"/>
                <w:szCs w:val="14"/>
              </w:rPr>
              <w:t>.</w:t>
            </w:r>
          </w:p>
        </w:tc>
        <w:tc>
          <w:tcPr>
            <w:tcW w:w="605" w:type="pct"/>
            <w:tcBorders>
              <w:top w:val="single" w:sz="4" w:space="0" w:color="auto"/>
              <w:left w:val="single" w:sz="4" w:space="0" w:color="auto"/>
              <w:bottom w:val="single" w:sz="4" w:space="0" w:color="auto"/>
              <w:right w:val="single" w:sz="4" w:space="0" w:color="auto"/>
            </w:tcBorders>
            <w:hideMark/>
          </w:tcPr>
          <w:p w14:paraId="02A6DB4B" w14:textId="77777777" w:rsidR="008443E4" w:rsidRPr="004C2A3C" w:rsidRDefault="008443E4" w:rsidP="000654E6">
            <w:pPr>
              <w:spacing w:before="60" w:after="60" w:line="200" w:lineRule="atLeast"/>
              <w:ind w:left="57" w:right="57"/>
              <w:rPr>
                <w:rFonts w:eastAsia="Calibri"/>
                <w:b/>
                <w:bCs/>
                <w:noProof/>
                <w:color w:val="000000" w:themeColor="text1"/>
                <w:sz w:val="14"/>
                <w:szCs w:val="14"/>
                <w:lang w:val="fr-FR"/>
              </w:rPr>
            </w:pPr>
            <w:r w:rsidRPr="004C2A3C">
              <w:rPr>
                <w:rFonts w:eastAsia="Calibri"/>
                <w:bCs/>
                <w:noProof/>
                <w:color w:val="000000" w:themeColor="text1"/>
                <w:sz w:val="14"/>
                <w:szCs w:val="14"/>
                <w:lang w:val="fr-FR"/>
              </w:rPr>
              <w:t xml:space="preserve">Essai </w:t>
            </w:r>
            <w:r w:rsidRPr="004C2A3C">
              <w:rPr>
                <w:rFonts w:eastAsia="Calibri"/>
                <w:bCs/>
                <w:i/>
                <w:iCs/>
                <w:noProof/>
                <w:color w:val="000000" w:themeColor="text1"/>
                <w:sz w:val="14"/>
                <w:szCs w:val="14"/>
                <w:lang w:val="fr-FR"/>
              </w:rPr>
              <w:t>in vitro</w:t>
            </w:r>
            <w:r w:rsidRPr="004C2A3C">
              <w:rPr>
                <w:rFonts w:eastAsia="Calibri"/>
                <w:bCs/>
                <w:noProof/>
                <w:color w:val="000000" w:themeColor="text1"/>
                <w:sz w:val="14"/>
                <w:szCs w:val="14"/>
                <w:lang w:val="fr-FR"/>
              </w:rPr>
              <w:t xml:space="preserve"> fondé sur des paramètres de cytotoxicité et de fonctionnement cellulaire, réalisé sur une monocouche confluente de cellules épithéliales tubulaires MDCK CB997 cultivées sur des inserts perméables. Les effets toxiques du produit chimique testé induits après un court temps </w:t>
            </w:r>
            <w:r w:rsidRPr="004C2A3C">
              <w:rPr>
                <w:sz w:val="14"/>
                <w:szCs w:val="14"/>
              </w:rPr>
              <w:t>d</w:t>
            </w:r>
            <w:r>
              <w:rPr>
                <w:sz w:val="14"/>
                <w:szCs w:val="14"/>
              </w:rPr>
              <w:t>’</w:t>
            </w:r>
            <w:r w:rsidRPr="004C2A3C">
              <w:rPr>
                <w:sz w:val="14"/>
                <w:szCs w:val="14"/>
              </w:rPr>
              <w:t>exposition</w:t>
            </w:r>
            <w:r w:rsidRPr="004C2A3C">
              <w:rPr>
                <w:rFonts w:eastAsia="Calibri"/>
                <w:bCs/>
                <w:noProof/>
                <w:color w:val="000000" w:themeColor="text1"/>
                <w:sz w:val="14"/>
                <w:szCs w:val="14"/>
                <w:lang w:val="fr-FR"/>
              </w:rPr>
              <w:t xml:space="preserve"> (1 minute) à la substance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essai sont mesurés en déterminant l</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augmentation de la perméabilité à la fluorescéine-sodium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une monocouche épithéliale de cellules MDCK. La quantité de fluorescéine qui se diffuse est proportionnelle aux lésions provoquées par le produit chimique testé sur les jonctions serrées, les desmosomes et les cellules membranaires, et permet ainsi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estimer sa toxicité potentielle pour l</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oeil.</w:t>
            </w:r>
          </w:p>
          <w:p w14:paraId="56378BDC" w14:textId="77777777" w:rsidR="008443E4" w:rsidRPr="004C2A3C" w:rsidRDefault="008443E4" w:rsidP="000654E6">
            <w:pPr>
              <w:keepLines/>
              <w:spacing w:before="60" w:after="60" w:line="200" w:lineRule="atLeast"/>
              <w:ind w:left="57" w:right="57"/>
              <w:rPr>
                <w:rFonts w:eastAsia="Calibri"/>
                <w:b/>
                <w:bCs/>
                <w:noProof/>
                <w:color w:val="000000" w:themeColor="text1"/>
                <w:sz w:val="14"/>
                <w:szCs w:val="14"/>
                <w:lang w:val="fr-FR"/>
              </w:rPr>
            </w:pPr>
            <w:r w:rsidRPr="004C2A3C">
              <w:rPr>
                <w:rFonts w:eastAsia="Calibri"/>
                <w:b/>
                <w:bCs/>
                <w:noProof/>
                <w:color w:val="000000" w:themeColor="text1"/>
                <w:sz w:val="14"/>
                <w:szCs w:val="14"/>
                <w:lang w:val="fr-FR"/>
              </w:rPr>
              <w:t>Critères fondés sur la diffusion de fluorescéine moyenne en pourcentage à l</w:t>
            </w:r>
            <w:r>
              <w:rPr>
                <w:rFonts w:eastAsia="Calibri"/>
                <w:b/>
                <w:bCs/>
                <w:noProof/>
                <w:color w:val="000000" w:themeColor="text1"/>
                <w:sz w:val="14"/>
                <w:szCs w:val="14"/>
                <w:lang w:val="fr-FR"/>
              </w:rPr>
              <w:t>’</w:t>
            </w:r>
            <w:r w:rsidRPr="004C2A3C">
              <w:rPr>
                <w:rFonts w:eastAsia="Calibri"/>
                <w:b/>
                <w:bCs/>
                <w:noProof/>
                <w:color w:val="000000" w:themeColor="text1"/>
                <w:sz w:val="14"/>
                <w:szCs w:val="14"/>
                <w:lang w:val="fr-FR"/>
              </w:rPr>
              <w:t>issue d</w:t>
            </w:r>
            <w:r>
              <w:rPr>
                <w:rFonts w:eastAsia="Calibri"/>
                <w:b/>
                <w:bCs/>
                <w:noProof/>
                <w:color w:val="000000" w:themeColor="text1"/>
                <w:sz w:val="14"/>
                <w:szCs w:val="14"/>
                <w:lang w:val="fr-FR"/>
              </w:rPr>
              <w:t>’</w:t>
            </w:r>
            <w:r w:rsidRPr="004C2A3C">
              <w:rPr>
                <w:rFonts w:eastAsia="Calibri"/>
                <w:b/>
                <w:bCs/>
                <w:noProof/>
                <w:color w:val="000000" w:themeColor="text1"/>
                <w:sz w:val="14"/>
                <w:szCs w:val="14"/>
                <w:lang w:val="fr-FR"/>
              </w:rPr>
              <w:t>une période d</w:t>
            </w:r>
            <w:r>
              <w:rPr>
                <w:rFonts w:eastAsia="Calibri"/>
                <w:b/>
                <w:bCs/>
                <w:noProof/>
                <w:color w:val="000000" w:themeColor="text1"/>
                <w:sz w:val="14"/>
                <w:szCs w:val="14"/>
                <w:lang w:val="fr-FR"/>
              </w:rPr>
              <w:t>’</w:t>
            </w:r>
            <w:r w:rsidRPr="004C2A3C">
              <w:rPr>
                <w:rFonts w:eastAsia="Calibri"/>
                <w:b/>
                <w:bCs/>
                <w:noProof/>
                <w:color w:val="000000" w:themeColor="text1"/>
                <w:sz w:val="14"/>
                <w:szCs w:val="14"/>
                <w:lang w:val="fr-FR"/>
              </w:rPr>
              <w:t>exposition donnée.</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BFD58EF" w14:textId="77777777" w:rsidR="008443E4" w:rsidRPr="004C2A3C" w:rsidRDefault="008443E4" w:rsidP="000654E6">
            <w:pPr>
              <w:spacing w:before="60" w:after="60" w:line="200" w:lineRule="atLeast"/>
              <w:ind w:left="57" w:right="57"/>
              <w:rPr>
                <w:color w:val="000000" w:themeColor="text1"/>
                <w:sz w:val="14"/>
                <w:szCs w:val="14"/>
                <w:lang w:val="fr-FR"/>
              </w:rPr>
            </w:pPr>
            <w:r w:rsidRPr="004C2A3C">
              <w:rPr>
                <w:rFonts w:eastAsia="Calibri"/>
                <w:bCs/>
                <w:noProof/>
                <w:color w:val="000000" w:themeColor="text1"/>
                <w:sz w:val="14"/>
                <w:szCs w:val="14"/>
                <w:lang w:val="fr-FR"/>
              </w:rPr>
              <w:t xml:space="preserve">Essai </w:t>
            </w:r>
            <w:r w:rsidRPr="004C2A3C">
              <w:rPr>
                <w:rFonts w:eastAsia="Calibri"/>
                <w:bCs/>
                <w:i/>
                <w:noProof/>
                <w:color w:val="000000" w:themeColor="text1"/>
                <w:sz w:val="14"/>
                <w:szCs w:val="14"/>
                <w:lang w:val="fr-FR"/>
              </w:rPr>
              <w:t>in vitro</w:t>
            </w:r>
            <w:r w:rsidRPr="004C2A3C">
              <w:rPr>
                <w:rFonts w:eastAsia="Calibri"/>
                <w:bCs/>
                <w:noProof/>
                <w:color w:val="000000" w:themeColor="text1"/>
                <w:sz w:val="14"/>
                <w:szCs w:val="14"/>
                <w:lang w:val="fr-FR"/>
              </w:rPr>
              <w:t xml:space="preserve"> de cytotoxicité, réalisé sur une monocouche confluente de fibroblastes de cornée de lapin du Statens Seruminstitut (SIRC). Chaque produit chimique soumis à l</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 xml:space="preserve">essai est testé aux concentrations de 5 % et de 0,05 %. Après 5 minutes </w:t>
            </w:r>
            <w:r w:rsidRPr="004C2A3C">
              <w:rPr>
                <w:sz w:val="14"/>
                <w:szCs w:val="14"/>
              </w:rPr>
              <w:t>d</w:t>
            </w:r>
            <w:r>
              <w:rPr>
                <w:sz w:val="14"/>
                <w:szCs w:val="14"/>
              </w:rPr>
              <w:t>’</w:t>
            </w:r>
            <w:r w:rsidRPr="004C2A3C">
              <w:rPr>
                <w:sz w:val="14"/>
                <w:szCs w:val="14"/>
              </w:rPr>
              <w:t>exposition</w:t>
            </w:r>
            <w:r w:rsidRPr="004C2A3C">
              <w:rPr>
                <w:rFonts w:eastAsia="Calibri"/>
                <w:bCs/>
                <w:noProof/>
                <w:color w:val="000000" w:themeColor="text1"/>
                <w:sz w:val="14"/>
                <w:szCs w:val="14"/>
                <w:lang w:val="fr-FR"/>
              </w:rPr>
              <w:t>, on évalue la viabilité cellulaire par un dosage quantitatif des cristaux de formazan bleu extraits des cellules et produits par les cellules vivantes lors de la conversion enzymatique du colorant vital MTT.</w:t>
            </w:r>
          </w:p>
          <w:p w14:paraId="3149836B" w14:textId="77777777" w:rsidR="008443E4" w:rsidRPr="004C2A3C" w:rsidRDefault="008443E4" w:rsidP="000654E6">
            <w:pPr>
              <w:spacing w:before="60" w:after="60" w:line="200" w:lineRule="atLeast"/>
              <w:ind w:left="57" w:right="57"/>
              <w:rPr>
                <w:b/>
                <w:bCs/>
                <w:color w:val="000000" w:themeColor="text1"/>
                <w:sz w:val="14"/>
                <w:szCs w:val="14"/>
                <w:lang w:val="fr-FR"/>
              </w:rPr>
            </w:pPr>
            <w:r w:rsidRPr="004C2A3C">
              <w:rPr>
                <w:rFonts w:eastAsia="Calibri"/>
                <w:b/>
                <w:bCs/>
                <w:noProof/>
                <w:color w:val="000000" w:themeColor="text1"/>
                <w:sz w:val="14"/>
                <w:szCs w:val="14"/>
                <w:lang w:val="fr-FR"/>
              </w:rPr>
              <w:t>Critères fondés sur la viabilité cellulaire moyenne en pourcentage à l</w:t>
            </w:r>
            <w:r>
              <w:rPr>
                <w:rFonts w:eastAsia="Calibri"/>
                <w:b/>
                <w:bCs/>
                <w:noProof/>
                <w:color w:val="000000" w:themeColor="text1"/>
                <w:sz w:val="14"/>
                <w:szCs w:val="14"/>
                <w:lang w:val="fr-FR"/>
              </w:rPr>
              <w:t>’</w:t>
            </w:r>
            <w:r w:rsidRPr="004C2A3C">
              <w:rPr>
                <w:rFonts w:eastAsia="Calibri"/>
                <w:b/>
                <w:bCs/>
                <w:noProof/>
                <w:color w:val="000000" w:themeColor="text1"/>
                <w:sz w:val="14"/>
                <w:szCs w:val="14"/>
                <w:lang w:val="fr-FR"/>
              </w:rPr>
              <w:t>issue d</w:t>
            </w:r>
            <w:r>
              <w:rPr>
                <w:rFonts w:eastAsia="Calibri"/>
                <w:b/>
                <w:bCs/>
                <w:noProof/>
                <w:color w:val="000000" w:themeColor="text1"/>
                <w:sz w:val="14"/>
                <w:szCs w:val="14"/>
                <w:lang w:val="fr-FR"/>
              </w:rPr>
              <w:t>’</w:t>
            </w:r>
            <w:r w:rsidRPr="004C2A3C">
              <w:rPr>
                <w:rFonts w:eastAsia="Calibri"/>
                <w:b/>
                <w:bCs/>
                <w:noProof/>
                <w:color w:val="000000" w:themeColor="text1"/>
                <w:sz w:val="14"/>
                <w:szCs w:val="14"/>
                <w:lang w:val="fr-FR"/>
              </w:rPr>
              <w:t>une période d</w:t>
            </w:r>
            <w:r>
              <w:rPr>
                <w:rFonts w:eastAsia="Calibri"/>
                <w:b/>
                <w:bCs/>
                <w:noProof/>
                <w:color w:val="000000" w:themeColor="text1"/>
                <w:sz w:val="14"/>
                <w:szCs w:val="14"/>
                <w:lang w:val="fr-FR"/>
              </w:rPr>
              <w:t>’</w:t>
            </w:r>
            <w:r w:rsidRPr="004C2A3C">
              <w:rPr>
                <w:rFonts w:eastAsia="Calibri"/>
                <w:b/>
                <w:bCs/>
                <w:noProof/>
                <w:color w:val="000000" w:themeColor="text1"/>
                <w:sz w:val="14"/>
                <w:szCs w:val="14"/>
                <w:lang w:val="fr-FR"/>
              </w:rPr>
              <w:t>exposition donnée.</w:t>
            </w:r>
          </w:p>
        </w:tc>
        <w:tc>
          <w:tcPr>
            <w:tcW w:w="1143" w:type="pct"/>
            <w:gridSpan w:val="4"/>
            <w:tcBorders>
              <w:top w:val="single" w:sz="4" w:space="0" w:color="auto"/>
              <w:left w:val="single" w:sz="4" w:space="0" w:color="auto"/>
              <w:bottom w:val="single" w:sz="4" w:space="0" w:color="auto"/>
              <w:right w:val="single" w:sz="4" w:space="0" w:color="auto"/>
            </w:tcBorders>
            <w:hideMark/>
          </w:tcPr>
          <w:p w14:paraId="6C437B5B" w14:textId="77777777" w:rsidR="008443E4" w:rsidRPr="004C2A3C" w:rsidRDefault="008443E4" w:rsidP="000654E6">
            <w:pPr>
              <w:spacing w:before="60" w:after="60" w:line="200" w:lineRule="atLeast"/>
              <w:ind w:left="57" w:right="57"/>
              <w:rPr>
                <w:rFonts w:eastAsia="Calibri"/>
                <w:bCs/>
                <w:noProof/>
                <w:color w:val="000000" w:themeColor="text1"/>
                <w:sz w:val="14"/>
                <w:szCs w:val="14"/>
                <w:lang w:val="fr-FR"/>
              </w:rPr>
            </w:pPr>
            <w:r w:rsidRPr="004C2A3C">
              <w:rPr>
                <w:rFonts w:eastAsia="Calibri"/>
                <w:bCs/>
                <w:noProof/>
                <w:color w:val="000000" w:themeColor="text1"/>
                <w:sz w:val="14"/>
                <w:szCs w:val="14"/>
                <w:lang w:val="fr-FR"/>
              </w:rPr>
              <w:t>Des modèles tridimensionnels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echr sont reconstitués à partir de cellules humaines primaires ou de cellules épithéliales cornéennes humaines immortalisées, cultivées pendant plusieurs jours jusqu</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à la formation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un épithélium stratifié, hautement différencié, constitué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au moins trois couches cellulaires viables et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une surface non kératinisée présentant une structure morphologiquement similaire à celle de la cornée humaine. Après l</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exposition et une période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incubation post-traitement (s</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 xml:space="preserve">il y a </w:t>
            </w:r>
            <w:r w:rsidRPr="004C2A3C">
              <w:rPr>
                <w:sz w:val="14"/>
                <w:szCs w:val="14"/>
              </w:rPr>
              <w:t>lieu</w:t>
            </w:r>
            <w:r w:rsidRPr="004C2A3C">
              <w:rPr>
                <w:rFonts w:eastAsia="Calibri"/>
                <w:bCs/>
                <w:noProof/>
                <w:color w:val="000000" w:themeColor="text1"/>
                <w:sz w:val="14"/>
                <w:szCs w:val="14"/>
                <w:lang w:val="fr-FR"/>
              </w:rPr>
              <w:t>), on évalue la viabilité tissulaire par un dosage quantitatif des cristaux de formazan bleu extraits des tissus et produits par les tissus vivants lors de la conversion enzymatique du colorant vital MTT.</w:t>
            </w:r>
          </w:p>
          <w:p w14:paraId="73E049F1" w14:textId="77777777" w:rsidR="008443E4" w:rsidRPr="004C2A3C" w:rsidRDefault="008443E4" w:rsidP="000654E6">
            <w:pPr>
              <w:spacing w:before="60" w:after="60" w:line="200" w:lineRule="atLeast"/>
              <w:ind w:left="57" w:right="57"/>
              <w:rPr>
                <w:rFonts w:eastAsia="Calibri"/>
                <w:b/>
                <w:bCs/>
                <w:noProof/>
                <w:color w:val="000000" w:themeColor="text1"/>
                <w:sz w:val="14"/>
                <w:szCs w:val="14"/>
                <w:lang w:val="fr-FR"/>
              </w:rPr>
            </w:pPr>
            <w:r w:rsidRPr="004C2A3C">
              <w:rPr>
                <w:rFonts w:eastAsia="Calibri"/>
                <w:b/>
                <w:bCs/>
                <w:noProof/>
                <w:color w:val="000000" w:themeColor="text1"/>
                <w:sz w:val="14"/>
                <w:szCs w:val="14"/>
                <w:lang w:val="fr-FR"/>
              </w:rPr>
              <w:t>Critères fondés sur la viabilité tissulaire moyenne en pourcentage à l</w:t>
            </w:r>
            <w:r>
              <w:rPr>
                <w:rFonts w:eastAsia="Calibri"/>
                <w:b/>
                <w:bCs/>
                <w:noProof/>
                <w:color w:val="000000" w:themeColor="text1"/>
                <w:sz w:val="14"/>
                <w:szCs w:val="14"/>
                <w:lang w:val="fr-FR"/>
              </w:rPr>
              <w:t>’</w:t>
            </w:r>
            <w:r w:rsidRPr="004C2A3C">
              <w:rPr>
                <w:rFonts w:eastAsia="Calibri"/>
                <w:b/>
                <w:bCs/>
                <w:noProof/>
                <w:color w:val="000000" w:themeColor="text1"/>
                <w:sz w:val="14"/>
                <w:szCs w:val="14"/>
                <w:lang w:val="fr-FR"/>
              </w:rPr>
              <w:t>issue d</w:t>
            </w:r>
            <w:r>
              <w:rPr>
                <w:rFonts w:eastAsia="Calibri"/>
                <w:b/>
                <w:bCs/>
                <w:noProof/>
                <w:color w:val="000000" w:themeColor="text1"/>
                <w:sz w:val="14"/>
                <w:szCs w:val="14"/>
                <w:lang w:val="fr-FR"/>
              </w:rPr>
              <w:t>’</w:t>
            </w:r>
            <w:r w:rsidRPr="004C2A3C">
              <w:rPr>
                <w:rFonts w:eastAsia="Calibri"/>
                <w:b/>
                <w:bCs/>
                <w:noProof/>
                <w:color w:val="000000" w:themeColor="text1"/>
                <w:sz w:val="14"/>
                <w:szCs w:val="14"/>
                <w:lang w:val="fr-FR"/>
              </w:rPr>
              <w:t>une période d</w:t>
            </w:r>
            <w:r>
              <w:rPr>
                <w:rFonts w:eastAsia="Calibri"/>
                <w:b/>
                <w:bCs/>
                <w:noProof/>
                <w:color w:val="000000" w:themeColor="text1"/>
                <w:sz w:val="14"/>
                <w:szCs w:val="14"/>
                <w:lang w:val="fr-FR"/>
              </w:rPr>
              <w:t>’</w:t>
            </w:r>
            <w:r w:rsidRPr="004C2A3C">
              <w:rPr>
                <w:rFonts w:eastAsia="Calibri"/>
                <w:b/>
                <w:bCs/>
                <w:noProof/>
                <w:color w:val="000000" w:themeColor="text1"/>
                <w:sz w:val="14"/>
                <w:szCs w:val="14"/>
                <w:lang w:val="fr-FR"/>
              </w:rPr>
              <w:t>exposition et d</w:t>
            </w:r>
            <w:r>
              <w:rPr>
                <w:rFonts w:eastAsia="Calibri"/>
                <w:b/>
                <w:bCs/>
                <w:noProof/>
                <w:color w:val="000000" w:themeColor="text1"/>
                <w:sz w:val="14"/>
                <w:szCs w:val="14"/>
                <w:lang w:val="fr-FR"/>
              </w:rPr>
              <w:t>’</w:t>
            </w:r>
            <w:r w:rsidRPr="004C2A3C">
              <w:rPr>
                <w:rFonts w:eastAsia="Calibri"/>
                <w:b/>
                <w:bCs/>
                <w:noProof/>
                <w:color w:val="000000" w:themeColor="text1"/>
                <w:sz w:val="14"/>
                <w:szCs w:val="14"/>
                <w:lang w:val="fr-FR"/>
              </w:rPr>
              <w:t>une période de post-traitement (s</w:t>
            </w:r>
            <w:r>
              <w:rPr>
                <w:rFonts w:eastAsia="Calibri"/>
                <w:b/>
                <w:bCs/>
                <w:noProof/>
                <w:color w:val="000000" w:themeColor="text1"/>
                <w:sz w:val="14"/>
                <w:szCs w:val="14"/>
                <w:lang w:val="fr-FR"/>
              </w:rPr>
              <w:t>’</w:t>
            </w:r>
            <w:r w:rsidRPr="004C2A3C">
              <w:rPr>
                <w:rFonts w:eastAsia="Calibri"/>
                <w:b/>
                <w:bCs/>
                <w:noProof/>
                <w:color w:val="000000" w:themeColor="text1"/>
                <w:sz w:val="14"/>
                <w:szCs w:val="14"/>
                <w:lang w:val="fr-FR"/>
              </w:rPr>
              <w:t>il y a lieu) données.</w:t>
            </w:r>
          </w:p>
        </w:tc>
        <w:tc>
          <w:tcPr>
            <w:tcW w:w="520" w:type="pct"/>
            <w:tcBorders>
              <w:top w:val="single" w:sz="4" w:space="0" w:color="auto"/>
              <w:left w:val="single" w:sz="4" w:space="0" w:color="auto"/>
              <w:bottom w:val="single" w:sz="4" w:space="0" w:color="auto"/>
              <w:right w:val="single" w:sz="4" w:space="0" w:color="auto"/>
            </w:tcBorders>
            <w:hideMark/>
          </w:tcPr>
          <w:p w14:paraId="7E81945D" w14:textId="77777777" w:rsidR="008443E4" w:rsidRPr="004C2A3C" w:rsidRDefault="008443E4" w:rsidP="000654E6">
            <w:pPr>
              <w:spacing w:before="60" w:after="60" w:line="200" w:lineRule="atLeast"/>
              <w:ind w:left="57" w:right="57"/>
              <w:rPr>
                <w:rFonts w:eastAsia="Calibri"/>
                <w:bCs/>
                <w:noProof/>
                <w:color w:val="000000" w:themeColor="text1"/>
                <w:sz w:val="14"/>
                <w:szCs w:val="14"/>
                <w:lang w:val="fr-FR"/>
              </w:rPr>
            </w:pPr>
            <w:r w:rsidRPr="004C2A3C">
              <w:rPr>
                <w:rFonts w:eastAsia="Calibri"/>
                <w:bCs/>
                <w:noProof/>
                <w:color w:val="000000" w:themeColor="text1"/>
                <w:sz w:val="14"/>
                <w:szCs w:val="14"/>
                <w:lang w:val="fr-FR"/>
              </w:rPr>
              <w:t xml:space="preserve">Essai </w:t>
            </w:r>
            <w:r w:rsidRPr="004C2A3C">
              <w:rPr>
                <w:rFonts w:eastAsia="Calibri"/>
                <w:bCs/>
                <w:i/>
                <w:noProof/>
                <w:color w:val="000000" w:themeColor="text1"/>
                <w:sz w:val="14"/>
                <w:szCs w:val="14"/>
                <w:lang w:val="fr-FR"/>
              </w:rPr>
              <w:t>in vitro</w:t>
            </w:r>
            <w:r w:rsidRPr="004C2A3C">
              <w:rPr>
                <w:rFonts w:eastAsia="Calibri"/>
                <w:bCs/>
                <w:noProof/>
                <w:color w:val="000000" w:themeColor="text1"/>
                <w:sz w:val="14"/>
                <w:szCs w:val="14"/>
                <w:lang w:val="fr-FR"/>
              </w:rPr>
              <w:t xml:space="preserve"> qui exploite des modèles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épithélium cornéen humain reconstitués dans une chambre contenant une matrice en vitrigel de collagène</w:t>
            </w:r>
            <w:r w:rsidRPr="004C2A3C">
              <w:rPr>
                <w:rFonts w:eastAsia="Calibri"/>
                <w:bCs/>
                <w:noProof/>
                <w:color w:val="000000" w:themeColor="text1"/>
                <w:sz w:val="14"/>
                <w:szCs w:val="14"/>
                <w:lang w:val="it-IT"/>
              </w:rPr>
              <w:t xml:space="preserve">. </w:t>
            </w:r>
            <w:r w:rsidRPr="004C2A3C">
              <w:rPr>
                <w:rFonts w:eastAsia="Calibri"/>
                <w:bCs/>
                <w:noProof/>
                <w:color w:val="000000" w:themeColor="text1"/>
                <w:sz w:val="14"/>
                <w:szCs w:val="14"/>
                <w:lang w:val="fr-FR"/>
              </w:rPr>
              <w:t>Le potentiel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irritation oculaire du produit chimique testé est prédit par l</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analyse des changements dans le temps de la valeur de la résistance électrique transépithéliale, sur la base des scores de trois indices. La valeur de résistance est mesurée toutes les 10 secondes pendant les 3 minutes qui suivent l</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exposition au produit chimique testé.</w:t>
            </w:r>
          </w:p>
          <w:p w14:paraId="4C25B0B1" w14:textId="77777777" w:rsidR="008443E4" w:rsidRPr="004C2A3C" w:rsidRDefault="008443E4" w:rsidP="000654E6">
            <w:pPr>
              <w:spacing w:before="60" w:after="60" w:line="200" w:lineRule="atLeast"/>
              <w:ind w:left="57" w:right="57"/>
              <w:rPr>
                <w:rFonts w:eastAsia="Calibri"/>
                <w:bCs/>
                <w:noProof/>
                <w:color w:val="000000" w:themeColor="text1"/>
                <w:sz w:val="14"/>
                <w:szCs w:val="14"/>
                <w:lang w:val="fr-FR"/>
              </w:rPr>
            </w:pPr>
            <w:r w:rsidRPr="004C2A3C">
              <w:rPr>
                <w:rFonts w:eastAsia="Calibri"/>
                <w:b/>
                <w:bCs/>
                <w:noProof/>
                <w:color w:val="000000" w:themeColor="text1"/>
                <w:sz w:val="14"/>
                <w:szCs w:val="14"/>
                <w:lang w:val="fr-FR"/>
              </w:rPr>
              <w:t>Critères fondés sur les trois indices obtenus, à savoir le délai, l</w:t>
            </w:r>
            <w:r>
              <w:rPr>
                <w:rFonts w:eastAsia="Calibri"/>
                <w:b/>
                <w:bCs/>
                <w:noProof/>
                <w:color w:val="000000" w:themeColor="text1"/>
                <w:sz w:val="14"/>
                <w:szCs w:val="14"/>
                <w:lang w:val="fr-FR"/>
              </w:rPr>
              <w:t>’</w:t>
            </w:r>
            <w:r w:rsidRPr="004C2A3C">
              <w:rPr>
                <w:rFonts w:eastAsia="Calibri"/>
                <w:b/>
                <w:bCs/>
                <w:noProof/>
                <w:color w:val="000000" w:themeColor="text1"/>
                <w:sz w:val="14"/>
                <w:szCs w:val="14"/>
                <w:lang w:val="fr-FR"/>
              </w:rPr>
              <w:t>intensité et le niveau plateau de la résistance électrique</w:t>
            </w:r>
            <w:r w:rsidRPr="004C2A3C">
              <w:rPr>
                <w:rFonts w:eastAsia="Calibri"/>
                <w:bCs/>
                <w:noProof/>
                <w:color w:val="000000" w:themeColor="text1"/>
                <w:sz w:val="14"/>
                <w:szCs w:val="14"/>
                <w:lang w:val="fr-FR"/>
              </w:rPr>
              <w:t>.</w:t>
            </w:r>
          </w:p>
        </w:tc>
        <w:tc>
          <w:tcPr>
            <w:tcW w:w="520" w:type="pct"/>
            <w:tcBorders>
              <w:top w:val="single" w:sz="4" w:space="0" w:color="auto"/>
              <w:left w:val="single" w:sz="4" w:space="0" w:color="auto"/>
              <w:bottom w:val="single" w:sz="4" w:space="0" w:color="auto"/>
              <w:right w:val="single" w:sz="4" w:space="0" w:color="auto"/>
            </w:tcBorders>
            <w:hideMark/>
          </w:tcPr>
          <w:p w14:paraId="5CF84859" w14:textId="77777777" w:rsidR="008443E4" w:rsidRPr="003F1C55" w:rsidRDefault="008443E4" w:rsidP="000654E6">
            <w:pPr>
              <w:spacing w:before="60" w:after="60" w:line="200" w:lineRule="atLeast"/>
              <w:ind w:left="57" w:right="57"/>
              <w:rPr>
                <w:rFonts w:eastAsia="Calibri"/>
                <w:bCs/>
                <w:noProof/>
                <w:color w:val="000000" w:themeColor="text1"/>
                <w:spacing w:val="-1"/>
                <w:sz w:val="14"/>
                <w:szCs w:val="14"/>
                <w:lang w:val="fr-FR"/>
              </w:rPr>
            </w:pPr>
            <w:r w:rsidRPr="003F1C55">
              <w:rPr>
                <w:rFonts w:eastAsia="Calibri"/>
                <w:bCs/>
                <w:noProof/>
                <w:color w:val="000000" w:themeColor="text1"/>
                <w:spacing w:val="-1"/>
                <w:sz w:val="14"/>
                <w:szCs w:val="14"/>
                <w:lang w:val="fr-FR"/>
              </w:rPr>
              <w:t xml:space="preserve">Essai </w:t>
            </w:r>
            <w:r w:rsidRPr="003F1C55">
              <w:rPr>
                <w:rFonts w:eastAsia="Calibri"/>
                <w:bCs/>
                <w:i/>
                <w:noProof/>
                <w:color w:val="000000" w:themeColor="text1"/>
                <w:spacing w:val="-1"/>
                <w:sz w:val="14"/>
                <w:szCs w:val="14"/>
                <w:lang w:val="fr-FR"/>
              </w:rPr>
              <w:t>in vitro</w:t>
            </w:r>
            <w:r w:rsidRPr="003F1C55">
              <w:rPr>
                <w:rFonts w:eastAsia="Calibri"/>
                <w:bCs/>
                <w:noProof/>
                <w:color w:val="000000" w:themeColor="text1"/>
                <w:spacing w:val="-1"/>
                <w:sz w:val="14"/>
                <w:szCs w:val="14"/>
                <w:lang w:val="fr-FR"/>
              </w:rPr>
              <w:t xml:space="preserve"> réalisé à partir d’une matrice macromoléculaire du pois sabre blanc (</w:t>
            </w:r>
            <w:r w:rsidRPr="003F1C55">
              <w:rPr>
                <w:rFonts w:eastAsia="Calibri"/>
                <w:bCs/>
                <w:i/>
                <w:noProof/>
                <w:color w:val="000000" w:themeColor="text1"/>
                <w:spacing w:val="-1"/>
                <w:sz w:val="14"/>
                <w:szCs w:val="14"/>
                <w:lang w:val="fr-FR"/>
              </w:rPr>
              <w:t>Canavalis enisformis)</w:t>
            </w:r>
            <w:r w:rsidRPr="003F1C55">
              <w:rPr>
                <w:rFonts w:eastAsia="Calibri"/>
                <w:bCs/>
                <w:noProof/>
                <w:color w:val="000000" w:themeColor="text1"/>
                <w:spacing w:val="-1"/>
                <w:sz w:val="14"/>
                <w:szCs w:val="14"/>
                <w:lang w:val="fr-FR"/>
              </w:rPr>
              <w:t xml:space="preserve">. La matrice macromoléculaire est la cible du produit chimique testé ; elle est composée d’un mélange de protéines, de glycoprotéines, de glucides, de lipides et d’éléments à faible masse moléculaire qui forment une structure </w:t>
            </w:r>
            <w:r w:rsidRPr="003F1C55">
              <w:rPr>
                <w:spacing w:val="-1"/>
                <w:sz w:val="14"/>
                <w:szCs w:val="14"/>
              </w:rPr>
              <w:t>gélifiée</w:t>
            </w:r>
            <w:r w:rsidRPr="003F1C55">
              <w:rPr>
                <w:rFonts w:eastAsia="Calibri"/>
                <w:bCs/>
                <w:noProof/>
                <w:color w:val="000000" w:themeColor="text1"/>
                <w:spacing w:val="-1"/>
                <w:sz w:val="14"/>
                <w:szCs w:val="14"/>
                <w:lang w:val="fr-FR"/>
              </w:rPr>
              <w:t xml:space="preserve"> hautement organisée et transparente après réhydratation. Les produits chimiques testés, causant des lésions oculaires, induisent une désorganisation et une désagrégation de la structure hautement organisée de la matrice macromoléculaire, ce qui génère une turbidité du réactif macromoléculaire. Ce phénomène est quantifié en mesurant les changements dans la diffusion de la lumière.</w:t>
            </w:r>
          </w:p>
          <w:p w14:paraId="3BFC5433" w14:textId="77777777" w:rsidR="008443E4" w:rsidRPr="003F1C55" w:rsidRDefault="008443E4" w:rsidP="000654E6">
            <w:pPr>
              <w:spacing w:before="60" w:after="60" w:line="200" w:lineRule="atLeast"/>
              <w:ind w:left="57" w:right="57"/>
              <w:rPr>
                <w:rFonts w:eastAsia="Calibri"/>
                <w:b/>
                <w:bCs/>
                <w:noProof/>
                <w:color w:val="000000" w:themeColor="text1"/>
                <w:spacing w:val="-1"/>
                <w:sz w:val="14"/>
                <w:szCs w:val="14"/>
                <w:lang w:val="fr-FR"/>
              </w:rPr>
            </w:pPr>
            <w:r w:rsidRPr="003F1C55">
              <w:rPr>
                <w:rFonts w:eastAsia="Calibri"/>
                <w:b/>
                <w:bCs/>
                <w:noProof/>
                <w:color w:val="000000" w:themeColor="text1"/>
                <w:spacing w:val="-1"/>
                <w:sz w:val="14"/>
                <w:szCs w:val="14"/>
                <w:lang w:val="fr-FR"/>
              </w:rPr>
              <w:t>Critères fondés sur un score maximal qualifié (SMQ) obtenu à la lecture de la densité optique à différentes concentrations, au moyen d’un logiciel.</w:t>
            </w:r>
          </w:p>
        </w:tc>
      </w:tr>
      <w:tr w:rsidR="008443E4" w:rsidRPr="004C2A3C" w14:paraId="590A42DD" w14:textId="77777777" w:rsidTr="000654E6">
        <w:trPr>
          <w:trHeight w:val="1454"/>
        </w:trPr>
        <w:tc>
          <w:tcPr>
            <w:tcW w:w="2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C4E5738" w14:textId="77777777" w:rsidR="008443E4" w:rsidRPr="004C2A3C" w:rsidRDefault="008443E4" w:rsidP="000654E6">
            <w:pPr>
              <w:spacing w:before="40" w:after="40" w:line="200" w:lineRule="atLeast"/>
              <w:ind w:left="57" w:right="57"/>
              <w:jc w:val="center"/>
              <w:rPr>
                <w:rFonts w:eastAsia="Calibri"/>
                <w:b/>
                <w:bCs/>
                <w:noProof/>
                <w:color w:val="000000" w:themeColor="text1"/>
                <w:sz w:val="14"/>
                <w:szCs w:val="14"/>
              </w:rPr>
            </w:pPr>
            <w:r w:rsidRPr="004C2A3C">
              <w:rPr>
                <w:rFonts w:eastAsia="Calibri"/>
                <w:b/>
                <w:bCs/>
                <w:noProof/>
                <w:color w:val="000000" w:themeColor="text1"/>
                <w:sz w:val="14"/>
                <w:szCs w:val="14"/>
              </w:rPr>
              <w:t>1</w:t>
            </w:r>
          </w:p>
        </w:tc>
        <w:tc>
          <w:tcPr>
            <w:tcW w:w="3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474B9B7" w14:textId="77777777" w:rsidR="008443E4" w:rsidRPr="004C2A3C" w:rsidRDefault="008443E4" w:rsidP="000654E6">
            <w:pPr>
              <w:spacing w:before="40" w:after="40" w:line="200" w:lineRule="atLeast"/>
              <w:ind w:left="57" w:right="57"/>
              <w:jc w:val="center"/>
              <w:rPr>
                <w:rFonts w:eastAsia="Calibri"/>
                <w:bCs/>
                <w:noProof/>
                <w:color w:val="000000" w:themeColor="text1"/>
                <w:sz w:val="14"/>
                <w:szCs w:val="14"/>
              </w:rPr>
            </w:pPr>
            <w:r w:rsidRPr="004C2A3C">
              <w:rPr>
                <w:sz w:val="14"/>
                <w:szCs w:val="14"/>
              </w:rPr>
              <w:t>Opacimètre</w:t>
            </w:r>
            <w:r w:rsidRPr="004C2A3C">
              <w:rPr>
                <w:rFonts w:eastAsia="Calibri"/>
                <w:bCs/>
                <w:noProof/>
                <w:color w:val="000000" w:themeColor="text1"/>
                <w:sz w:val="14"/>
                <w:szCs w:val="14"/>
              </w:rPr>
              <w:t xml:space="preserve"> </w:t>
            </w:r>
            <w:r w:rsidRPr="004C2A3C">
              <w:rPr>
                <w:rFonts w:eastAsia="Calibri"/>
                <w:bCs/>
                <w:noProof/>
                <w:color w:val="000000" w:themeColor="text1"/>
                <w:sz w:val="14"/>
                <w:szCs w:val="14"/>
              </w:rPr>
              <w:br/>
              <w:t>1</w:t>
            </w:r>
          </w:p>
          <w:p w14:paraId="7D05680F" w14:textId="77777777" w:rsidR="008443E4" w:rsidRPr="004C2A3C" w:rsidRDefault="008443E4" w:rsidP="000654E6">
            <w:pPr>
              <w:spacing w:before="40" w:after="40" w:line="200" w:lineRule="atLeast"/>
              <w:ind w:left="57" w:right="57"/>
              <w:jc w:val="center"/>
              <w:rPr>
                <w:bCs/>
                <w:noProof/>
                <w:color w:val="000000" w:themeColor="text1"/>
                <w:sz w:val="14"/>
                <w:szCs w:val="14"/>
              </w:rPr>
            </w:pPr>
            <w:r w:rsidRPr="004C2A3C">
              <w:rPr>
                <w:rFonts w:eastAsia="Calibri"/>
                <w:bCs/>
                <w:noProof/>
                <w:color w:val="000000" w:themeColor="text1"/>
                <w:sz w:val="14"/>
                <w:szCs w:val="14"/>
              </w:rPr>
              <w:t>IVIS &gt; 55</w:t>
            </w:r>
          </w:p>
        </w:tc>
        <w:tc>
          <w:tcPr>
            <w:tcW w:w="355" w:type="pct"/>
            <w:tcBorders>
              <w:top w:val="single" w:sz="4" w:space="0" w:color="auto"/>
              <w:left w:val="single" w:sz="4" w:space="0" w:color="auto"/>
              <w:bottom w:val="single" w:sz="4" w:space="0" w:color="auto"/>
              <w:right w:val="single" w:sz="4" w:space="0" w:color="auto"/>
            </w:tcBorders>
          </w:tcPr>
          <w:p w14:paraId="53760BB2" w14:textId="77777777" w:rsidR="008443E4" w:rsidRPr="004C2A3C" w:rsidRDefault="008443E4" w:rsidP="000654E6">
            <w:pPr>
              <w:spacing w:before="40" w:after="40" w:line="200" w:lineRule="atLeast"/>
              <w:ind w:left="57" w:right="57"/>
              <w:jc w:val="center"/>
              <w:rPr>
                <w:rFonts w:eastAsia="Calibri"/>
                <w:bCs/>
                <w:noProof/>
                <w:color w:val="000000" w:themeColor="text1"/>
                <w:sz w:val="14"/>
                <w:szCs w:val="14"/>
                <w:lang w:val="fr-FR"/>
              </w:rPr>
            </w:pPr>
            <w:r w:rsidRPr="004C2A3C">
              <w:rPr>
                <w:sz w:val="14"/>
                <w:szCs w:val="14"/>
              </w:rPr>
              <w:t>Opacimètre</w:t>
            </w:r>
            <w:r w:rsidRPr="004C2A3C">
              <w:rPr>
                <w:rFonts w:eastAsia="Calibri"/>
                <w:bCs/>
                <w:noProof/>
                <w:color w:val="000000" w:themeColor="text1"/>
                <w:sz w:val="14"/>
                <w:szCs w:val="14"/>
                <w:lang w:val="fr-FR"/>
              </w:rPr>
              <w:t xml:space="preserve"> </w:t>
            </w:r>
            <w:r w:rsidRPr="004C2A3C">
              <w:rPr>
                <w:rFonts w:eastAsia="Calibri"/>
                <w:bCs/>
                <w:noProof/>
                <w:color w:val="000000" w:themeColor="text1"/>
                <w:sz w:val="14"/>
                <w:szCs w:val="14"/>
                <w:lang w:val="fr-FR"/>
              </w:rPr>
              <w:br/>
              <w:t>2</w:t>
            </w:r>
          </w:p>
          <w:p w14:paraId="72AB9C6E" w14:textId="77777777" w:rsidR="008443E4" w:rsidRPr="004C2A3C" w:rsidRDefault="008443E4" w:rsidP="000654E6">
            <w:pPr>
              <w:spacing w:before="40" w:after="40" w:line="200" w:lineRule="atLeast"/>
              <w:ind w:left="57" w:right="57"/>
              <w:jc w:val="center"/>
              <w:rPr>
                <w:rFonts w:eastAsia="Calibri"/>
                <w:bCs/>
                <w:noProof/>
                <w:color w:val="000000" w:themeColor="text1"/>
                <w:sz w:val="14"/>
                <w:szCs w:val="14"/>
              </w:rPr>
            </w:pPr>
            <w:r w:rsidRPr="004C2A3C">
              <w:rPr>
                <w:rFonts w:eastAsia="Calibri"/>
                <w:bCs/>
                <w:noProof/>
                <w:color w:val="000000" w:themeColor="text1"/>
                <w:sz w:val="14"/>
                <w:szCs w:val="14"/>
                <w:lang w:val="fr-FR"/>
              </w:rPr>
              <w:t xml:space="preserve">LIS &gt; 30 et lux/7 ≤ 145 et OD490 &gt;2,5, </w:t>
            </w:r>
            <w:r w:rsidRPr="004C2A3C">
              <w:rPr>
                <w:rFonts w:eastAsia="Calibri"/>
                <w:bCs/>
                <w:noProof/>
                <w:color w:val="000000" w:themeColor="text1"/>
                <w:sz w:val="14"/>
                <w:szCs w:val="14"/>
                <w:lang w:val="fr-FR"/>
              </w:rPr>
              <w:br/>
            </w:r>
            <w:r w:rsidRPr="004C2A3C">
              <w:rPr>
                <w:sz w:val="14"/>
                <w:szCs w:val="14"/>
              </w:rPr>
              <w:t>OU</w:t>
            </w:r>
            <w:r w:rsidRPr="004C2A3C">
              <w:rPr>
                <w:sz w:val="14"/>
                <w:szCs w:val="14"/>
              </w:rPr>
              <w:br/>
            </w:r>
            <w:r w:rsidRPr="004C2A3C">
              <w:rPr>
                <w:rFonts w:eastAsia="Calibri"/>
                <w:bCs/>
                <w:noProof/>
                <w:color w:val="000000" w:themeColor="text1"/>
                <w:sz w:val="14"/>
                <w:szCs w:val="14"/>
              </w:rPr>
              <w:t>LIS &gt; 30 et lux/7 &gt; 145</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C9D0FF6" w14:textId="77777777" w:rsidR="008443E4" w:rsidRPr="004C2A3C" w:rsidRDefault="008443E4" w:rsidP="000654E6">
            <w:pPr>
              <w:spacing w:before="40" w:after="40" w:line="200" w:lineRule="atLeast"/>
              <w:ind w:left="57" w:right="57"/>
              <w:jc w:val="center"/>
              <w:rPr>
                <w:rFonts w:eastAsia="Calibri"/>
                <w:bCs/>
                <w:noProof/>
                <w:color w:val="000000" w:themeColor="text1"/>
                <w:sz w:val="14"/>
                <w:szCs w:val="14"/>
              </w:rPr>
            </w:pPr>
            <w:r w:rsidRPr="004C2A3C">
              <w:rPr>
                <w:rFonts w:eastAsia="Calibri"/>
                <w:bCs/>
                <w:noProof/>
                <w:color w:val="000000" w:themeColor="text1"/>
                <w:sz w:val="14"/>
                <w:szCs w:val="14"/>
                <w:lang w:val="fr-FR"/>
              </w:rPr>
              <w:t xml:space="preserve">Au </w:t>
            </w:r>
            <w:r w:rsidRPr="004C2A3C">
              <w:rPr>
                <w:sz w:val="14"/>
                <w:szCs w:val="14"/>
              </w:rPr>
              <w:t>moins</w:t>
            </w:r>
            <w:r w:rsidRPr="004C2A3C">
              <w:rPr>
                <w:rFonts w:eastAsia="Calibri"/>
                <w:bCs/>
                <w:noProof/>
                <w:color w:val="000000" w:themeColor="text1"/>
                <w:sz w:val="14"/>
                <w:szCs w:val="14"/>
                <w:lang w:val="fr-FR"/>
              </w:rPr>
              <w:t xml:space="preserve"> 2 OPI de classe IV, </w:t>
            </w:r>
            <w:r w:rsidRPr="004C2A3C">
              <w:rPr>
                <w:rFonts w:eastAsia="Calibri"/>
                <w:bCs/>
                <w:noProof/>
                <w:color w:val="000000" w:themeColor="text1"/>
                <w:sz w:val="14"/>
                <w:szCs w:val="14"/>
                <w:lang w:val="fr-FR"/>
              </w:rPr>
              <w:br/>
              <w:t>OU</w:t>
            </w:r>
            <w:r w:rsidRPr="004C2A3C">
              <w:rPr>
                <w:rFonts w:eastAsia="Calibri"/>
                <w:bCs/>
                <w:noProof/>
                <w:color w:val="000000" w:themeColor="text1"/>
                <w:sz w:val="14"/>
                <w:szCs w:val="14"/>
                <w:lang w:val="fr-FR"/>
              </w:rPr>
              <w:br/>
              <w:t xml:space="preserve">opacité de la cornée = 3 à 30 min (dans au moins 2 yeux), </w:t>
            </w:r>
            <w:r w:rsidRPr="004C2A3C">
              <w:rPr>
                <w:rFonts w:eastAsia="Calibri"/>
                <w:bCs/>
                <w:noProof/>
                <w:color w:val="000000" w:themeColor="text1"/>
                <w:sz w:val="14"/>
                <w:szCs w:val="14"/>
                <w:lang w:val="fr-FR"/>
              </w:rPr>
              <w:br/>
              <w:t>OU</w:t>
            </w:r>
            <w:r w:rsidRPr="004C2A3C">
              <w:rPr>
                <w:rFonts w:eastAsia="Calibri"/>
                <w:bCs/>
                <w:noProof/>
                <w:color w:val="000000" w:themeColor="text1"/>
                <w:sz w:val="14"/>
                <w:szCs w:val="14"/>
                <w:lang w:val="fr-FR"/>
              </w:rPr>
              <w:br/>
              <w:t xml:space="preserve">opacité de la cornée = 4 à tout </w:t>
            </w:r>
            <w:r w:rsidRPr="004C2A3C">
              <w:rPr>
                <w:sz w:val="14"/>
                <w:szCs w:val="14"/>
              </w:rPr>
              <w:t>moment</w:t>
            </w:r>
            <w:r w:rsidRPr="004C2A3C">
              <w:rPr>
                <w:rFonts w:eastAsia="Calibri"/>
                <w:bCs/>
                <w:noProof/>
                <w:color w:val="000000" w:themeColor="text1"/>
                <w:sz w:val="14"/>
                <w:szCs w:val="14"/>
                <w:lang w:val="fr-FR"/>
              </w:rPr>
              <w:t xml:space="preserve"> (dans au moins 2 yeux), OU décollement prononcé de l</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 xml:space="preserve">épithélium (dans au moins 1 oeil), OU </w:t>
            </w:r>
            <w:r w:rsidRPr="004C2A3C">
              <w:rPr>
                <w:color w:val="000000" w:themeColor="text1"/>
                <w:sz w:val="14"/>
                <w:szCs w:val="14"/>
              </w:rPr>
              <w:t xml:space="preserve">certains effets </w:t>
            </w:r>
            <w:proofErr w:type="spellStart"/>
            <w:r w:rsidRPr="004C2A3C">
              <w:rPr>
                <w:color w:val="000000" w:themeColor="text1"/>
                <w:sz w:val="14"/>
                <w:szCs w:val="14"/>
              </w:rPr>
              <w:t>histopathologiques</w:t>
            </w:r>
            <w:r w:rsidRPr="004C2A3C">
              <w:rPr>
                <w:i/>
                <w:iCs/>
                <w:color w:val="000000" w:themeColor="text1"/>
                <w:sz w:val="14"/>
                <w:szCs w:val="14"/>
                <w:vertAlign w:val="superscript"/>
              </w:rPr>
              <w:t>b</w:t>
            </w:r>
            <w:proofErr w:type="spellEnd"/>
          </w:p>
        </w:tc>
        <w:tc>
          <w:tcPr>
            <w:tcW w:w="605" w:type="pct"/>
            <w:tcBorders>
              <w:top w:val="single" w:sz="4" w:space="0" w:color="auto"/>
              <w:left w:val="single" w:sz="4" w:space="0" w:color="auto"/>
              <w:bottom w:val="single" w:sz="4" w:space="0" w:color="auto"/>
              <w:right w:val="single" w:sz="4" w:space="0" w:color="auto"/>
            </w:tcBorders>
            <w:hideMark/>
          </w:tcPr>
          <w:p w14:paraId="707A2EB3" w14:textId="77777777" w:rsidR="008443E4" w:rsidRPr="004C2A3C" w:rsidRDefault="008443E4" w:rsidP="000654E6">
            <w:pPr>
              <w:spacing w:before="40" w:after="40" w:line="200" w:lineRule="atLeast"/>
              <w:ind w:left="57" w:right="57"/>
              <w:jc w:val="center"/>
              <w:rPr>
                <w:rFonts w:eastAsia="Calibri"/>
                <w:bCs/>
                <w:noProof/>
                <w:color w:val="000000" w:themeColor="text1"/>
                <w:sz w:val="14"/>
                <w:szCs w:val="14"/>
                <w:lang w:val="fr-FR"/>
              </w:rPr>
            </w:pPr>
            <w:r w:rsidRPr="004C2A3C">
              <w:rPr>
                <w:rFonts w:eastAsia="Calibri"/>
                <w:bCs/>
                <w:noProof/>
                <w:color w:val="000000" w:themeColor="text1"/>
                <w:sz w:val="14"/>
                <w:szCs w:val="14"/>
                <w:lang w:val="fr-FR"/>
              </w:rPr>
              <w:t>Concentration chimique entraînant une diffusion de fluorescéine de 20 % (FL</w:t>
            </w:r>
            <w:r w:rsidRPr="004C2A3C">
              <w:rPr>
                <w:rFonts w:eastAsia="Calibri"/>
                <w:bCs/>
                <w:noProof/>
                <w:color w:val="000000" w:themeColor="text1"/>
                <w:sz w:val="14"/>
                <w:szCs w:val="14"/>
                <w:vertAlign w:val="subscript"/>
                <w:lang w:val="fr-FR"/>
              </w:rPr>
              <w:t>20</w:t>
            </w:r>
            <w:r w:rsidRPr="004C2A3C">
              <w:rPr>
                <w:rFonts w:eastAsia="Calibri"/>
                <w:bCs/>
                <w:noProof/>
                <w:color w:val="000000" w:themeColor="text1"/>
                <w:sz w:val="14"/>
                <w:szCs w:val="14"/>
                <w:lang w:val="fr-FR"/>
              </w:rPr>
              <w:t>) ≤100 </w:t>
            </w:r>
            <w:r w:rsidRPr="004C2A3C">
              <w:rPr>
                <w:sz w:val="14"/>
                <w:szCs w:val="14"/>
              </w:rPr>
              <w:t>mg</w:t>
            </w:r>
            <w:r w:rsidRPr="004C2A3C">
              <w:rPr>
                <w:rFonts w:eastAsia="Calibri"/>
                <w:bCs/>
                <w:noProof/>
                <w:color w:val="000000" w:themeColor="text1"/>
                <w:sz w:val="14"/>
                <w:szCs w:val="14"/>
                <w:lang w:val="fr-FR"/>
              </w:rPr>
              <w:t>/mL</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A5E7D2B" w14:textId="77777777" w:rsidR="008443E4" w:rsidRPr="004C2A3C" w:rsidRDefault="008443E4" w:rsidP="000654E6">
            <w:pPr>
              <w:spacing w:before="40" w:after="40" w:line="200" w:lineRule="atLeast"/>
              <w:ind w:left="57" w:right="57"/>
              <w:jc w:val="center"/>
              <w:rPr>
                <w:rFonts w:eastAsia="Calibri"/>
                <w:bCs/>
                <w:noProof/>
                <w:color w:val="000000" w:themeColor="text1"/>
                <w:sz w:val="14"/>
                <w:szCs w:val="14"/>
              </w:rPr>
            </w:pPr>
            <w:r w:rsidRPr="004C2A3C">
              <w:rPr>
                <w:rFonts w:eastAsia="Calibri"/>
                <w:bCs/>
                <w:noProof/>
                <w:color w:val="000000" w:themeColor="text1"/>
                <w:sz w:val="14"/>
                <w:szCs w:val="14"/>
              </w:rPr>
              <w:t>Viabilité ≤70 % à 5 % et à 0,05 %</w:t>
            </w:r>
          </w:p>
        </w:tc>
        <w:tc>
          <w:tcPr>
            <w:tcW w:w="1143" w:type="pct"/>
            <w:gridSpan w:val="4"/>
            <w:tcBorders>
              <w:top w:val="single" w:sz="4" w:space="0" w:color="auto"/>
              <w:left w:val="single" w:sz="4" w:space="0" w:color="auto"/>
              <w:bottom w:val="single" w:sz="4" w:space="0" w:color="auto"/>
              <w:right w:val="single" w:sz="4" w:space="0" w:color="auto"/>
            </w:tcBorders>
            <w:hideMark/>
          </w:tcPr>
          <w:p w14:paraId="35F4A314" w14:textId="77777777" w:rsidR="008443E4" w:rsidRPr="004C2A3C" w:rsidRDefault="008443E4" w:rsidP="000654E6">
            <w:pPr>
              <w:spacing w:before="40" w:after="40" w:line="200" w:lineRule="atLeast"/>
              <w:ind w:left="57" w:right="57"/>
              <w:jc w:val="center"/>
              <w:rPr>
                <w:rFonts w:eastAsia="Calibri"/>
                <w:bCs/>
                <w:noProof/>
                <w:color w:val="000000" w:themeColor="text1"/>
                <w:sz w:val="14"/>
                <w:szCs w:val="14"/>
                <w:lang w:val="fr-FR"/>
              </w:rPr>
            </w:pPr>
            <w:r w:rsidRPr="004C2A3C">
              <w:rPr>
                <w:rFonts w:eastAsia="Calibri"/>
                <w:bCs/>
                <w:noProof/>
                <w:color w:val="000000" w:themeColor="text1"/>
                <w:sz w:val="14"/>
                <w:szCs w:val="14"/>
                <w:lang w:val="fr-FR"/>
              </w:rPr>
              <w:t xml:space="preserve">Aucune prédiction indépendante </w:t>
            </w:r>
            <w:r w:rsidRPr="004C2A3C">
              <w:rPr>
                <w:rFonts w:eastAsia="Calibri"/>
                <w:bCs/>
                <w:noProof/>
                <w:color w:val="000000" w:themeColor="text1"/>
                <w:sz w:val="14"/>
                <w:szCs w:val="14"/>
                <w:lang w:val="fr-FR"/>
              </w:rPr>
              <w:br/>
              <w:t xml:space="preserve">ne peut être </w:t>
            </w:r>
            <w:r w:rsidRPr="004C2A3C">
              <w:rPr>
                <w:sz w:val="14"/>
                <w:szCs w:val="14"/>
              </w:rPr>
              <w:t>faite</w:t>
            </w:r>
          </w:p>
        </w:tc>
        <w:tc>
          <w:tcPr>
            <w:tcW w:w="520" w:type="pct"/>
            <w:tcBorders>
              <w:top w:val="single" w:sz="4" w:space="0" w:color="auto"/>
              <w:left w:val="single" w:sz="4" w:space="0" w:color="auto"/>
              <w:bottom w:val="single" w:sz="4" w:space="0" w:color="auto"/>
              <w:right w:val="single" w:sz="4" w:space="0" w:color="auto"/>
            </w:tcBorders>
            <w:hideMark/>
          </w:tcPr>
          <w:p w14:paraId="0521028C" w14:textId="77777777" w:rsidR="008443E4" w:rsidRPr="004C2A3C" w:rsidRDefault="008443E4" w:rsidP="000654E6">
            <w:pPr>
              <w:spacing w:before="40" w:after="40" w:line="200" w:lineRule="atLeast"/>
              <w:ind w:left="57" w:right="57"/>
              <w:jc w:val="center"/>
              <w:rPr>
                <w:rFonts w:eastAsia="Calibri"/>
                <w:bCs/>
                <w:noProof/>
                <w:color w:val="000000" w:themeColor="text1"/>
                <w:sz w:val="14"/>
                <w:szCs w:val="14"/>
                <w:lang w:val="fr-FR"/>
              </w:rPr>
            </w:pPr>
            <w:r w:rsidRPr="004C2A3C">
              <w:rPr>
                <w:rFonts w:eastAsia="Calibri"/>
                <w:bCs/>
                <w:noProof/>
                <w:color w:val="000000" w:themeColor="text1"/>
                <w:sz w:val="14"/>
                <w:szCs w:val="14"/>
                <w:lang w:val="fr-FR"/>
              </w:rPr>
              <w:t xml:space="preserve">Aucune prédiction </w:t>
            </w:r>
            <w:r w:rsidRPr="004C2A3C">
              <w:rPr>
                <w:sz w:val="14"/>
                <w:szCs w:val="14"/>
              </w:rPr>
              <w:t>indépendante</w:t>
            </w:r>
            <w:r w:rsidRPr="004C2A3C">
              <w:rPr>
                <w:rFonts w:eastAsia="Calibri"/>
                <w:bCs/>
                <w:noProof/>
                <w:color w:val="000000" w:themeColor="text1"/>
                <w:sz w:val="14"/>
                <w:szCs w:val="14"/>
                <w:lang w:val="fr-FR"/>
              </w:rPr>
              <w:t xml:space="preserve"> ne peut être faite</w:t>
            </w:r>
          </w:p>
        </w:tc>
        <w:tc>
          <w:tcPr>
            <w:tcW w:w="520" w:type="pct"/>
            <w:tcBorders>
              <w:top w:val="single" w:sz="4" w:space="0" w:color="auto"/>
              <w:left w:val="single" w:sz="4" w:space="0" w:color="auto"/>
              <w:bottom w:val="single" w:sz="4" w:space="0" w:color="auto"/>
              <w:right w:val="single" w:sz="4" w:space="0" w:color="auto"/>
            </w:tcBorders>
            <w:hideMark/>
          </w:tcPr>
          <w:p w14:paraId="5E6B64E3" w14:textId="77777777" w:rsidR="008443E4" w:rsidRPr="004C2A3C" w:rsidRDefault="008443E4" w:rsidP="000654E6">
            <w:pPr>
              <w:spacing w:before="40" w:after="40" w:line="200" w:lineRule="atLeast"/>
              <w:ind w:left="57" w:right="57"/>
              <w:jc w:val="center"/>
              <w:rPr>
                <w:rFonts w:eastAsia="Calibri"/>
                <w:bCs/>
                <w:noProof/>
                <w:color w:val="000000" w:themeColor="text1"/>
                <w:sz w:val="14"/>
                <w:szCs w:val="14"/>
              </w:rPr>
            </w:pPr>
            <w:r w:rsidRPr="004C2A3C">
              <w:rPr>
                <w:rFonts w:eastAsia="Calibri"/>
                <w:bCs/>
                <w:noProof/>
                <w:color w:val="000000" w:themeColor="text1"/>
                <w:sz w:val="14"/>
                <w:szCs w:val="14"/>
              </w:rPr>
              <w:t>SMQ</w:t>
            </w:r>
            <w:r w:rsidRPr="004C2A3C">
              <w:rPr>
                <w:color w:val="000000" w:themeColor="text1"/>
                <w:sz w:val="14"/>
                <w:szCs w:val="14"/>
              </w:rPr>
              <w:t xml:space="preserve"> </w:t>
            </w:r>
            <w:r w:rsidRPr="004C2A3C">
              <w:rPr>
                <w:rFonts w:eastAsia="Calibri"/>
                <w:bCs/>
                <w:noProof/>
                <w:color w:val="000000" w:themeColor="text1"/>
                <w:sz w:val="14"/>
                <w:szCs w:val="14"/>
              </w:rPr>
              <w:t>&gt;30,0</w:t>
            </w:r>
          </w:p>
        </w:tc>
      </w:tr>
      <w:tr w:rsidR="008443E4" w:rsidRPr="004562B4" w14:paraId="10376D51" w14:textId="77777777" w:rsidTr="000654E6">
        <w:trPr>
          <w:trHeight w:val="192"/>
        </w:trPr>
        <w:tc>
          <w:tcPr>
            <w:tcW w:w="2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9B3EF6C" w14:textId="77777777" w:rsidR="008443E4" w:rsidRPr="004C2A3C" w:rsidRDefault="008443E4" w:rsidP="000654E6">
            <w:pPr>
              <w:spacing w:before="40" w:after="40" w:line="200" w:lineRule="atLeast"/>
              <w:ind w:left="57" w:right="57"/>
              <w:jc w:val="center"/>
              <w:rPr>
                <w:b/>
                <w:bCs/>
                <w:noProof/>
                <w:color w:val="000000" w:themeColor="text1"/>
                <w:sz w:val="14"/>
                <w:szCs w:val="14"/>
              </w:rPr>
            </w:pPr>
            <w:r w:rsidRPr="004C2A3C">
              <w:rPr>
                <w:b/>
                <w:bCs/>
                <w:noProof/>
                <w:color w:val="000000" w:themeColor="text1"/>
                <w:sz w:val="14"/>
                <w:szCs w:val="14"/>
              </w:rPr>
              <w:t>2</w:t>
            </w:r>
            <w:r w:rsidRPr="004C2A3C">
              <w:rPr>
                <w:bCs/>
                <w:noProof/>
                <w:color w:val="000000" w:themeColor="text1"/>
                <w:sz w:val="14"/>
                <w:szCs w:val="14"/>
              </w:rPr>
              <w:t>/</w:t>
            </w:r>
            <w:r w:rsidRPr="004C2A3C">
              <w:rPr>
                <w:b/>
                <w:bCs/>
                <w:noProof/>
                <w:color w:val="000000" w:themeColor="text1"/>
                <w:sz w:val="14"/>
                <w:szCs w:val="14"/>
              </w:rPr>
              <w:t>2A</w:t>
            </w:r>
            <w:r w:rsidRPr="004C2A3C">
              <w:rPr>
                <w:bCs/>
                <w:noProof/>
                <w:color w:val="000000" w:themeColor="text1"/>
                <w:sz w:val="14"/>
                <w:szCs w:val="14"/>
              </w:rPr>
              <w:t>/</w:t>
            </w:r>
            <w:r w:rsidRPr="004C2A3C">
              <w:rPr>
                <w:b/>
                <w:bCs/>
                <w:noProof/>
                <w:color w:val="000000" w:themeColor="text1"/>
                <w:sz w:val="14"/>
                <w:szCs w:val="14"/>
              </w:rPr>
              <w:t>2B</w:t>
            </w:r>
          </w:p>
        </w:tc>
        <w:tc>
          <w:tcPr>
            <w:tcW w:w="3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6F50BF5" w14:textId="77777777" w:rsidR="008443E4" w:rsidRPr="004C2A3C" w:rsidRDefault="008443E4" w:rsidP="000654E6">
            <w:pPr>
              <w:spacing w:before="40" w:after="40" w:line="200" w:lineRule="atLeast"/>
              <w:ind w:left="57" w:right="57"/>
              <w:jc w:val="center"/>
              <w:rPr>
                <w:bCs/>
                <w:noProof/>
                <w:color w:val="000000" w:themeColor="text1"/>
                <w:sz w:val="14"/>
                <w:szCs w:val="14"/>
                <w:lang w:val="fr-FR"/>
              </w:rPr>
            </w:pPr>
            <w:r w:rsidRPr="004C2A3C">
              <w:rPr>
                <w:rFonts w:eastAsia="Calibri"/>
                <w:bCs/>
                <w:noProof/>
                <w:color w:val="000000" w:themeColor="text1"/>
                <w:sz w:val="14"/>
                <w:szCs w:val="14"/>
                <w:lang w:val="fr-FR"/>
              </w:rPr>
              <w:t>Aucune prédiction indépendante ne peut être faite</w:t>
            </w:r>
          </w:p>
        </w:tc>
        <w:tc>
          <w:tcPr>
            <w:tcW w:w="355" w:type="pct"/>
            <w:tcBorders>
              <w:top w:val="single" w:sz="4" w:space="0" w:color="auto"/>
              <w:left w:val="single" w:sz="4" w:space="0" w:color="auto"/>
              <w:bottom w:val="single" w:sz="4" w:space="0" w:color="auto"/>
              <w:right w:val="single" w:sz="4" w:space="0" w:color="auto"/>
            </w:tcBorders>
            <w:vAlign w:val="center"/>
            <w:hideMark/>
          </w:tcPr>
          <w:p w14:paraId="01D86417" w14:textId="77777777" w:rsidR="008443E4" w:rsidRPr="004C2A3C" w:rsidRDefault="008443E4" w:rsidP="000654E6">
            <w:pPr>
              <w:spacing w:before="40" w:after="40" w:line="200" w:lineRule="atLeast"/>
              <w:ind w:left="57" w:right="57"/>
              <w:jc w:val="center"/>
              <w:rPr>
                <w:bCs/>
                <w:noProof/>
                <w:color w:val="000000" w:themeColor="text1"/>
                <w:sz w:val="14"/>
                <w:szCs w:val="14"/>
                <w:lang w:val="fr-FR"/>
              </w:rPr>
            </w:pPr>
            <w:r w:rsidRPr="004C2A3C">
              <w:rPr>
                <w:rFonts w:eastAsia="Calibri"/>
                <w:bCs/>
                <w:noProof/>
                <w:color w:val="000000" w:themeColor="text1"/>
                <w:sz w:val="14"/>
                <w:szCs w:val="14"/>
                <w:lang w:val="fr-FR"/>
              </w:rPr>
              <w:t xml:space="preserve">Aucune prédiction indépendante ne peut </w:t>
            </w:r>
            <w:r w:rsidRPr="004C2A3C">
              <w:rPr>
                <w:sz w:val="14"/>
                <w:szCs w:val="14"/>
              </w:rPr>
              <w:t>être</w:t>
            </w:r>
            <w:r w:rsidRPr="004C2A3C">
              <w:rPr>
                <w:rFonts w:eastAsia="Calibri"/>
                <w:bCs/>
                <w:noProof/>
                <w:color w:val="000000" w:themeColor="text1"/>
                <w:sz w:val="14"/>
                <w:szCs w:val="14"/>
                <w:lang w:val="fr-FR"/>
              </w:rPr>
              <w:t xml:space="preserve"> faite</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5846EAA" w14:textId="77777777" w:rsidR="008443E4" w:rsidRPr="004C2A3C" w:rsidRDefault="008443E4" w:rsidP="000654E6">
            <w:pPr>
              <w:spacing w:before="40" w:after="40" w:line="200" w:lineRule="atLeast"/>
              <w:ind w:left="57" w:right="57"/>
              <w:jc w:val="center"/>
              <w:rPr>
                <w:bCs/>
                <w:noProof/>
                <w:color w:val="000000" w:themeColor="text1"/>
                <w:sz w:val="14"/>
                <w:szCs w:val="14"/>
                <w:lang w:val="fr-FR"/>
              </w:rPr>
            </w:pPr>
            <w:r w:rsidRPr="004C2A3C">
              <w:rPr>
                <w:rFonts w:eastAsia="Calibri"/>
                <w:bCs/>
                <w:noProof/>
                <w:color w:val="000000" w:themeColor="text1"/>
                <w:sz w:val="14"/>
                <w:szCs w:val="14"/>
                <w:lang w:val="fr-FR"/>
              </w:rPr>
              <w:t xml:space="preserve">Aucune </w:t>
            </w:r>
            <w:r w:rsidRPr="004C2A3C">
              <w:rPr>
                <w:sz w:val="14"/>
                <w:szCs w:val="14"/>
              </w:rPr>
              <w:t>prédiction</w:t>
            </w:r>
            <w:r w:rsidRPr="004C2A3C">
              <w:rPr>
                <w:rFonts w:eastAsia="Calibri"/>
                <w:bCs/>
                <w:noProof/>
                <w:color w:val="000000" w:themeColor="text1"/>
                <w:sz w:val="14"/>
                <w:szCs w:val="14"/>
                <w:lang w:val="fr-FR"/>
              </w:rPr>
              <w:t xml:space="preserve"> indépendante ne peut être faite</w:t>
            </w:r>
          </w:p>
        </w:tc>
        <w:tc>
          <w:tcPr>
            <w:tcW w:w="605" w:type="pct"/>
            <w:tcBorders>
              <w:top w:val="single" w:sz="4" w:space="0" w:color="auto"/>
              <w:left w:val="single" w:sz="4" w:space="0" w:color="auto"/>
              <w:bottom w:val="single" w:sz="4" w:space="0" w:color="auto"/>
              <w:right w:val="single" w:sz="4" w:space="0" w:color="auto"/>
            </w:tcBorders>
            <w:hideMark/>
          </w:tcPr>
          <w:p w14:paraId="24966553" w14:textId="77777777" w:rsidR="008443E4" w:rsidRPr="004C2A3C" w:rsidRDefault="008443E4" w:rsidP="000654E6">
            <w:pPr>
              <w:spacing w:before="40" w:after="40" w:line="200" w:lineRule="atLeast"/>
              <w:ind w:left="57" w:right="57"/>
              <w:jc w:val="center"/>
              <w:rPr>
                <w:rFonts w:eastAsia="Calibri"/>
                <w:bCs/>
                <w:noProof/>
                <w:color w:val="000000" w:themeColor="text1"/>
                <w:sz w:val="14"/>
                <w:szCs w:val="14"/>
                <w:lang w:val="fr-FR"/>
              </w:rPr>
            </w:pPr>
            <w:r w:rsidRPr="004C2A3C">
              <w:rPr>
                <w:rFonts w:eastAsia="Calibri"/>
                <w:bCs/>
                <w:noProof/>
                <w:color w:val="000000" w:themeColor="text1"/>
                <w:sz w:val="14"/>
                <w:szCs w:val="14"/>
                <w:lang w:val="fr-FR"/>
              </w:rPr>
              <w:t xml:space="preserve">Aucune prédiction indépendante </w:t>
            </w:r>
            <w:r w:rsidRPr="004C2A3C">
              <w:rPr>
                <w:sz w:val="14"/>
                <w:szCs w:val="14"/>
              </w:rPr>
              <w:t>ne</w:t>
            </w:r>
            <w:r w:rsidRPr="004C2A3C">
              <w:rPr>
                <w:rFonts w:eastAsia="Calibri"/>
                <w:bCs/>
                <w:noProof/>
                <w:color w:val="000000" w:themeColor="text1"/>
                <w:sz w:val="14"/>
                <w:szCs w:val="14"/>
                <w:lang w:val="fr-FR"/>
              </w:rPr>
              <w:t xml:space="preserve"> peut être faite</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8B9EB68" w14:textId="77777777" w:rsidR="008443E4" w:rsidRPr="004C2A3C" w:rsidRDefault="008443E4" w:rsidP="000654E6">
            <w:pPr>
              <w:spacing w:before="40" w:after="40" w:line="200" w:lineRule="atLeast"/>
              <w:ind w:left="57" w:right="57"/>
              <w:jc w:val="center"/>
              <w:rPr>
                <w:bCs/>
                <w:noProof/>
                <w:color w:val="000000" w:themeColor="text1"/>
                <w:sz w:val="14"/>
                <w:szCs w:val="14"/>
                <w:lang w:val="fr-FR"/>
              </w:rPr>
            </w:pPr>
            <w:r w:rsidRPr="004C2A3C">
              <w:rPr>
                <w:rFonts w:eastAsia="Calibri"/>
                <w:bCs/>
                <w:noProof/>
                <w:color w:val="000000" w:themeColor="text1"/>
                <w:sz w:val="14"/>
                <w:szCs w:val="14"/>
                <w:lang w:val="fr-FR"/>
              </w:rPr>
              <w:t>Aucune prédiction indépendante ne peut être faite</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F88CED8" w14:textId="77777777" w:rsidR="008443E4" w:rsidRPr="004C2A3C" w:rsidRDefault="008443E4" w:rsidP="000654E6">
            <w:pPr>
              <w:spacing w:before="40" w:after="40" w:line="200" w:lineRule="atLeast"/>
              <w:ind w:left="57" w:right="57"/>
              <w:jc w:val="center"/>
              <w:rPr>
                <w:bCs/>
                <w:noProof/>
                <w:color w:val="000000" w:themeColor="text1"/>
                <w:sz w:val="14"/>
                <w:szCs w:val="14"/>
                <w:lang w:val="fr-FR"/>
              </w:rPr>
            </w:pPr>
            <w:r w:rsidRPr="004C2A3C">
              <w:rPr>
                <w:rFonts w:eastAsia="Calibri"/>
                <w:bCs/>
                <w:noProof/>
                <w:color w:val="000000" w:themeColor="text1"/>
                <w:sz w:val="14"/>
                <w:szCs w:val="14"/>
                <w:lang w:val="fr-FR"/>
              </w:rPr>
              <w:t xml:space="preserve">Aucune prédiction indépendante </w:t>
            </w:r>
            <w:r w:rsidRPr="004C2A3C">
              <w:rPr>
                <w:rFonts w:eastAsia="Calibri"/>
                <w:bCs/>
                <w:noProof/>
                <w:color w:val="000000" w:themeColor="text1"/>
                <w:sz w:val="14"/>
                <w:szCs w:val="14"/>
                <w:lang w:val="fr-FR"/>
              </w:rPr>
              <w:br/>
              <w:t>ne peut être faite</w:t>
            </w:r>
          </w:p>
        </w:tc>
        <w:tc>
          <w:tcPr>
            <w:tcW w:w="520" w:type="pct"/>
            <w:tcBorders>
              <w:top w:val="single" w:sz="4" w:space="0" w:color="auto"/>
              <w:left w:val="single" w:sz="4" w:space="0" w:color="auto"/>
              <w:bottom w:val="single" w:sz="4" w:space="0" w:color="auto"/>
              <w:right w:val="single" w:sz="4" w:space="0" w:color="auto"/>
            </w:tcBorders>
            <w:hideMark/>
          </w:tcPr>
          <w:p w14:paraId="4E741B0C" w14:textId="77777777" w:rsidR="008443E4" w:rsidRPr="004C2A3C" w:rsidRDefault="008443E4" w:rsidP="000654E6">
            <w:pPr>
              <w:spacing w:before="40" w:after="40" w:line="200" w:lineRule="atLeast"/>
              <w:ind w:left="57" w:right="57"/>
              <w:jc w:val="center"/>
              <w:rPr>
                <w:rFonts w:eastAsia="Calibri"/>
                <w:bCs/>
                <w:noProof/>
                <w:color w:val="000000" w:themeColor="text1"/>
                <w:sz w:val="14"/>
                <w:szCs w:val="14"/>
                <w:lang w:val="fr-FR"/>
              </w:rPr>
            </w:pPr>
            <w:r w:rsidRPr="004C2A3C">
              <w:rPr>
                <w:rFonts w:eastAsia="Calibri"/>
                <w:bCs/>
                <w:noProof/>
                <w:color w:val="000000" w:themeColor="text1"/>
                <w:sz w:val="14"/>
                <w:szCs w:val="14"/>
                <w:lang w:val="fr-FR"/>
              </w:rPr>
              <w:t xml:space="preserve">Aucune </w:t>
            </w:r>
            <w:r w:rsidRPr="004C2A3C">
              <w:rPr>
                <w:sz w:val="14"/>
                <w:szCs w:val="14"/>
              </w:rPr>
              <w:t>prédiction</w:t>
            </w:r>
            <w:r w:rsidRPr="004C2A3C">
              <w:rPr>
                <w:rFonts w:eastAsia="Calibri"/>
                <w:bCs/>
                <w:noProof/>
                <w:color w:val="000000" w:themeColor="text1"/>
                <w:sz w:val="14"/>
                <w:szCs w:val="14"/>
                <w:lang w:val="fr-FR"/>
              </w:rPr>
              <w:t xml:space="preserve"> indépendante ne peut être faite</w:t>
            </w:r>
          </w:p>
        </w:tc>
        <w:tc>
          <w:tcPr>
            <w:tcW w:w="520" w:type="pct"/>
            <w:tcBorders>
              <w:top w:val="single" w:sz="4" w:space="0" w:color="auto"/>
              <w:left w:val="single" w:sz="4" w:space="0" w:color="auto"/>
              <w:bottom w:val="single" w:sz="4" w:space="0" w:color="auto"/>
              <w:right w:val="single" w:sz="4" w:space="0" w:color="auto"/>
            </w:tcBorders>
            <w:hideMark/>
          </w:tcPr>
          <w:p w14:paraId="573E6862" w14:textId="77777777" w:rsidR="008443E4" w:rsidRPr="004C2A3C" w:rsidRDefault="008443E4" w:rsidP="000654E6">
            <w:pPr>
              <w:spacing w:before="40" w:after="40" w:line="200" w:lineRule="atLeast"/>
              <w:ind w:left="57" w:right="57"/>
              <w:jc w:val="center"/>
              <w:rPr>
                <w:rFonts w:eastAsia="Calibri"/>
                <w:bCs/>
                <w:noProof/>
                <w:color w:val="000000" w:themeColor="text1"/>
                <w:sz w:val="14"/>
                <w:szCs w:val="14"/>
                <w:lang w:val="fr-FR"/>
              </w:rPr>
            </w:pPr>
            <w:r w:rsidRPr="004C2A3C">
              <w:rPr>
                <w:rFonts w:eastAsia="Calibri"/>
                <w:bCs/>
                <w:noProof/>
                <w:color w:val="000000" w:themeColor="text1"/>
                <w:sz w:val="14"/>
                <w:szCs w:val="14"/>
                <w:lang w:val="fr-FR"/>
              </w:rPr>
              <w:t xml:space="preserve">Aucune prédiction indépendante </w:t>
            </w:r>
            <w:r w:rsidRPr="004C2A3C">
              <w:rPr>
                <w:sz w:val="14"/>
                <w:szCs w:val="14"/>
              </w:rPr>
              <w:t>ne</w:t>
            </w:r>
            <w:r w:rsidRPr="004C2A3C">
              <w:rPr>
                <w:rFonts w:eastAsia="Calibri"/>
                <w:bCs/>
                <w:noProof/>
                <w:color w:val="000000" w:themeColor="text1"/>
                <w:sz w:val="14"/>
                <w:szCs w:val="14"/>
                <w:lang w:val="fr-FR"/>
              </w:rPr>
              <w:t xml:space="preserve"> peut être faite</w:t>
            </w:r>
          </w:p>
        </w:tc>
      </w:tr>
      <w:tr w:rsidR="008443E4" w:rsidRPr="004C2A3C" w14:paraId="616E88CB" w14:textId="77777777" w:rsidTr="000654E6">
        <w:trPr>
          <w:trHeight w:val="399"/>
        </w:trPr>
        <w:tc>
          <w:tcPr>
            <w:tcW w:w="2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9697D9D" w14:textId="77777777" w:rsidR="008443E4" w:rsidRPr="004C2A3C" w:rsidRDefault="008443E4" w:rsidP="000654E6">
            <w:pPr>
              <w:keepNext/>
              <w:keepLines/>
              <w:spacing w:before="40" w:after="40" w:line="200" w:lineRule="atLeast"/>
              <w:ind w:left="57" w:right="57"/>
              <w:jc w:val="center"/>
              <w:rPr>
                <w:b/>
                <w:bCs/>
                <w:noProof/>
                <w:color w:val="000000" w:themeColor="text1"/>
                <w:sz w:val="14"/>
                <w:szCs w:val="14"/>
              </w:rPr>
            </w:pPr>
            <w:r w:rsidRPr="004C2A3C">
              <w:rPr>
                <w:rFonts w:eastAsia="Calibri"/>
                <w:b/>
                <w:bCs/>
                <w:noProof/>
                <w:color w:val="000000" w:themeColor="text1"/>
                <w:sz w:val="14"/>
                <w:szCs w:val="14"/>
              </w:rPr>
              <w:t xml:space="preserve">Non </w:t>
            </w:r>
            <w:r w:rsidRPr="004C2A3C">
              <w:rPr>
                <w:b/>
                <w:bCs/>
                <w:sz w:val="14"/>
                <w:szCs w:val="14"/>
              </w:rPr>
              <w:t>classé</w:t>
            </w:r>
          </w:p>
        </w:tc>
        <w:tc>
          <w:tcPr>
            <w:tcW w:w="3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F04CAED" w14:textId="77777777" w:rsidR="008443E4" w:rsidRPr="004C2A3C" w:rsidRDefault="008443E4" w:rsidP="000654E6">
            <w:pPr>
              <w:keepNext/>
              <w:keepLines/>
              <w:spacing w:before="40" w:after="40" w:line="200" w:lineRule="atLeast"/>
              <w:ind w:left="57" w:right="57"/>
              <w:jc w:val="center"/>
              <w:rPr>
                <w:rFonts w:eastAsia="Calibri"/>
                <w:bCs/>
                <w:noProof/>
                <w:color w:val="000000" w:themeColor="text1"/>
                <w:sz w:val="14"/>
                <w:szCs w:val="14"/>
              </w:rPr>
            </w:pPr>
            <w:r w:rsidRPr="004C2A3C">
              <w:rPr>
                <w:sz w:val="14"/>
                <w:szCs w:val="14"/>
              </w:rPr>
              <w:t>Opacimètre</w:t>
            </w:r>
            <w:r w:rsidRPr="004C2A3C">
              <w:rPr>
                <w:sz w:val="14"/>
                <w:szCs w:val="14"/>
              </w:rPr>
              <w:br/>
            </w:r>
            <w:r w:rsidRPr="004C2A3C">
              <w:rPr>
                <w:rFonts w:eastAsia="Calibri"/>
                <w:bCs/>
                <w:noProof/>
                <w:color w:val="000000" w:themeColor="text1"/>
                <w:sz w:val="14"/>
                <w:szCs w:val="14"/>
              </w:rPr>
              <w:t>1</w:t>
            </w:r>
          </w:p>
          <w:p w14:paraId="15E9A63D" w14:textId="77777777" w:rsidR="008443E4" w:rsidRPr="004C2A3C" w:rsidRDefault="008443E4" w:rsidP="000654E6">
            <w:pPr>
              <w:keepNext/>
              <w:keepLines/>
              <w:spacing w:before="40" w:after="40" w:line="200" w:lineRule="atLeast"/>
              <w:ind w:left="57" w:right="57"/>
              <w:jc w:val="center"/>
              <w:rPr>
                <w:bCs/>
                <w:noProof/>
                <w:color w:val="000000" w:themeColor="text1"/>
                <w:sz w:val="14"/>
                <w:szCs w:val="14"/>
              </w:rPr>
            </w:pPr>
            <w:r w:rsidRPr="004C2A3C">
              <w:rPr>
                <w:rFonts w:eastAsia="Calibri"/>
                <w:bCs/>
                <w:noProof/>
                <w:color w:val="000000" w:themeColor="text1"/>
                <w:sz w:val="14"/>
                <w:szCs w:val="14"/>
              </w:rPr>
              <w:t>IVIS ≤ 3</w:t>
            </w:r>
          </w:p>
        </w:tc>
        <w:tc>
          <w:tcPr>
            <w:tcW w:w="355" w:type="pct"/>
            <w:tcBorders>
              <w:top w:val="single" w:sz="4" w:space="0" w:color="auto"/>
              <w:left w:val="single" w:sz="4" w:space="0" w:color="auto"/>
              <w:bottom w:val="single" w:sz="4" w:space="0" w:color="auto"/>
              <w:right w:val="single" w:sz="4" w:space="0" w:color="auto"/>
            </w:tcBorders>
          </w:tcPr>
          <w:p w14:paraId="3F9B3838" w14:textId="77777777" w:rsidR="008443E4" w:rsidRPr="004C2A3C" w:rsidRDefault="008443E4" w:rsidP="000654E6">
            <w:pPr>
              <w:keepNext/>
              <w:keepLines/>
              <w:spacing w:before="40" w:after="40" w:line="200" w:lineRule="atLeast"/>
              <w:ind w:left="57" w:right="57"/>
              <w:jc w:val="center"/>
              <w:rPr>
                <w:bCs/>
                <w:noProof/>
                <w:color w:val="000000" w:themeColor="text1"/>
                <w:sz w:val="14"/>
                <w:szCs w:val="14"/>
              </w:rPr>
            </w:pPr>
            <w:r w:rsidRPr="004C2A3C">
              <w:rPr>
                <w:sz w:val="14"/>
                <w:szCs w:val="14"/>
              </w:rPr>
              <w:t>Opacimètre</w:t>
            </w:r>
            <w:r w:rsidRPr="004C2A3C">
              <w:rPr>
                <w:sz w:val="14"/>
                <w:szCs w:val="14"/>
              </w:rPr>
              <w:br/>
            </w:r>
            <w:r w:rsidRPr="004C2A3C">
              <w:rPr>
                <w:bCs/>
                <w:noProof/>
                <w:color w:val="000000" w:themeColor="text1"/>
                <w:sz w:val="14"/>
                <w:szCs w:val="14"/>
              </w:rPr>
              <w:t>2</w:t>
            </w:r>
          </w:p>
          <w:p w14:paraId="40C88FD0" w14:textId="77777777" w:rsidR="008443E4" w:rsidRPr="004C2A3C" w:rsidRDefault="008443E4" w:rsidP="000654E6">
            <w:pPr>
              <w:keepNext/>
              <w:keepLines/>
              <w:spacing w:before="40" w:after="40" w:line="200" w:lineRule="atLeast"/>
              <w:ind w:left="57" w:right="57"/>
              <w:jc w:val="center"/>
              <w:rPr>
                <w:bCs/>
                <w:noProof/>
                <w:color w:val="000000" w:themeColor="text1"/>
                <w:sz w:val="14"/>
                <w:szCs w:val="14"/>
              </w:rPr>
            </w:pPr>
            <w:r w:rsidRPr="004C2A3C">
              <w:rPr>
                <w:bCs/>
                <w:noProof/>
                <w:color w:val="000000" w:themeColor="text1"/>
                <w:sz w:val="14"/>
                <w:szCs w:val="14"/>
              </w:rPr>
              <w:t>LIS ≤ 30</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94205BD" w14:textId="77777777" w:rsidR="008443E4" w:rsidRPr="004C2A3C" w:rsidRDefault="008443E4" w:rsidP="000654E6">
            <w:pPr>
              <w:keepNext/>
              <w:keepLines/>
              <w:spacing w:before="40" w:after="40" w:line="200" w:lineRule="atLeast"/>
              <w:ind w:left="57" w:right="57"/>
              <w:jc w:val="center"/>
              <w:rPr>
                <w:noProof/>
                <w:color w:val="000000" w:themeColor="text1"/>
                <w:sz w:val="14"/>
                <w:szCs w:val="14"/>
                <w:lang w:val="fr-FR"/>
              </w:rPr>
            </w:pPr>
            <w:r w:rsidRPr="004C2A3C">
              <w:rPr>
                <w:rFonts w:eastAsia="Calibri"/>
                <w:bCs/>
                <w:noProof/>
                <w:color w:val="000000" w:themeColor="text1"/>
                <w:sz w:val="14"/>
                <w:szCs w:val="14"/>
                <w:lang w:val="fr-FR"/>
              </w:rPr>
              <w:t xml:space="preserve">OPI de classe I pour les 3 critères </w:t>
            </w:r>
            <w:r w:rsidRPr="004C2A3C">
              <w:rPr>
                <w:sz w:val="14"/>
                <w:szCs w:val="14"/>
              </w:rPr>
              <w:t>terminaux</w:t>
            </w:r>
            <w:r w:rsidRPr="004C2A3C">
              <w:rPr>
                <w:rFonts w:eastAsia="Calibri"/>
                <w:bCs/>
                <w:noProof/>
                <w:color w:val="000000" w:themeColor="text1"/>
                <w:sz w:val="14"/>
                <w:szCs w:val="14"/>
                <w:lang w:val="fr-FR"/>
              </w:rPr>
              <w:t xml:space="preserve">, </w:t>
            </w:r>
            <w:r w:rsidRPr="004C2A3C">
              <w:rPr>
                <w:rFonts w:eastAsia="Calibri"/>
                <w:bCs/>
                <w:noProof/>
                <w:color w:val="000000" w:themeColor="text1"/>
                <w:sz w:val="14"/>
                <w:szCs w:val="14"/>
                <w:lang w:val="fr-FR"/>
              </w:rPr>
              <w:br/>
              <w:t>OU</w:t>
            </w:r>
            <w:r w:rsidRPr="004C2A3C">
              <w:rPr>
                <w:rFonts w:eastAsia="Calibri"/>
                <w:bCs/>
                <w:noProof/>
                <w:color w:val="000000" w:themeColor="text1"/>
                <w:sz w:val="14"/>
                <w:szCs w:val="14"/>
                <w:lang w:val="fr-FR"/>
              </w:rPr>
              <w:br/>
              <w:t>OPI de classe I pour 2 critères terminaux et OPI de classe II pour l</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 xml:space="preserve">autre critère terminal, </w:t>
            </w:r>
            <w:r w:rsidRPr="004C2A3C">
              <w:rPr>
                <w:rFonts w:eastAsia="Calibri"/>
                <w:bCs/>
                <w:noProof/>
                <w:color w:val="000000" w:themeColor="text1"/>
                <w:sz w:val="14"/>
                <w:szCs w:val="14"/>
                <w:lang w:val="fr-FR"/>
              </w:rPr>
              <w:br/>
              <w:t>OU</w:t>
            </w:r>
            <w:r w:rsidRPr="004C2A3C">
              <w:rPr>
                <w:rFonts w:eastAsia="Calibri"/>
                <w:bCs/>
                <w:noProof/>
                <w:color w:val="000000" w:themeColor="text1"/>
                <w:sz w:val="14"/>
                <w:szCs w:val="14"/>
                <w:lang w:val="fr-FR"/>
              </w:rPr>
              <w:br/>
              <w:t>OPI de classe II pour 2 critères terminaux et OPI de classe I pour l</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autre critère terminal</w:t>
            </w:r>
          </w:p>
        </w:tc>
        <w:tc>
          <w:tcPr>
            <w:tcW w:w="605" w:type="pct"/>
            <w:tcBorders>
              <w:top w:val="single" w:sz="4" w:space="0" w:color="auto"/>
              <w:left w:val="single" w:sz="4" w:space="0" w:color="auto"/>
              <w:bottom w:val="single" w:sz="4" w:space="0" w:color="auto"/>
              <w:right w:val="single" w:sz="4" w:space="0" w:color="auto"/>
            </w:tcBorders>
            <w:hideMark/>
          </w:tcPr>
          <w:p w14:paraId="24E30212" w14:textId="77777777" w:rsidR="008443E4" w:rsidRPr="004C2A3C" w:rsidRDefault="008443E4" w:rsidP="000654E6">
            <w:pPr>
              <w:keepNext/>
              <w:keepLines/>
              <w:spacing w:before="40" w:after="40" w:line="200" w:lineRule="atLeast"/>
              <w:ind w:left="57" w:right="57"/>
              <w:jc w:val="center"/>
              <w:rPr>
                <w:rFonts w:eastAsia="Calibri"/>
                <w:bCs/>
                <w:noProof/>
                <w:color w:val="000000" w:themeColor="text1"/>
                <w:sz w:val="14"/>
                <w:szCs w:val="14"/>
                <w:lang w:val="fr-FR"/>
              </w:rPr>
            </w:pPr>
            <w:r w:rsidRPr="004C2A3C">
              <w:rPr>
                <w:rFonts w:eastAsia="Calibri"/>
                <w:bCs/>
                <w:noProof/>
                <w:color w:val="000000" w:themeColor="text1"/>
                <w:sz w:val="14"/>
                <w:szCs w:val="14"/>
                <w:lang w:val="fr-FR"/>
              </w:rPr>
              <w:t xml:space="preserve">Aucune prédiction indépendante ne peut être </w:t>
            </w:r>
            <w:r w:rsidRPr="004C2A3C">
              <w:rPr>
                <w:sz w:val="14"/>
                <w:szCs w:val="14"/>
              </w:rPr>
              <w:t>faite</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3D34149" w14:textId="77777777" w:rsidR="008443E4" w:rsidRPr="004C2A3C" w:rsidRDefault="008443E4" w:rsidP="000654E6">
            <w:pPr>
              <w:keepNext/>
              <w:keepLines/>
              <w:spacing w:before="40" w:after="40" w:line="200" w:lineRule="atLeast"/>
              <w:ind w:left="57" w:right="57"/>
              <w:jc w:val="center"/>
              <w:rPr>
                <w:bCs/>
                <w:noProof/>
                <w:color w:val="000000" w:themeColor="text1"/>
                <w:sz w:val="14"/>
                <w:szCs w:val="14"/>
              </w:rPr>
            </w:pPr>
            <w:r w:rsidRPr="004C2A3C">
              <w:rPr>
                <w:rFonts w:eastAsia="Calibri"/>
                <w:bCs/>
                <w:noProof/>
                <w:color w:val="000000" w:themeColor="text1"/>
                <w:sz w:val="14"/>
                <w:szCs w:val="14"/>
              </w:rPr>
              <w:t>Viabilité &gt;70 %</w:t>
            </w:r>
            <w:r w:rsidRPr="004C2A3C">
              <w:rPr>
                <w:rFonts w:eastAsia="Calibri"/>
                <w:bCs/>
                <w:noProof/>
                <w:color w:val="000000" w:themeColor="text1"/>
                <w:sz w:val="14"/>
                <w:szCs w:val="14"/>
              </w:rPr>
              <w:br/>
              <w:t xml:space="preserve">à 5 % </w:t>
            </w:r>
            <w:r w:rsidRPr="004C2A3C">
              <w:rPr>
                <w:sz w:val="14"/>
                <w:szCs w:val="14"/>
              </w:rPr>
              <w:t>et</w:t>
            </w:r>
            <w:r w:rsidRPr="004C2A3C">
              <w:rPr>
                <w:rFonts w:eastAsia="Calibri"/>
                <w:bCs/>
                <w:noProof/>
                <w:color w:val="000000" w:themeColor="text1"/>
                <w:sz w:val="14"/>
                <w:szCs w:val="14"/>
              </w:rPr>
              <w:t xml:space="preserve"> à 0,05 %</w:t>
            </w:r>
          </w:p>
        </w:tc>
        <w:tc>
          <w:tcPr>
            <w:tcW w:w="285" w:type="pct"/>
            <w:tcBorders>
              <w:top w:val="single" w:sz="4" w:space="0" w:color="auto"/>
              <w:left w:val="single" w:sz="4" w:space="0" w:color="auto"/>
              <w:bottom w:val="single" w:sz="4" w:space="0" w:color="auto"/>
              <w:right w:val="single" w:sz="4" w:space="0" w:color="auto"/>
            </w:tcBorders>
          </w:tcPr>
          <w:p w14:paraId="4A7C51B4" w14:textId="77777777" w:rsidR="008443E4" w:rsidRPr="004C2A3C" w:rsidRDefault="008443E4" w:rsidP="000654E6">
            <w:pPr>
              <w:keepNext/>
              <w:keepLines/>
              <w:spacing w:before="40" w:after="40" w:line="200" w:lineRule="atLeast"/>
              <w:jc w:val="center"/>
              <w:rPr>
                <w:rFonts w:eastAsia="Calibri"/>
                <w:bCs/>
                <w:noProof/>
                <w:color w:val="000000" w:themeColor="text1"/>
                <w:sz w:val="14"/>
                <w:szCs w:val="14"/>
                <w:lang w:val="fr-FR"/>
              </w:rPr>
            </w:pPr>
            <w:r w:rsidRPr="004C2A3C">
              <w:rPr>
                <w:rFonts w:eastAsia="Calibri"/>
                <w:bCs/>
                <w:noProof/>
                <w:color w:val="000000" w:themeColor="text1"/>
                <w:sz w:val="14"/>
                <w:szCs w:val="14"/>
                <w:lang w:val="fr-FR"/>
              </w:rPr>
              <w:t xml:space="preserve">Méthode </w:t>
            </w:r>
            <w:r w:rsidRPr="004C2A3C">
              <w:rPr>
                <w:sz w:val="14"/>
                <w:szCs w:val="14"/>
              </w:rPr>
              <w:t>d</w:t>
            </w:r>
            <w:r>
              <w:rPr>
                <w:sz w:val="14"/>
                <w:szCs w:val="14"/>
              </w:rPr>
              <w:t>’</w:t>
            </w:r>
            <w:r w:rsidRPr="004C2A3C">
              <w:rPr>
                <w:sz w:val="14"/>
                <w:szCs w:val="14"/>
              </w:rPr>
              <w:t>essai</w:t>
            </w:r>
            <w:r w:rsidRPr="004C2A3C">
              <w:rPr>
                <w:sz w:val="14"/>
                <w:szCs w:val="14"/>
              </w:rPr>
              <w:br/>
            </w:r>
            <w:r w:rsidRPr="004C2A3C">
              <w:rPr>
                <w:rFonts w:eastAsia="Calibri"/>
                <w:bCs/>
                <w:noProof/>
                <w:color w:val="000000" w:themeColor="text1"/>
                <w:sz w:val="14"/>
                <w:szCs w:val="14"/>
                <w:lang w:val="fr-FR"/>
              </w:rPr>
              <w:t>1</w:t>
            </w:r>
          </w:p>
          <w:p w14:paraId="1E574B79" w14:textId="77777777" w:rsidR="008443E4" w:rsidRPr="004C2A3C" w:rsidRDefault="008443E4" w:rsidP="000654E6">
            <w:pPr>
              <w:keepNext/>
              <w:keepLines/>
              <w:spacing w:before="40" w:after="40" w:line="200" w:lineRule="atLeast"/>
              <w:ind w:left="57" w:right="57"/>
              <w:jc w:val="center"/>
              <w:rPr>
                <w:rFonts w:eastAsia="Calibri"/>
                <w:bCs/>
                <w:noProof/>
                <w:color w:val="000000" w:themeColor="text1"/>
                <w:sz w:val="14"/>
                <w:szCs w:val="14"/>
                <w:lang w:val="fr-FR"/>
              </w:rPr>
            </w:pPr>
            <w:r w:rsidRPr="004C2A3C">
              <w:rPr>
                <w:rFonts w:eastAsia="Calibri"/>
                <w:bCs/>
                <w:noProof/>
                <w:color w:val="000000" w:themeColor="text1"/>
                <w:sz w:val="14"/>
                <w:szCs w:val="14"/>
                <w:lang w:val="fr-FR"/>
              </w:rPr>
              <w:t>Liquides et solides : viabilité &gt;60 %</w:t>
            </w:r>
          </w:p>
        </w:tc>
        <w:tc>
          <w:tcPr>
            <w:tcW w:w="286" w:type="pct"/>
            <w:tcBorders>
              <w:top w:val="single" w:sz="4" w:space="0" w:color="auto"/>
              <w:left w:val="single" w:sz="4" w:space="0" w:color="auto"/>
              <w:bottom w:val="single" w:sz="4" w:space="0" w:color="auto"/>
              <w:right w:val="single" w:sz="4" w:space="0" w:color="auto"/>
            </w:tcBorders>
          </w:tcPr>
          <w:p w14:paraId="15F715B6" w14:textId="77777777" w:rsidR="008443E4" w:rsidRPr="004C2A3C" w:rsidRDefault="008443E4" w:rsidP="000654E6">
            <w:pPr>
              <w:keepNext/>
              <w:keepLines/>
              <w:spacing w:before="40" w:after="40" w:line="200" w:lineRule="atLeast"/>
              <w:ind w:left="57" w:right="57"/>
              <w:jc w:val="center"/>
              <w:rPr>
                <w:rFonts w:eastAsia="Calibri"/>
                <w:bCs/>
                <w:noProof/>
                <w:color w:val="000000" w:themeColor="text1"/>
                <w:sz w:val="14"/>
                <w:szCs w:val="14"/>
                <w:lang w:val="fr-FR"/>
              </w:rPr>
            </w:pPr>
            <w:r w:rsidRPr="004C2A3C">
              <w:rPr>
                <w:rFonts w:eastAsia="Calibri"/>
                <w:bCs/>
                <w:noProof/>
                <w:color w:val="000000" w:themeColor="text1"/>
                <w:sz w:val="14"/>
                <w:szCs w:val="14"/>
                <w:lang w:val="fr-FR"/>
              </w:rPr>
              <w:t xml:space="preserve">Méthode </w:t>
            </w:r>
            <w:r w:rsidRPr="004C2A3C">
              <w:rPr>
                <w:sz w:val="14"/>
                <w:szCs w:val="14"/>
              </w:rPr>
              <w:t>d</w:t>
            </w:r>
            <w:r>
              <w:rPr>
                <w:sz w:val="14"/>
                <w:szCs w:val="14"/>
              </w:rPr>
              <w:t>’</w:t>
            </w:r>
            <w:r w:rsidRPr="004C2A3C">
              <w:rPr>
                <w:sz w:val="14"/>
                <w:szCs w:val="14"/>
              </w:rPr>
              <w:t>essai</w:t>
            </w:r>
            <w:r w:rsidRPr="004C2A3C">
              <w:rPr>
                <w:sz w:val="14"/>
                <w:szCs w:val="14"/>
              </w:rPr>
              <w:br/>
            </w:r>
            <w:r w:rsidRPr="004C2A3C">
              <w:rPr>
                <w:rFonts w:eastAsia="Calibri"/>
                <w:bCs/>
                <w:noProof/>
                <w:color w:val="000000" w:themeColor="text1"/>
                <w:sz w:val="14"/>
                <w:szCs w:val="14"/>
                <w:lang w:val="fr-FR"/>
              </w:rPr>
              <w:t>2</w:t>
            </w:r>
          </w:p>
          <w:p w14:paraId="430895CC" w14:textId="77777777" w:rsidR="008443E4" w:rsidRPr="004C2A3C" w:rsidRDefault="008443E4" w:rsidP="000654E6">
            <w:pPr>
              <w:keepNext/>
              <w:keepLines/>
              <w:spacing w:before="40" w:after="40" w:line="200" w:lineRule="atLeast"/>
              <w:ind w:left="57" w:right="57"/>
              <w:jc w:val="center"/>
              <w:rPr>
                <w:rFonts w:eastAsia="Calibri"/>
                <w:bCs/>
                <w:noProof/>
                <w:color w:val="000000" w:themeColor="text1"/>
                <w:sz w:val="14"/>
                <w:szCs w:val="14"/>
              </w:rPr>
            </w:pPr>
            <w:r w:rsidRPr="004C2A3C">
              <w:rPr>
                <w:rFonts w:eastAsia="Calibri"/>
                <w:bCs/>
                <w:noProof/>
                <w:color w:val="000000" w:themeColor="text1"/>
                <w:sz w:val="14"/>
                <w:szCs w:val="14"/>
                <w:lang w:val="fr-FR"/>
              </w:rPr>
              <w:t xml:space="preserve">Liquides : </w:t>
            </w:r>
            <w:r w:rsidRPr="004C2A3C">
              <w:rPr>
                <w:sz w:val="14"/>
                <w:szCs w:val="14"/>
              </w:rPr>
              <w:t>viabilité</w:t>
            </w:r>
            <w:r w:rsidRPr="004C2A3C">
              <w:rPr>
                <w:rFonts w:eastAsia="Calibri"/>
                <w:bCs/>
                <w:noProof/>
                <w:color w:val="000000" w:themeColor="text1"/>
                <w:sz w:val="14"/>
                <w:szCs w:val="14"/>
                <w:lang w:val="fr-FR"/>
              </w:rPr>
              <w:t xml:space="preserve"> &gt;60 % ; solides : </w:t>
            </w:r>
            <w:r w:rsidRPr="004C2A3C">
              <w:rPr>
                <w:rFonts w:eastAsia="Calibri"/>
                <w:bCs/>
                <w:noProof/>
                <w:color w:val="000000" w:themeColor="text1"/>
                <w:sz w:val="14"/>
                <w:szCs w:val="14"/>
                <w:lang w:val="pt-PT"/>
              </w:rPr>
              <w:t>viabilité &gt;50 %</w:t>
            </w:r>
          </w:p>
        </w:tc>
        <w:tc>
          <w:tcPr>
            <w:tcW w:w="286" w:type="pct"/>
            <w:tcBorders>
              <w:top w:val="single" w:sz="4" w:space="0" w:color="auto"/>
              <w:left w:val="single" w:sz="4" w:space="0" w:color="auto"/>
              <w:bottom w:val="single" w:sz="4" w:space="0" w:color="auto"/>
              <w:right w:val="single" w:sz="4" w:space="0" w:color="auto"/>
            </w:tcBorders>
          </w:tcPr>
          <w:p w14:paraId="3B67932B" w14:textId="77777777" w:rsidR="008443E4" w:rsidRPr="004C2A3C" w:rsidRDefault="008443E4" w:rsidP="000654E6">
            <w:pPr>
              <w:keepNext/>
              <w:keepLines/>
              <w:spacing w:before="40" w:after="40" w:line="200" w:lineRule="atLeast"/>
              <w:ind w:left="57" w:right="57"/>
              <w:jc w:val="center"/>
              <w:rPr>
                <w:rFonts w:eastAsia="Calibri"/>
                <w:bCs/>
                <w:noProof/>
                <w:color w:val="000000" w:themeColor="text1"/>
                <w:sz w:val="14"/>
                <w:szCs w:val="14"/>
                <w:lang w:val="fr-FR"/>
              </w:rPr>
            </w:pPr>
            <w:r w:rsidRPr="004C2A3C">
              <w:rPr>
                <w:sz w:val="14"/>
                <w:szCs w:val="14"/>
              </w:rPr>
              <w:t>Méthode</w:t>
            </w:r>
            <w:r w:rsidRPr="004C2A3C">
              <w:rPr>
                <w:rFonts w:eastAsia="Calibri"/>
                <w:bCs/>
                <w:noProof/>
                <w:color w:val="000000" w:themeColor="text1"/>
                <w:sz w:val="14"/>
                <w:szCs w:val="14"/>
                <w:lang w:val="fr-FR"/>
              </w:rPr>
              <w:t xml:space="preserve">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essai</w:t>
            </w:r>
            <w:r w:rsidRPr="004C2A3C">
              <w:rPr>
                <w:rFonts w:eastAsia="Calibri"/>
                <w:bCs/>
                <w:noProof/>
                <w:color w:val="000000" w:themeColor="text1"/>
                <w:sz w:val="14"/>
                <w:szCs w:val="14"/>
                <w:lang w:val="fr-FR"/>
              </w:rPr>
              <w:br/>
              <w:t>3</w:t>
            </w:r>
          </w:p>
          <w:p w14:paraId="0F85AD38" w14:textId="77777777" w:rsidR="008443E4" w:rsidRPr="004C2A3C" w:rsidRDefault="008443E4" w:rsidP="000654E6">
            <w:pPr>
              <w:keepNext/>
              <w:keepLines/>
              <w:spacing w:before="40" w:after="40" w:line="200" w:lineRule="atLeast"/>
              <w:ind w:left="57" w:right="57"/>
              <w:jc w:val="center"/>
              <w:rPr>
                <w:rFonts w:eastAsia="Calibri"/>
                <w:bCs/>
                <w:noProof/>
                <w:color w:val="000000" w:themeColor="text1"/>
                <w:sz w:val="14"/>
                <w:szCs w:val="14"/>
                <w:lang w:val="fr-FR"/>
              </w:rPr>
            </w:pPr>
            <w:r w:rsidRPr="004C2A3C">
              <w:rPr>
                <w:rFonts w:eastAsia="Calibri"/>
                <w:bCs/>
                <w:noProof/>
                <w:color w:val="000000" w:themeColor="text1"/>
                <w:sz w:val="14"/>
                <w:szCs w:val="14"/>
                <w:lang w:val="fr-FR"/>
              </w:rPr>
              <w:t xml:space="preserve">Liquides et </w:t>
            </w:r>
            <w:r w:rsidRPr="004C2A3C">
              <w:rPr>
                <w:sz w:val="14"/>
                <w:szCs w:val="14"/>
              </w:rPr>
              <w:t>solides</w:t>
            </w:r>
            <w:r w:rsidRPr="004C2A3C">
              <w:rPr>
                <w:rFonts w:eastAsia="Calibri"/>
                <w:bCs/>
                <w:noProof/>
                <w:color w:val="000000" w:themeColor="text1"/>
                <w:sz w:val="14"/>
                <w:szCs w:val="14"/>
                <w:lang w:val="fr-FR"/>
              </w:rPr>
              <w:t> : viabilité &gt;40 %</w:t>
            </w:r>
          </w:p>
        </w:tc>
        <w:tc>
          <w:tcPr>
            <w:tcW w:w="286" w:type="pct"/>
            <w:tcBorders>
              <w:top w:val="single" w:sz="4" w:space="0" w:color="auto"/>
              <w:left w:val="single" w:sz="4" w:space="0" w:color="auto"/>
              <w:bottom w:val="single" w:sz="4" w:space="0" w:color="auto"/>
              <w:right w:val="single" w:sz="4" w:space="0" w:color="auto"/>
            </w:tcBorders>
          </w:tcPr>
          <w:p w14:paraId="1652F398" w14:textId="77777777" w:rsidR="008443E4" w:rsidRPr="004C2A3C" w:rsidRDefault="008443E4" w:rsidP="000654E6">
            <w:pPr>
              <w:keepNext/>
              <w:keepLines/>
              <w:spacing w:before="40" w:after="40" w:line="200" w:lineRule="atLeast"/>
              <w:ind w:left="57" w:right="57"/>
              <w:jc w:val="center"/>
              <w:rPr>
                <w:rFonts w:eastAsia="Calibri"/>
                <w:bCs/>
                <w:noProof/>
                <w:color w:val="000000" w:themeColor="text1"/>
                <w:sz w:val="14"/>
                <w:szCs w:val="14"/>
                <w:lang w:val="fr-FR"/>
              </w:rPr>
            </w:pPr>
            <w:r w:rsidRPr="004C2A3C">
              <w:rPr>
                <w:rFonts w:eastAsia="Calibri"/>
                <w:bCs/>
                <w:noProof/>
                <w:color w:val="000000" w:themeColor="text1"/>
                <w:sz w:val="14"/>
                <w:szCs w:val="14"/>
                <w:lang w:val="fr-FR"/>
              </w:rPr>
              <w:t xml:space="preserve">Méthode </w:t>
            </w:r>
            <w:r w:rsidRPr="004C2A3C">
              <w:rPr>
                <w:sz w:val="14"/>
                <w:szCs w:val="14"/>
              </w:rPr>
              <w:t>d</w:t>
            </w:r>
            <w:r>
              <w:rPr>
                <w:sz w:val="14"/>
                <w:szCs w:val="14"/>
              </w:rPr>
              <w:t>’</w:t>
            </w:r>
            <w:r w:rsidRPr="004C2A3C">
              <w:rPr>
                <w:sz w:val="14"/>
                <w:szCs w:val="14"/>
              </w:rPr>
              <w:t>essai</w:t>
            </w:r>
            <w:r w:rsidRPr="004C2A3C">
              <w:rPr>
                <w:sz w:val="14"/>
                <w:szCs w:val="14"/>
              </w:rPr>
              <w:br/>
            </w:r>
            <w:r w:rsidRPr="004C2A3C">
              <w:rPr>
                <w:rFonts w:eastAsia="Calibri"/>
                <w:bCs/>
                <w:noProof/>
                <w:color w:val="000000" w:themeColor="text1"/>
                <w:sz w:val="14"/>
                <w:szCs w:val="14"/>
                <w:lang w:val="fr-FR"/>
              </w:rPr>
              <w:t>4</w:t>
            </w:r>
          </w:p>
          <w:p w14:paraId="0757D52E" w14:textId="77777777" w:rsidR="008443E4" w:rsidRPr="004C2A3C" w:rsidRDefault="008443E4" w:rsidP="000654E6">
            <w:pPr>
              <w:keepNext/>
              <w:keepLines/>
              <w:spacing w:before="40" w:after="40" w:line="200" w:lineRule="atLeast"/>
              <w:ind w:left="57" w:right="57"/>
              <w:jc w:val="center"/>
              <w:rPr>
                <w:rFonts w:eastAsia="Calibri"/>
                <w:bCs/>
                <w:noProof/>
                <w:color w:val="000000" w:themeColor="text1"/>
                <w:sz w:val="14"/>
                <w:szCs w:val="14"/>
              </w:rPr>
            </w:pPr>
            <w:r w:rsidRPr="004C2A3C">
              <w:rPr>
                <w:rFonts w:eastAsia="Calibri"/>
                <w:bCs/>
                <w:noProof/>
                <w:color w:val="000000" w:themeColor="text1"/>
                <w:sz w:val="14"/>
                <w:szCs w:val="14"/>
                <w:lang w:val="fr-FR"/>
              </w:rPr>
              <w:t xml:space="preserve">Liquides : viabilité &gt;35 % ; solides : </w:t>
            </w:r>
            <w:r w:rsidRPr="004C2A3C">
              <w:rPr>
                <w:rFonts w:eastAsia="Calibri"/>
                <w:bCs/>
                <w:noProof/>
                <w:color w:val="000000" w:themeColor="text1"/>
                <w:sz w:val="14"/>
                <w:szCs w:val="14"/>
                <w:lang w:val="pt-PT"/>
              </w:rPr>
              <w:t>viabilité &gt;60 %</w:t>
            </w:r>
          </w:p>
        </w:tc>
        <w:tc>
          <w:tcPr>
            <w:tcW w:w="520" w:type="pct"/>
            <w:tcBorders>
              <w:top w:val="single" w:sz="4" w:space="0" w:color="auto"/>
              <w:left w:val="single" w:sz="4" w:space="0" w:color="auto"/>
              <w:bottom w:val="single" w:sz="4" w:space="0" w:color="auto"/>
              <w:right w:val="single" w:sz="4" w:space="0" w:color="auto"/>
            </w:tcBorders>
            <w:hideMark/>
          </w:tcPr>
          <w:p w14:paraId="4F99F9B6" w14:textId="77777777" w:rsidR="008443E4" w:rsidRPr="004C2A3C" w:rsidRDefault="008443E4" w:rsidP="000654E6">
            <w:pPr>
              <w:keepNext/>
              <w:keepLines/>
              <w:spacing w:before="40" w:after="40" w:line="200" w:lineRule="atLeast"/>
              <w:ind w:left="57" w:right="57"/>
              <w:jc w:val="center"/>
              <w:rPr>
                <w:rFonts w:eastAsia="Calibri"/>
                <w:bCs/>
                <w:noProof/>
                <w:color w:val="000000" w:themeColor="text1"/>
                <w:sz w:val="14"/>
                <w:szCs w:val="14"/>
                <w:lang w:val="fr-FR"/>
              </w:rPr>
            </w:pPr>
            <w:r w:rsidRPr="004C2A3C">
              <w:rPr>
                <w:rFonts w:eastAsia="Calibri"/>
                <w:bCs/>
                <w:noProof/>
                <w:color w:val="000000" w:themeColor="text1"/>
                <w:sz w:val="14"/>
                <w:szCs w:val="14"/>
                <w:lang w:val="fr-FR"/>
              </w:rPr>
              <w:t xml:space="preserve">Délai &gt;180 secondes </w:t>
            </w:r>
            <w:r w:rsidRPr="004C2A3C">
              <w:rPr>
                <w:rFonts w:eastAsia="Calibri"/>
                <w:bCs/>
                <w:noProof/>
                <w:color w:val="000000" w:themeColor="text1"/>
                <w:sz w:val="14"/>
                <w:szCs w:val="14"/>
                <w:lang w:val="fr-FR"/>
              </w:rPr>
              <w:br/>
              <w:t xml:space="preserve">et </w:t>
            </w:r>
            <w:r w:rsidRPr="004C2A3C">
              <w:rPr>
                <w:sz w:val="14"/>
                <w:szCs w:val="14"/>
              </w:rPr>
              <w:t>intensité</w:t>
            </w:r>
            <w:r w:rsidRPr="004C2A3C">
              <w:rPr>
                <w:rFonts w:eastAsia="Calibri"/>
                <w:bCs/>
                <w:noProof/>
                <w:color w:val="000000" w:themeColor="text1"/>
                <w:sz w:val="14"/>
                <w:szCs w:val="14"/>
                <w:lang w:val="fr-FR"/>
              </w:rPr>
              <w:t xml:space="preserve"> &lt;0,05 %/seconde et </w:t>
            </w:r>
            <w:r w:rsidRPr="004C2A3C">
              <w:rPr>
                <w:sz w:val="14"/>
                <w:szCs w:val="14"/>
              </w:rPr>
              <w:t>niveau</w:t>
            </w:r>
            <w:r w:rsidRPr="004C2A3C">
              <w:rPr>
                <w:rFonts w:eastAsia="Calibri"/>
                <w:bCs/>
                <w:noProof/>
                <w:color w:val="000000" w:themeColor="text1"/>
                <w:sz w:val="14"/>
                <w:szCs w:val="14"/>
                <w:lang w:val="fr-FR"/>
              </w:rPr>
              <w:t xml:space="preserve"> plateau ≤5,0 %</w:t>
            </w:r>
          </w:p>
        </w:tc>
        <w:tc>
          <w:tcPr>
            <w:tcW w:w="520" w:type="pct"/>
            <w:tcBorders>
              <w:top w:val="single" w:sz="4" w:space="0" w:color="auto"/>
              <w:left w:val="single" w:sz="4" w:space="0" w:color="auto"/>
              <w:bottom w:val="single" w:sz="4" w:space="0" w:color="auto"/>
              <w:right w:val="single" w:sz="4" w:space="0" w:color="auto"/>
            </w:tcBorders>
            <w:hideMark/>
          </w:tcPr>
          <w:p w14:paraId="610D9734" w14:textId="77777777" w:rsidR="008443E4" w:rsidRPr="004C2A3C" w:rsidRDefault="008443E4" w:rsidP="000654E6">
            <w:pPr>
              <w:keepNext/>
              <w:keepLines/>
              <w:spacing w:before="40" w:after="40" w:line="200" w:lineRule="atLeast"/>
              <w:ind w:left="57" w:right="57"/>
              <w:jc w:val="center"/>
              <w:rPr>
                <w:rFonts w:eastAsia="Calibri"/>
                <w:bCs/>
                <w:noProof/>
                <w:color w:val="000000" w:themeColor="text1"/>
                <w:sz w:val="14"/>
                <w:szCs w:val="14"/>
              </w:rPr>
            </w:pPr>
            <w:r w:rsidRPr="004C2A3C">
              <w:rPr>
                <w:rFonts w:eastAsia="Calibri"/>
                <w:bCs/>
                <w:noProof/>
                <w:color w:val="000000" w:themeColor="text1"/>
                <w:sz w:val="14"/>
                <w:szCs w:val="14"/>
              </w:rPr>
              <w:t>SMQ ≤12,5</w:t>
            </w:r>
          </w:p>
        </w:tc>
      </w:tr>
    </w:tbl>
    <w:p w14:paraId="6882CAF4" w14:textId="77777777" w:rsidR="008443E4" w:rsidRDefault="008443E4" w:rsidP="008443E4">
      <w:pPr>
        <w:suppressAutoHyphens w:val="0"/>
        <w:kinsoku/>
        <w:overflowPunct/>
        <w:autoSpaceDE/>
        <w:autoSpaceDN/>
        <w:adjustRightInd/>
        <w:snapToGrid/>
        <w:spacing w:line="240" w:lineRule="auto"/>
        <w:ind w:left="284" w:firstLine="170"/>
        <w:rPr>
          <w:i/>
          <w:iCs/>
          <w:color w:val="000000" w:themeColor="text1"/>
          <w:sz w:val="18"/>
          <w:szCs w:val="18"/>
          <w:lang w:val="fr-FR"/>
        </w:rPr>
      </w:pPr>
      <w:proofErr w:type="gramStart"/>
      <w:r w:rsidRPr="004C2A3C">
        <w:rPr>
          <w:b/>
          <w:bCs/>
          <w:i/>
          <w:iCs/>
          <w:color w:val="000000" w:themeColor="text1"/>
          <w:sz w:val="18"/>
          <w:szCs w:val="18"/>
          <w:vertAlign w:val="superscript"/>
          <w:lang w:val="fr-FR"/>
        </w:rPr>
        <w:t>a</w:t>
      </w:r>
      <w:r w:rsidRPr="004C2A3C">
        <w:rPr>
          <w:color w:val="000000" w:themeColor="text1"/>
          <w:sz w:val="18"/>
          <w:szCs w:val="18"/>
          <w:lang w:val="fr-FR"/>
        </w:rPr>
        <w:t xml:space="preserve">  </w:t>
      </w:r>
      <w:r w:rsidRPr="004C2A3C">
        <w:rPr>
          <w:i/>
          <w:iCs/>
          <w:color w:val="000000" w:themeColor="text1"/>
          <w:sz w:val="18"/>
          <w:szCs w:val="18"/>
          <w:lang w:val="fr-FR"/>
        </w:rPr>
        <w:t>Les</w:t>
      </w:r>
      <w:proofErr w:type="gramEnd"/>
      <w:r w:rsidRPr="004C2A3C">
        <w:rPr>
          <w:i/>
          <w:iCs/>
          <w:color w:val="000000" w:themeColor="text1"/>
          <w:sz w:val="18"/>
          <w:szCs w:val="18"/>
          <w:lang w:val="fr-FR"/>
        </w:rPr>
        <w:t xml:space="preserve"> critères de classification doivent être interprétés dans le contexte des lignes directrices 437, 438, 460, 491, 492, 494 et 496 de l</w:t>
      </w:r>
      <w:r>
        <w:rPr>
          <w:i/>
          <w:iCs/>
          <w:color w:val="000000" w:themeColor="text1"/>
          <w:sz w:val="18"/>
          <w:szCs w:val="18"/>
          <w:lang w:val="fr-FR"/>
        </w:rPr>
        <w:t>’</w:t>
      </w:r>
      <w:r w:rsidRPr="004C2A3C">
        <w:rPr>
          <w:i/>
          <w:iCs/>
          <w:color w:val="000000" w:themeColor="text1"/>
          <w:sz w:val="18"/>
          <w:szCs w:val="18"/>
          <w:lang w:val="fr-FR"/>
        </w:rPr>
        <w:t>OCDE.</w:t>
      </w:r>
    </w:p>
    <w:p w14:paraId="36D417A9" w14:textId="0E248AB6" w:rsidR="00074113" w:rsidRDefault="008443E4" w:rsidP="00101A00">
      <w:pPr>
        <w:suppressAutoHyphens w:val="0"/>
        <w:kinsoku/>
        <w:overflowPunct/>
        <w:autoSpaceDE/>
        <w:autoSpaceDN/>
        <w:adjustRightInd/>
        <w:snapToGrid/>
        <w:spacing w:after="200" w:line="276" w:lineRule="auto"/>
        <w:sectPr w:rsidR="00074113" w:rsidSect="00F764BF">
          <w:headerReference w:type="even" r:id="rId31"/>
          <w:headerReference w:type="default" r:id="rId32"/>
          <w:footerReference w:type="even" r:id="rId33"/>
          <w:footerReference w:type="default" r:id="rId34"/>
          <w:endnotePr>
            <w:numFmt w:val="decimal"/>
          </w:endnotePr>
          <w:pgSz w:w="16838" w:h="11906" w:orient="landscape" w:code="9"/>
          <w:pgMar w:top="1134" w:right="1417" w:bottom="1134" w:left="1134" w:header="567" w:footer="567" w:gutter="0"/>
          <w:cols w:space="708"/>
          <w:docGrid w:linePitch="360"/>
        </w:sectPr>
      </w:pPr>
      <w:proofErr w:type="gramStart"/>
      <w:r w:rsidRPr="004C2A3C">
        <w:rPr>
          <w:b/>
          <w:bCs/>
          <w:i/>
          <w:iCs/>
          <w:color w:val="000000" w:themeColor="text1"/>
          <w:sz w:val="18"/>
          <w:szCs w:val="18"/>
          <w:vertAlign w:val="superscript"/>
          <w:lang w:val="fr-FR"/>
        </w:rPr>
        <w:t>b</w:t>
      </w:r>
      <w:r w:rsidRPr="004C2A3C">
        <w:rPr>
          <w:color w:val="000000" w:themeColor="text1"/>
          <w:sz w:val="18"/>
          <w:szCs w:val="18"/>
          <w:lang w:val="fr-FR"/>
        </w:rPr>
        <w:t xml:space="preserve">  </w:t>
      </w:r>
      <w:r w:rsidRPr="004C2A3C">
        <w:rPr>
          <w:i/>
          <w:iCs/>
          <w:color w:val="000000" w:themeColor="text1"/>
          <w:sz w:val="18"/>
          <w:szCs w:val="18"/>
          <w:lang w:val="fr-FR"/>
        </w:rPr>
        <w:t>En</w:t>
      </w:r>
      <w:proofErr w:type="gramEnd"/>
      <w:r w:rsidRPr="004C2A3C">
        <w:rPr>
          <w:i/>
          <w:iCs/>
          <w:color w:val="000000" w:themeColor="text1"/>
          <w:sz w:val="18"/>
          <w:szCs w:val="18"/>
          <w:lang w:val="fr-FR"/>
        </w:rPr>
        <w:t xml:space="preserve"> ce qui concerne les critères, on se reportera à la ligne directrice 438 de l</w:t>
      </w:r>
      <w:r>
        <w:rPr>
          <w:i/>
          <w:iCs/>
          <w:color w:val="000000" w:themeColor="text1"/>
          <w:sz w:val="18"/>
          <w:szCs w:val="18"/>
          <w:lang w:val="fr-FR"/>
        </w:rPr>
        <w:t>’</w:t>
      </w:r>
      <w:r w:rsidRPr="004C2A3C">
        <w:rPr>
          <w:i/>
          <w:iCs/>
          <w:color w:val="000000" w:themeColor="text1"/>
          <w:sz w:val="18"/>
          <w:szCs w:val="18"/>
          <w:lang w:val="fr-FR"/>
        </w:rPr>
        <w:t>OCDE</w:t>
      </w:r>
      <w:r>
        <w:rPr>
          <w:i/>
          <w:iCs/>
          <w:color w:val="000000" w:themeColor="text1"/>
          <w:sz w:val="18"/>
          <w:szCs w:val="18"/>
          <w:lang w:val="fr-FR"/>
        </w:rPr>
        <w:t xml:space="preserve">. </w:t>
      </w:r>
    </w:p>
    <w:p w14:paraId="6906A909" w14:textId="5D014AA3" w:rsidR="00233091" w:rsidRPr="004C2A3C" w:rsidRDefault="00233091" w:rsidP="00233091">
      <w:pPr>
        <w:tabs>
          <w:tab w:val="left" w:pos="2268"/>
          <w:tab w:val="left" w:pos="3402"/>
        </w:tabs>
        <w:spacing w:after="120"/>
        <w:ind w:left="2268" w:right="1134"/>
        <w:jc w:val="both"/>
        <w:rPr>
          <w:color w:val="000000" w:themeColor="text1"/>
          <w:lang w:val="fr-FR"/>
        </w:rPr>
      </w:pPr>
      <w:r w:rsidRPr="004C2A3C">
        <w:rPr>
          <w:color w:val="000000" w:themeColor="text1"/>
          <w:lang w:val="fr-FR"/>
        </w:rPr>
        <w:t>3.3.5.3.5.2</w:t>
      </w:r>
      <w:r w:rsidRPr="004C2A3C">
        <w:rPr>
          <w:color w:val="000000" w:themeColor="text1"/>
          <w:lang w:val="fr-FR"/>
        </w:rPr>
        <w:tab/>
        <w:t>On trouvera ci-dessous une liste non exhaustive d</w:t>
      </w:r>
      <w:r>
        <w:rPr>
          <w:color w:val="000000" w:themeColor="text1"/>
          <w:lang w:val="fr-FR"/>
        </w:rPr>
        <w:t>’</w:t>
      </w:r>
      <w:r w:rsidRPr="004C2A3C">
        <w:rPr>
          <w:color w:val="000000" w:themeColor="text1"/>
          <w:lang w:val="fr-FR"/>
        </w:rPr>
        <w:t>autres méthodes d</w:t>
      </w:r>
      <w:r>
        <w:rPr>
          <w:color w:val="000000" w:themeColor="text1"/>
          <w:lang w:val="fr-FR"/>
        </w:rPr>
        <w:t>’</w:t>
      </w:r>
      <w:r w:rsidRPr="004C2A3C">
        <w:rPr>
          <w:color w:val="000000" w:themeColor="text1"/>
          <w:lang w:val="fr-FR"/>
        </w:rPr>
        <w:t xml:space="preserve">essai </w:t>
      </w:r>
      <w:r w:rsidRPr="004C2A3C">
        <w:rPr>
          <w:i/>
          <w:iCs/>
          <w:color w:val="000000" w:themeColor="text1"/>
          <w:lang w:val="fr-FR"/>
        </w:rPr>
        <w:t>in vitro</w:t>
      </w:r>
      <w:r w:rsidRPr="004C2A3C">
        <w:rPr>
          <w:iCs/>
          <w:color w:val="000000" w:themeColor="text1"/>
          <w:lang w:val="fr-FR"/>
        </w:rPr>
        <w:t>/</w:t>
      </w:r>
      <w:r w:rsidRPr="004C2A3C">
        <w:rPr>
          <w:i/>
          <w:iCs/>
          <w:color w:val="000000" w:themeColor="text1"/>
          <w:lang w:val="fr-FR"/>
        </w:rPr>
        <w:t>ex vivo</w:t>
      </w:r>
      <w:r w:rsidRPr="004C2A3C">
        <w:rPr>
          <w:color w:val="000000" w:themeColor="text1"/>
          <w:lang w:val="fr-FR"/>
        </w:rPr>
        <w:t xml:space="preserve"> validées, qui ont été acceptées par certaines autorités compétentes, mais qui n</w:t>
      </w:r>
      <w:r>
        <w:rPr>
          <w:color w:val="000000" w:themeColor="text1"/>
          <w:lang w:val="fr-FR"/>
        </w:rPr>
        <w:t>’</w:t>
      </w:r>
      <w:r w:rsidRPr="004C2A3C">
        <w:rPr>
          <w:color w:val="000000" w:themeColor="text1"/>
          <w:lang w:val="fr-FR"/>
        </w:rPr>
        <w:t>ont pas été adoptées par l</w:t>
      </w:r>
      <w:r>
        <w:rPr>
          <w:color w:val="000000" w:themeColor="text1"/>
          <w:lang w:val="fr-FR"/>
        </w:rPr>
        <w:t>’</w:t>
      </w:r>
      <w:r w:rsidRPr="004C2A3C">
        <w:rPr>
          <w:color w:val="000000" w:themeColor="text1"/>
          <w:lang w:val="fr-FR"/>
        </w:rPr>
        <w:t>OCDE au titre de ses lignes directrices pour les essais. Une autorité compétente peut décider des éventuels critères de classification à appliquer à ces méthodes d</w:t>
      </w:r>
      <w:r>
        <w:rPr>
          <w:color w:val="000000" w:themeColor="text1"/>
          <w:lang w:val="fr-FR"/>
        </w:rPr>
        <w:t>’</w:t>
      </w:r>
      <w:r w:rsidRPr="004C2A3C">
        <w:rPr>
          <w:color w:val="000000" w:themeColor="text1"/>
          <w:lang w:val="fr-FR"/>
        </w:rPr>
        <w:t>essai :</w:t>
      </w:r>
    </w:p>
    <w:p w14:paraId="3F8FA12D" w14:textId="77777777" w:rsidR="00233091" w:rsidRPr="004C2A3C" w:rsidRDefault="00233091" w:rsidP="00233091">
      <w:pPr>
        <w:numPr>
          <w:ilvl w:val="0"/>
          <w:numId w:val="2"/>
        </w:numPr>
        <w:spacing w:after="120"/>
        <w:ind w:left="2552" w:right="1134" w:hanging="284"/>
        <w:jc w:val="both"/>
        <w:rPr>
          <w:lang w:val="fr-FR"/>
        </w:rPr>
      </w:pPr>
      <w:r w:rsidRPr="004C2A3C">
        <w:rPr>
          <w:lang w:val="fr-FR"/>
        </w:rPr>
        <w:t>Essais d</w:t>
      </w:r>
      <w:r>
        <w:rPr>
          <w:lang w:val="fr-FR"/>
        </w:rPr>
        <w:t>’</w:t>
      </w:r>
      <w:r w:rsidRPr="004C2A3C">
        <w:rPr>
          <w:lang w:val="fr-FR"/>
        </w:rPr>
        <w:t>exposition TE</w:t>
      </w:r>
      <w:r w:rsidRPr="004C2A3C">
        <w:rPr>
          <w:vertAlign w:val="subscript"/>
          <w:lang w:val="fr-FR"/>
        </w:rPr>
        <w:t>50</w:t>
      </w:r>
      <w:r w:rsidRPr="004C2A3C">
        <w:rPr>
          <w:lang w:val="fr-FR"/>
        </w:rPr>
        <w:t xml:space="preserve"> sur des épithéliums cornéens humains reconstitués (</w:t>
      </w:r>
      <w:proofErr w:type="spellStart"/>
      <w:r w:rsidRPr="004C2A3C">
        <w:rPr>
          <w:lang w:val="fr-FR"/>
        </w:rPr>
        <w:t>echr</w:t>
      </w:r>
      <w:proofErr w:type="spellEnd"/>
      <w:r w:rsidRPr="004C2A3C">
        <w:rPr>
          <w:lang w:val="fr-FR"/>
        </w:rPr>
        <w:t>), décrits dans la ligne directrice 492 de l</w:t>
      </w:r>
      <w:r>
        <w:rPr>
          <w:lang w:val="fr-FR"/>
        </w:rPr>
        <w:t>’</w:t>
      </w:r>
      <w:r w:rsidRPr="004C2A3C">
        <w:rPr>
          <w:lang w:val="fr-FR"/>
        </w:rPr>
        <w:t>OCDE (</w:t>
      </w:r>
      <w:proofErr w:type="spellStart"/>
      <w:r w:rsidRPr="004C2A3C">
        <w:rPr>
          <w:lang w:val="fr-FR"/>
        </w:rPr>
        <w:t>Kandarova</w:t>
      </w:r>
      <w:proofErr w:type="spellEnd"/>
      <w:r w:rsidRPr="004C2A3C">
        <w:rPr>
          <w:lang w:val="fr-FR"/>
        </w:rPr>
        <w:t xml:space="preserve"> </w:t>
      </w:r>
      <w:r w:rsidRPr="004C2A3C">
        <w:rPr>
          <w:i/>
          <w:iCs/>
          <w:lang w:val="fr-FR"/>
        </w:rPr>
        <w:t>et al</w:t>
      </w:r>
      <w:r w:rsidRPr="004C2A3C">
        <w:rPr>
          <w:lang w:val="fr-FR"/>
        </w:rPr>
        <w:t xml:space="preserve">., 2018 ; </w:t>
      </w:r>
      <w:proofErr w:type="spellStart"/>
      <w:r w:rsidRPr="004C2A3C">
        <w:rPr>
          <w:lang w:val="fr-FR"/>
        </w:rPr>
        <w:t>Alépée</w:t>
      </w:r>
      <w:proofErr w:type="spellEnd"/>
      <w:r w:rsidRPr="004C2A3C">
        <w:rPr>
          <w:lang w:val="fr-FR"/>
        </w:rPr>
        <w:t xml:space="preserve"> </w:t>
      </w:r>
      <w:r w:rsidRPr="004C2A3C">
        <w:rPr>
          <w:i/>
          <w:iCs/>
          <w:lang w:val="fr-FR"/>
        </w:rPr>
        <w:t>et al</w:t>
      </w:r>
      <w:r w:rsidRPr="004C2A3C">
        <w:rPr>
          <w:lang w:val="fr-FR"/>
        </w:rPr>
        <w:t>., 2020) ;</w:t>
      </w:r>
    </w:p>
    <w:p w14:paraId="04270C33" w14:textId="77777777" w:rsidR="00233091" w:rsidRPr="004C2A3C" w:rsidRDefault="00233091" w:rsidP="00233091">
      <w:pPr>
        <w:numPr>
          <w:ilvl w:val="0"/>
          <w:numId w:val="2"/>
        </w:numPr>
        <w:spacing w:after="120"/>
        <w:ind w:left="2552" w:right="1134" w:hanging="284"/>
        <w:jc w:val="both"/>
        <w:rPr>
          <w:lang w:val="fr-FR"/>
        </w:rPr>
      </w:pPr>
      <w:r w:rsidRPr="004C2A3C">
        <w:rPr>
          <w:lang w:val="fr-FR"/>
        </w:rPr>
        <w:t>Essai d</w:t>
      </w:r>
      <w:r>
        <w:rPr>
          <w:lang w:val="fr-FR"/>
        </w:rPr>
        <w:t>’</w:t>
      </w:r>
      <w:r w:rsidRPr="004C2A3C">
        <w:rPr>
          <w:lang w:val="fr-FR"/>
        </w:rPr>
        <w:t xml:space="preserve">irritation oculaire </w:t>
      </w:r>
      <w:r w:rsidRPr="004C2A3C">
        <w:rPr>
          <w:i/>
          <w:iCs/>
          <w:lang w:val="fr-FR"/>
        </w:rPr>
        <w:t>ex vivo</w:t>
      </w:r>
      <w:r w:rsidRPr="004C2A3C">
        <w:rPr>
          <w:lang w:val="fr-FR"/>
        </w:rPr>
        <w:t xml:space="preserve"> EVEIT : essai </w:t>
      </w:r>
      <w:r w:rsidRPr="004C2A3C">
        <w:rPr>
          <w:i/>
          <w:iCs/>
          <w:lang w:val="fr-FR"/>
        </w:rPr>
        <w:t>ex vivo</w:t>
      </w:r>
      <w:r w:rsidRPr="004C2A3C">
        <w:rPr>
          <w:lang w:val="fr-FR"/>
        </w:rPr>
        <w:t xml:space="preserve"> réalisé à partir de tissus cornéens de lapin excisés, maintenus en culture pendant plusieurs jours, qui consiste à observer la reconstitution des tissus en vue de modéliser les effets réversibles et les effets non réversibles sur les yeux. La reconstitution des tissus à leur pleine épaisseur est observée de manière non invasive, par tomographie par cohérence optique (</w:t>
      </w:r>
      <w:proofErr w:type="spellStart"/>
      <w:r w:rsidRPr="004C2A3C">
        <w:rPr>
          <w:lang w:val="fr-FR"/>
        </w:rPr>
        <w:t>Frentz</w:t>
      </w:r>
      <w:proofErr w:type="spellEnd"/>
      <w:r w:rsidRPr="004C2A3C">
        <w:rPr>
          <w:lang w:val="fr-FR"/>
        </w:rPr>
        <w:t xml:space="preserve"> </w:t>
      </w:r>
      <w:r w:rsidRPr="004C2A3C">
        <w:rPr>
          <w:i/>
          <w:iCs/>
          <w:lang w:val="fr-FR"/>
        </w:rPr>
        <w:t>et al</w:t>
      </w:r>
      <w:r w:rsidRPr="004C2A3C">
        <w:rPr>
          <w:lang w:val="fr-FR"/>
        </w:rPr>
        <w:t xml:space="preserve">., 2008 ; </w:t>
      </w:r>
      <w:proofErr w:type="spellStart"/>
      <w:r w:rsidRPr="004C2A3C">
        <w:rPr>
          <w:lang w:val="fr-FR"/>
        </w:rPr>
        <w:t>Spöler</w:t>
      </w:r>
      <w:proofErr w:type="spellEnd"/>
      <w:r w:rsidRPr="004C2A3C">
        <w:rPr>
          <w:lang w:val="fr-FR"/>
        </w:rPr>
        <w:t xml:space="preserve"> </w:t>
      </w:r>
      <w:r w:rsidRPr="004C2A3C">
        <w:rPr>
          <w:i/>
          <w:iCs/>
          <w:lang w:val="fr-FR"/>
        </w:rPr>
        <w:t>et al</w:t>
      </w:r>
      <w:r w:rsidRPr="004C2A3C">
        <w:rPr>
          <w:lang w:val="fr-FR"/>
        </w:rPr>
        <w:t xml:space="preserve">., 2007 ; </w:t>
      </w:r>
      <w:proofErr w:type="spellStart"/>
      <w:r w:rsidRPr="004C2A3C">
        <w:rPr>
          <w:lang w:val="fr-FR"/>
        </w:rPr>
        <w:t>Spöler</w:t>
      </w:r>
      <w:proofErr w:type="spellEnd"/>
      <w:r w:rsidRPr="004C2A3C">
        <w:rPr>
          <w:lang w:val="fr-FR"/>
        </w:rPr>
        <w:t xml:space="preserve"> </w:t>
      </w:r>
      <w:r w:rsidRPr="004C2A3C">
        <w:rPr>
          <w:i/>
          <w:iCs/>
          <w:lang w:val="fr-FR"/>
        </w:rPr>
        <w:t>et al</w:t>
      </w:r>
      <w:r w:rsidRPr="004C2A3C">
        <w:rPr>
          <w:lang w:val="fr-FR"/>
        </w:rPr>
        <w:t>., 2015) ;</w:t>
      </w:r>
    </w:p>
    <w:p w14:paraId="690BB3A0" w14:textId="77777777" w:rsidR="00233091" w:rsidRPr="004C2A3C" w:rsidRDefault="00233091" w:rsidP="00233091">
      <w:pPr>
        <w:numPr>
          <w:ilvl w:val="0"/>
          <w:numId w:val="2"/>
        </w:numPr>
        <w:spacing w:after="120"/>
        <w:ind w:left="2552" w:right="1134" w:hanging="284"/>
        <w:jc w:val="both"/>
        <w:rPr>
          <w:lang w:val="fr-FR"/>
        </w:rPr>
      </w:pPr>
      <w:r w:rsidRPr="004C2A3C">
        <w:rPr>
          <w:lang w:val="fr-FR"/>
        </w:rPr>
        <w:t>Essai d</w:t>
      </w:r>
      <w:r>
        <w:rPr>
          <w:lang w:val="fr-FR"/>
        </w:rPr>
        <w:t>’</w:t>
      </w:r>
      <w:r w:rsidRPr="004C2A3C">
        <w:rPr>
          <w:lang w:val="fr-FR"/>
        </w:rPr>
        <w:t xml:space="preserve">opacité et de réversibilité </w:t>
      </w:r>
      <w:proofErr w:type="spellStart"/>
      <w:r w:rsidRPr="004C2A3C">
        <w:rPr>
          <w:lang w:val="fr-FR"/>
        </w:rPr>
        <w:t>PorCORA</w:t>
      </w:r>
      <w:proofErr w:type="spellEnd"/>
      <w:r w:rsidRPr="004C2A3C">
        <w:rPr>
          <w:lang w:val="fr-FR"/>
        </w:rPr>
        <w:t xml:space="preserve"> : essai </w:t>
      </w:r>
      <w:r w:rsidRPr="004C2A3C">
        <w:rPr>
          <w:i/>
          <w:iCs/>
          <w:lang w:val="fr-FR"/>
        </w:rPr>
        <w:t xml:space="preserve">ex vivo </w:t>
      </w:r>
      <w:r w:rsidRPr="004C2A3C">
        <w:rPr>
          <w:lang w:val="fr-FR"/>
        </w:rPr>
        <w:t>réalisé à partir de tissus cornéens de porc excisés, maintenus en culture jusqu</w:t>
      </w:r>
      <w:r>
        <w:rPr>
          <w:lang w:val="fr-FR"/>
        </w:rPr>
        <w:t>’</w:t>
      </w:r>
      <w:r w:rsidRPr="004C2A3C">
        <w:rPr>
          <w:lang w:val="fr-FR"/>
        </w:rPr>
        <w:t>à 21 jours, qui consiste à observer la reconstitution des tissus en vue de modéliser les effets réversibles et les effets non réversibles sur les yeux. Un colorant fluorescent est appliqué sur les tissus, ce qui permet d</w:t>
      </w:r>
      <w:r>
        <w:rPr>
          <w:lang w:val="fr-FR"/>
        </w:rPr>
        <w:t>’</w:t>
      </w:r>
      <w:r w:rsidRPr="004C2A3C">
        <w:rPr>
          <w:lang w:val="fr-FR"/>
        </w:rPr>
        <w:t>observer les effets sur les épithéliums cornéens (</w:t>
      </w:r>
      <w:proofErr w:type="spellStart"/>
      <w:r w:rsidRPr="004C2A3C">
        <w:rPr>
          <w:lang w:val="fr-FR"/>
        </w:rPr>
        <w:t>Piehl</w:t>
      </w:r>
      <w:proofErr w:type="spellEnd"/>
      <w:r w:rsidRPr="004C2A3C">
        <w:rPr>
          <w:lang w:val="fr-FR"/>
        </w:rPr>
        <w:t xml:space="preserve"> </w:t>
      </w:r>
      <w:r w:rsidRPr="004C2A3C">
        <w:rPr>
          <w:i/>
          <w:iCs/>
          <w:lang w:val="fr-FR"/>
        </w:rPr>
        <w:t>et al</w:t>
      </w:r>
      <w:r w:rsidRPr="004C2A3C">
        <w:rPr>
          <w:lang w:val="fr-FR"/>
        </w:rPr>
        <w:t xml:space="preserve">., 2010 ; </w:t>
      </w:r>
      <w:proofErr w:type="spellStart"/>
      <w:r w:rsidRPr="004C2A3C">
        <w:rPr>
          <w:lang w:val="fr-FR"/>
        </w:rPr>
        <w:t>Piehl</w:t>
      </w:r>
      <w:proofErr w:type="spellEnd"/>
      <w:r w:rsidRPr="004C2A3C">
        <w:rPr>
          <w:lang w:val="fr-FR"/>
        </w:rPr>
        <w:t xml:space="preserve"> </w:t>
      </w:r>
      <w:r w:rsidRPr="004C2A3C">
        <w:rPr>
          <w:i/>
          <w:iCs/>
          <w:lang w:val="fr-FR"/>
        </w:rPr>
        <w:t>et al</w:t>
      </w:r>
      <w:r w:rsidRPr="004C2A3C">
        <w:rPr>
          <w:lang w:val="fr-FR"/>
        </w:rPr>
        <w:t>., 2011) ;</w:t>
      </w:r>
    </w:p>
    <w:p w14:paraId="00F6FCB0" w14:textId="77777777" w:rsidR="00233091" w:rsidRPr="004C2A3C" w:rsidRDefault="00233091" w:rsidP="00233091">
      <w:pPr>
        <w:numPr>
          <w:ilvl w:val="0"/>
          <w:numId w:val="2"/>
        </w:numPr>
        <w:spacing w:after="120"/>
        <w:ind w:left="2552" w:right="1134" w:hanging="284"/>
        <w:jc w:val="both"/>
        <w:rPr>
          <w:lang w:val="fr-FR"/>
        </w:rPr>
      </w:pPr>
      <w:r w:rsidRPr="004C2A3C">
        <w:rPr>
          <w:lang w:val="fr-FR"/>
        </w:rPr>
        <w:t xml:space="preserve">Essai </w:t>
      </w:r>
      <w:proofErr w:type="spellStart"/>
      <w:r w:rsidRPr="004C2A3C">
        <w:rPr>
          <w:lang w:val="fr-FR"/>
        </w:rPr>
        <w:t>EyeIRR</w:t>
      </w:r>
      <w:proofErr w:type="spellEnd"/>
      <w:r w:rsidRPr="004C2A3C">
        <w:rPr>
          <w:lang w:val="fr-FR"/>
        </w:rPr>
        <w:t xml:space="preserve">-IS : méthode génomique appliquée à un modèle </w:t>
      </w:r>
      <w:proofErr w:type="spellStart"/>
      <w:r w:rsidRPr="004C2A3C">
        <w:rPr>
          <w:lang w:val="fr-FR"/>
        </w:rPr>
        <w:t>echr</w:t>
      </w:r>
      <w:proofErr w:type="spellEnd"/>
      <w:r w:rsidRPr="004C2A3C">
        <w:rPr>
          <w:lang w:val="fr-FR"/>
        </w:rPr>
        <w:t xml:space="preserve"> (</w:t>
      </w:r>
      <w:proofErr w:type="spellStart"/>
      <w:r w:rsidRPr="004C2A3C">
        <w:rPr>
          <w:lang w:val="fr-FR"/>
        </w:rPr>
        <w:t>Cottrez</w:t>
      </w:r>
      <w:proofErr w:type="spellEnd"/>
      <w:r w:rsidRPr="004C2A3C">
        <w:rPr>
          <w:lang w:val="fr-FR"/>
        </w:rPr>
        <w:t xml:space="preserve"> </w:t>
      </w:r>
      <w:r w:rsidRPr="004C2A3C">
        <w:rPr>
          <w:i/>
          <w:iCs/>
          <w:lang w:val="fr-FR"/>
        </w:rPr>
        <w:t>et al</w:t>
      </w:r>
      <w:r w:rsidRPr="004C2A3C">
        <w:rPr>
          <w:lang w:val="fr-FR"/>
        </w:rPr>
        <w:t>., 2021) ;</w:t>
      </w:r>
    </w:p>
    <w:p w14:paraId="1E488D35" w14:textId="77777777" w:rsidR="00233091" w:rsidRPr="004C2A3C" w:rsidRDefault="00233091" w:rsidP="00233091">
      <w:pPr>
        <w:numPr>
          <w:ilvl w:val="0"/>
          <w:numId w:val="2"/>
        </w:numPr>
        <w:spacing w:after="120"/>
        <w:ind w:left="2552" w:right="1134" w:hanging="284"/>
        <w:jc w:val="both"/>
        <w:rPr>
          <w:lang w:val="fr-FR"/>
        </w:rPr>
      </w:pPr>
      <w:r w:rsidRPr="004C2A3C">
        <w:rPr>
          <w:lang w:val="fr-FR"/>
        </w:rPr>
        <w:t>Méthode d</w:t>
      </w:r>
      <w:r>
        <w:rPr>
          <w:lang w:val="fr-FR"/>
        </w:rPr>
        <w:t>’</w:t>
      </w:r>
      <w:r w:rsidRPr="004C2A3C">
        <w:rPr>
          <w:lang w:val="fr-FR"/>
        </w:rPr>
        <w:t xml:space="preserve">essai macromoléculaire </w:t>
      </w:r>
      <w:r w:rsidRPr="004C2A3C">
        <w:rPr>
          <w:i/>
          <w:iCs/>
          <w:lang w:val="fr-FR"/>
        </w:rPr>
        <w:t>in vitro</w:t>
      </w:r>
      <w:r w:rsidRPr="004C2A3C">
        <w:rPr>
          <w:lang w:val="fr-FR"/>
        </w:rPr>
        <w:t xml:space="preserve"> (méthode d</w:t>
      </w:r>
      <w:r>
        <w:rPr>
          <w:lang w:val="fr-FR"/>
        </w:rPr>
        <w:t>’</w:t>
      </w:r>
      <w:r w:rsidRPr="004C2A3C">
        <w:rPr>
          <w:lang w:val="fr-FR"/>
        </w:rPr>
        <w:t>essai 2), comparable à la méthode d</w:t>
      </w:r>
      <w:r>
        <w:rPr>
          <w:lang w:val="fr-FR"/>
        </w:rPr>
        <w:t>’</w:t>
      </w:r>
      <w:r w:rsidRPr="004C2A3C">
        <w:rPr>
          <w:lang w:val="fr-FR"/>
        </w:rPr>
        <w:t>essai 1 décrite dans la ligne directrice 496 de l</w:t>
      </w:r>
      <w:r>
        <w:rPr>
          <w:lang w:val="fr-FR"/>
        </w:rPr>
        <w:t>’</w:t>
      </w:r>
      <w:r w:rsidRPr="004C2A3C">
        <w:rPr>
          <w:lang w:val="fr-FR"/>
        </w:rPr>
        <w:t>OCDE (</w:t>
      </w:r>
      <w:proofErr w:type="spellStart"/>
      <w:r w:rsidRPr="004C2A3C">
        <w:rPr>
          <w:lang w:val="fr-FR"/>
        </w:rPr>
        <w:t>Choksi</w:t>
      </w:r>
      <w:proofErr w:type="spellEnd"/>
      <w:r w:rsidRPr="004C2A3C">
        <w:rPr>
          <w:lang w:val="fr-FR"/>
        </w:rPr>
        <w:t xml:space="preserve"> </w:t>
      </w:r>
      <w:r w:rsidRPr="004C2A3C">
        <w:rPr>
          <w:i/>
          <w:iCs/>
          <w:lang w:val="fr-FR"/>
        </w:rPr>
        <w:t>et al.</w:t>
      </w:r>
      <w:r w:rsidRPr="004C2A3C">
        <w:rPr>
          <w:lang w:val="fr-FR"/>
        </w:rPr>
        <w:t>, 2020) ;</w:t>
      </w:r>
    </w:p>
    <w:p w14:paraId="605DF69B" w14:textId="77777777" w:rsidR="00233091" w:rsidRPr="004C2A3C" w:rsidRDefault="00233091" w:rsidP="00233091">
      <w:pPr>
        <w:numPr>
          <w:ilvl w:val="0"/>
          <w:numId w:val="2"/>
        </w:numPr>
        <w:spacing w:after="120"/>
        <w:ind w:left="2552" w:right="1134" w:hanging="284"/>
        <w:jc w:val="both"/>
        <w:rPr>
          <w:lang w:val="fr-FR"/>
        </w:rPr>
      </w:pPr>
      <w:r w:rsidRPr="004C2A3C">
        <w:rPr>
          <w:lang w:val="fr-FR"/>
        </w:rPr>
        <w:t>Essai d</w:t>
      </w:r>
      <w:r>
        <w:rPr>
          <w:lang w:val="fr-FR"/>
        </w:rPr>
        <w:t>’</w:t>
      </w:r>
      <w:r w:rsidRPr="004C2A3C">
        <w:rPr>
          <w:lang w:val="fr-FR"/>
        </w:rPr>
        <w:t xml:space="preserve">activité métabolique : essai </w:t>
      </w:r>
      <w:r w:rsidRPr="004C2A3C">
        <w:rPr>
          <w:i/>
          <w:iCs/>
          <w:lang w:val="fr-FR"/>
        </w:rPr>
        <w:t>in vitro</w:t>
      </w:r>
      <w:r w:rsidRPr="004C2A3C">
        <w:rPr>
          <w:lang w:val="fr-FR"/>
        </w:rPr>
        <w:t xml:space="preserve"> consistant à mesurer les changements du taux métabolique dans une monocouche cellulaire L929 à laquelle on a appliqué le matériau d</w:t>
      </w:r>
      <w:r>
        <w:rPr>
          <w:lang w:val="fr-FR"/>
        </w:rPr>
        <w:t>’</w:t>
      </w:r>
      <w:r w:rsidRPr="004C2A3C">
        <w:rPr>
          <w:lang w:val="fr-FR"/>
        </w:rPr>
        <w:t>essai (</w:t>
      </w:r>
      <w:proofErr w:type="spellStart"/>
      <w:r w:rsidRPr="004C2A3C">
        <w:rPr>
          <w:lang w:val="fr-FR"/>
        </w:rPr>
        <w:t>Harbell</w:t>
      </w:r>
      <w:proofErr w:type="spellEnd"/>
      <w:r w:rsidRPr="004C2A3C">
        <w:rPr>
          <w:lang w:val="fr-FR"/>
        </w:rPr>
        <w:t xml:space="preserve"> </w:t>
      </w:r>
      <w:r w:rsidRPr="004C2A3C">
        <w:rPr>
          <w:i/>
          <w:iCs/>
          <w:lang w:val="fr-FR"/>
        </w:rPr>
        <w:t>et al</w:t>
      </w:r>
      <w:r w:rsidRPr="004C2A3C">
        <w:rPr>
          <w:lang w:val="fr-FR"/>
        </w:rPr>
        <w:t xml:space="preserve">., 1999 ; EURL ECVAM, 2004a ; </w:t>
      </w:r>
      <w:proofErr w:type="spellStart"/>
      <w:r w:rsidRPr="004C2A3C">
        <w:rPr>
          <w:lang w:val="fr-FR"/>
        </w:rPr>
        <w:t>Hartog</w:t>
      </w:r>
      <w:proofErr w:type="spellEnd"/>
      <w:r w:rsidRPr="004C2A3C">
        <w:rPr>
          <w:lang w:val="fr-FR"/>
        </w:rPr>
        <w:t xml:space="preserve"> </w:t>
      </w:r>
      <w:r w:rsidRPr="004C2A3C">
        <w:rPr>
          <w:i/>
          <w:iCs/>
          <w:lang w:val="fr-FR"/>
        </w:rPr>
        <w:t>et al</w:t>
      </w:r>
      <w:r w:rsidRPr="004C2A3C">
        <w:rPr>
          <w:lang w:val="fr-FR"/>
        </w:rPr>
        <w:t xml:space="preserve">., 2010 ; Nash </w:t>
      </w:r>
      <w:r w:rsidRPr="004C2A3C">
        <w:rPr>
          <w:i/>
          <w:lang w:val="fr-FR"/>
        </w:rPr>
        <w:t>et al</w:t>
      </w:r>
      <w:r w:rsidRPr="004C2A3C">
        <w:rPr>
          <w:lang w:val="fr-FR"/>
        </w:rPr>
        <w:t>., 2014) ;</w:t>
      </w:r>
    </w:p>
    <w:p w14:paraId="0FCA812D" w14:textId="77777777" w:rsidR="00233091" w:rsidRPr="004C2A3C" w:rsidRDefault="00233091" w:rsidP="00233091">
      <w:pPr>
        <w:numPr>
          <w:ilvl w:val="0"/>
          <w:numId w:val="2"/>
        </w:numPr>
        <w:spacing w:after="120"/>
        <w:ind w:left="2552" w:right="1134" w:hanging="284"/>
        <w:jc w:val="both"/>
        <w:rPr>
          <w:lang w:val="fr-FR"/>
        </w:rPr>
      </w:pPr>
      <w:r w:rsidRPr="004C2A3C">
        <w:rPr>
          <w:lang w:val="fr-FR"/>
        </w:rPr>
        <w:t xml:space="preserve">Essai sur la membrane </w:t>
      </w:r>
      <w:proofErr w:type="spellStart"/>
      <w:r w:rsidRPr="004C2A3C">
        <w:rPr>
          <w:lang w:val="fr-FR"/>
        </w:rPr>
        <w:t>chorio</w:t>
      </w:r>
      <w:proofErr w:type="spellEnd"/>
      <w:r w:rsidRPr="004C2A3C">
        <w:rPr>
          <w:lang w:val="fr-FR"/>
        </w:rPr>
        <w:t>-allantoïque de l</w:t>
      </w:r>
      <w:r>
        <w:rPr>
          <w:lang w:val="fr-FR"/>
        </w:rPr>
        <w:t>’</w:t>
      </w:r>
      <w:r w:rsidRPr="004C2A3C">
        <w:rPr>
          <w:lang w:val="fr-FR"/>
        </w:rPr>
        <w:t>œuf de poule (HET-CAM) : essai organotypique réalisé sur la membrane vascularisée d</w:t>
      </w:r>
      <w:r>
        <w:rPr>
          <w:lang w:val="fr-FR"/>
        </w:rPr>
        <w:t>’</w:t>
      </w:r>
      <w:r w:rsidRPr="004C2A3C">
        <w:rPr>
          <w:lang w:val="fr-FR"/>
        </w:rPr>
        <w:t>œufs de poule fertiles pour évaluer la capacité d</w:t>
      </w:r>
      <w:r>
        <w:rPr>
          <w:lang w:val="fr-FR"/>
        </w:rPr>
        <w:t>’</w:t>
      </w:r>
      <w:r w:rsidRPr="004C2A3C">
        <w:rPr>
          <w:lang w:val="fr-FR"/>
        </w:rPr>
        <w:t>un matériau d</w:t>
      </w:r>
      <w:r>
        <w:rPr>
          <w:lang w:val="fr-FR"/>
        </w:rPr>
        <w:t>’</w:t>
      </w:r>
      <w:r w:rsidRPr="004C2A3C">
        <w:rPr>
          <w:lang w:val="fr-FR"/>
        </w:rPr>
        <w:t xml:space="preserve">essai à provoquer des changements vasculaires (Spielmann </w:t>
      </w:r>
      <w:r w:rsidRPr="004C2A3C">
        <w:rPr>
          <w:i/>
          <w:iCs/>
          <w:lang w:val="fr-FR"/>
        </w:rPr>
        <w:t>et al</w:t>
      </w:r>
      <w:r w:rsidRPr="004C2A3C">
        <w:rPr>
          <w:lang w:val="fr-FR"/>
        </w:rPr>
        <w:t xml:space="preserve">., 1993 ; Balls </w:t>
      </w:r>
      <w:r w:rsidRPr="004C2A3C">
        <w:rPr>
          <w:i/>
          <w:iCs/>
          <w:lang w:val="fr-FR"/>
        </w:rPr>
        <w:t>et al</w:t>
      </w:r>
      <w:r w:rsidRPr="004C2A3C">
        <w:rPr>
          <w:lang w:val="fr-FR"/>
        </w:rPr>
        <w:t xml:space="preserve">., 1995 ; Spielmann </w:t>
      </w:r>
      <w:r w:rsidRPr="004C2A3C">
        <w:rPr>
          <w:i/>
          <w:iCs/>
          <w:lang w:val="fr-FR"/>
        </w:rPr>
        <w:t>et al</w:t>
      </w:r>
      <w:r w:rsidRPr="004C2A3C">
        <w:rPr>
          <w:lang w:val="fr-FR"/>
        </w:rPr>
        <w:t xml:space="preserve">., 1996 ; </w:t>
      </w:r>
      <w:proofErr w:type="spellStart"/>
      <w:r w:rsidRPr="004C2A3C">
        <w:rPr>
          <w:lang w:val="fr-FR"/>
        </w:rPr>
        <w:t>Brantom</w:t>
      </w:r>
      <w:proofErr w:type="spellEnd"/>
      <w:r w:rsidRPr="004C2A3C">
        <w:rPr>
          <w:lang w:val="fr-FR"/>
        </w:rPr>
        <w:t xml:space="preserve"> </w:t>
      </w:r>
      <w:r w:rsidRPr="004C2A3C">
        <w:rPr>
          <w:i/>
          <w:iCs/>
          <w:lang w:val="fr-FR"/>
        </w:rPr>
        <w:t>et al</w:t>
      </w:r>
      <w:r w:rsidRPr="004C2A3C">
        <w:rPr>
          <w:lang w:val="fr-FR"/>
        </w:rPr>
        <w:t>., 1997 ; ICCVAM, 2007 ; ICCVAM, 2010) ;</w:t>
      </w:r>
    </w:p>
    <w:p w14:paraId="66CA4382" w14:textId="77777777" w:rsidR="00233091" w:rsidRPr="004C2A3C" w:rsidRDefault="00233091" w:rsidP="00233091">
      <w:pPr>
        <w:numPr>
          <w:ilvl w:val="0"/>
          <w:numId w:val="2"/>
        </w:numPr>
        <w:spacing w:after="120"/>
        <w:ind w:left="2552" w:right="1134" w:hanging="284"/>
        <w:jc w:val="both"/>
        <w:rPr>
          <w:lang w:val="fr-FR"/>
        </w:rPr>
      </w:pPr>
      <w:r w:rsidRPr="004C2A3C">
        <w:rPr>
          <w:lang w:val="fr-FR"/>
        </w:rPr>
        <w:t xml:space="preserve">Essai vasculaire sur la membrane </w:t>
      </w:r>
      <w:proofErr w:type="spellStart"/>
      <w:r w:rsidRPr="004C2A3C">
        <w:rPr>
          <w:lang w:val="fr-FR"/>
        </w:rPr>
        <w:t>chorio</w:t>
      </w:r>
      <w:proofErr w:type="spellEnd"/>
      <w:r w:rsidRPr="004C2A3C">
        <w:rPr>
          <w:lang w:val="fr-FR"/>
        </w:rPr>
        <w:t>-allantoïque (CAMVA) : essai organotypique réalisé sur la membrane vascularisée d</w:t>
      </w:r>
      <w:r>
        <w:rPr>
          <w:lang w:val="fr-FR"/>
        </w:rPr>
        <w:t>’</w:t>
      </w:r>
      <w:r w:rsidRPr="004C2A3C">
        <w:rPr>
          <w:lang w:val="fr-FR"/>
        </w:rPr>
        <w:t>œufs de poule fertiles pour évaluer la capacité d</w:t>
      </w:r>
      <w:r>
        <w:rPr>
          <w:lang w:val="fr-FR"/>
        </w:rPr>
        <w:t>’</w:t>
      </w:r>
      <w:r w:rsidRPr="004C2A3C">
        <w:rPr>
          <w:lang w:val="fr-FR"/>
        </w:rPr>
        <w:t>un matériau d</w:t>
      </w:r>
      <w:r>
        <w:rPr>
          <w:lang w:val="fr-FR"/>
        </w:rPr>
        <w:t>’</w:t>
      </w:r>
      <w:r w:rsidRPr="004C2A3C">
        <w:rPr>
          <w:lang w:val="fr-FR"/>
        </w:rPr>
        <w:t>essai à provoquer des changements vasculaires (</w:t>
      </w:r>
      <w:proofErr w:type="spellStart"/>
      <w:r w:rsidRPr="004C2A3C">
        <w:rPr>
          <w:lang w:val="fr-FR"/>
        </w:rPr>
        <w:t>Bagley</w:t>
      </w:r>
      <w:proofErr w:type="spellEnd"/>
      <w:r w:rsidRPr="004C2A3C">
        <w:rPr>
          <w:lang w:val="fr-FR"/>
        </w:rPr>
        <w:t xml:space="preserve"> </w:t>
      </w:r>
      <w:r w:rsidRPr="004C2A3C">
        <w:rPr>
          <w:i/>
          <w:iCs/>
          <w:lang w:val="fr-FR"/>
        </w:rPr>
        <w:t>et al</w:t>
      </w:r>
      <w:r w:rsidRPr="004C2A3C">
        <w:rPr>
          <w:lang w:val="fr-FR"/>
        </w:rPr>
        <w:t xml:space="preserve">., 1994 ; </w:t>
      </w:r>
      <w:proofErr w:type="spellStart"/>
      <w:r w:rsidRPr="004C2A3C">
        <w:rPr>
          <w:lang w:val="fr-FR"/>
        </w:rPr>
        <w:t>Brantom</w:t>
      </w:r>
      <w:proofErr w:type="spellEnd"/>
      <w:r w:rsidRPr="004C2A3C">
        <w:rPr>
          <w:lang w:val="fr-FR"/>
        </w:rPr>
        <w:t xml:space="preserve"> </w:t>
      </w:r>
      <w:r w:rsidRPr="004C2A3C">
        <w:rPr>
          <w:i/>
          <w:iCs/>
          <w:lang w:val="fr-FR"/>
        </w:rPr>
        <w:t>et al</w:t>
      </w:r>
      <w:r w:rsidRPr="004C2A3C">
        <w:rPr>
          <w:lang w:val="fr-FR"/>
        </w:rPr>
        <w:t xml:space="preserve">., 1997 ; </w:t>
      </w:r>
      <w:proofErr w:type="spellStart"/>
      <w:r w:rsidRPr="004C2A3C">
        <w:rPr>
          <w:lang w:val="fr-FR"/>
        </w:rPr>
        <w:t>Bagley</w:t>
      </w:r>
      <w:proofErr w:type="spellEnd"/>
      <w:r w:rsidRPr="004C2A3C">
        <w:rPr>
          <w:lang w:val="fr-FR"/>
        </w:rPr>
        <w:t xml:space="preserve"> </w:t>
      </w:r>
      <w:r w:rsidRPr="004C2A3C">
        <w:rPr>
          <w:i/>
          <w:iCs/>
          <w:lang w:val="fr-FR"/>
        </w:rPr>
        <w:t>et al</w:t>
      </w:r>
      <w:r w:rsidRPr="004C2A3C">
        <w:rPr>
          <w:lang w:val="fr-FR"/>
        </w:rPr>
        <w:t xml:space="preserve">., 1999 ; </w:t>
      </w:r>
      <w:proofErr w:type="spellStart"/>
      <w:r w:rsidRPr="004C2A3C">
        <w:rPr>
          <w:lang w:val="fr-FR"/>
        </w:rPr>
        <w:t>Donahue</w:t>
      </w:r>
      <w:proofErr w:type="spellEnd"/>
      <w:r w:rsidRPr="004C2A3C">
        <w:rPr>
          <w:lang w:val="fr-FR"/>
        </w:rPr>
        <w:t xml:space="preserve"> </w:t>
      </w:r>
      <w:r w:rsidRPr="004C2A3C">
        <w:rPr>
          <w:i/>
          <w:iCs/>
          <w:lang w:val="fr-FR"/>
        </w:rPr>
        <w:t>et al</w:t>
      </w:r>
      <w:r w:rsidRPr="004C2A3C">
        <w:rPr>
          <w:lang w:val="fr-FR"/>
        </w:rPr>
        <w:t>., 2011) ;</w:t>
      </w:r>
    </w:p>
    <w:p w14:paraId="788CB9D9" w14:textId="77777777" w:rsidR="00233091" w:rsidRPr="004C2A3C" w:rsidRDefault="00233091" w:rsidP="00233091">
      <w:pPr>
        <w:numPr>
          <w:ilvl w:val="0"/>
          <w:numId w:val="2"/>
        </w:numPr>
        <w:spacing w:after="120"/>
        <w:ind w:left="2552" w:right="1134" w:hanging="284"/>
        <w:jc w:val="both"/>
        <w:rPr>
          <w:lang w:val="fr-FR"/>
        </w:rPr>
      </w:pPr>
      <w:r w:rsidRPr="004C2A3C">
        <w:rPr>
          <w:lang w:val="fr-FR"/>
        </w:rPr>
        <w:t xml:space="preserve">Essai au rouge neutre (NRR) : essai </w:t>
      </w:r>
      <w:r w:rsidRPr="004C2A3C">
        <w:rPr>
          <w:i/>
          <w:iCs/>
          <w:lang w:val="fr-FR"/>
        </w:rPr>
        <w:t>in vitro</w:t>
      </w:r>
      <w:r w:rsidRPr="004C2A3C">
        <w:rPr>
          <w:lang w:val="fr-FR"/>
        </w:rPr>
        <w:t xml:space="preserve"> consistant à mesurer quantitativement la capacité d</w:t>
      </w:r>
      <w:r>
        <w:rPr>
          <w:lang w:val="fr-FR"/>
        </w:rPr>
        <w:t>’</w:t>
      </w:r>
      <w:r w:rsidRPr="004C2A3C">
        <w:rPr>
          <w:lang w:val="fr-FR"/>
        </w:rPr>
        <w:t xml:space="preserve">une substance à causer des dommages aux membranes cellulaires dans une monocouche de kératinocytes épidermiques humains normaux (NHEK) (Reader </w:t>
      </w:r>
      <w:r w:rsidRPr="004C2A3C">
        <w:rPr>
          <w:i/>
          <w:iCs/>
          <w:lang w:val="fr-FR"/>
        </w:rPr>
        <w:t>et al</w:t>
      </w:r>
      <w:r w:rsidRPr="004C2A3C">
        <w:rPr>
          <w:lang w:val="fr-FR"/>
        </w:rPr>
        <w:t xml:space="preserve">., 1989 ; Reader </w:t>
      </w:r>
      <w:r w:rsidRPr="004C2A3C">
        <w:rPr>
          <w:i/>
          <w:iCs/>
          <w:lang w:val="fr-FR"/>
        </w:rPr>
        <w:t>et al</w:t>
      </w:r>
      <w:r w:rsidRPr="004C2A3C">
        <w:rPr>
          <w:lang w:val="fr-FR"/>
        </w:rPr>
        <w:t xml:space="preserve">., 1990 ; </w:t>
      </w:r>
      <w:proofErr w:type="spellStart"/>
      <w:r w:rsidRPr="004C2A3C">
        <w:rPr>
          <w:lang w:val="fr-FR"/>
        </w:rPr>
        <w:t>Zuang</w:t>
      </w:r>
      <w:proofErr w:type="spellEnd"/>
      <w:r w:rsidRPr="004C2A3C">
        <w:rPr>
          <w:lang w:val="fr-FR"/>
        </w:rPr>
        <w:t xml:space="preserve">, 2001 ; EURL ECVAM, 2004b ; </w:t>
      </w:r>
      <w:proofErr w:type="spellStart"/>
      <w:r w:rsidRPr="004C2A3C">
        <w:rPr>
          <w:lang w:val="fr-FR"/>
        </w:rPr>
        <w:t>Settivari</w:t>
      </w:r>
      <w:proofErr w:type="spellEnd"/>
      <w:r w:rsidRPr="004C2A3C">
        <w:rPr>
          <w:lang w:val="fr-FR"/>
        </w:rPr>
        <w:t xml:space="preserve"> </w:t>
      </w:r>
      <w:r w:rsidRPr="004C2A3C">
        <w:rPr>
          <w:i/>
          <w:iCs/>
          <w:lang w:val="fr-FR"/>
        </w:rPr>
        <w:t>et al</w:t>
      </w:r>
      <w:r w:rsidRPr="004C2A3C">
        <w:rPr>
          <w:lang w:val="fr-FR"/>
        </w:rPr>
        <w:t>., 2016) ;</w:t>
      </w:r>
    </w:p>
    <w:p w14:paraId="49C2C20D" w14:textId="77777777" w:rsidR="00233091" w:rsidRPr="004C2A3C" w:rsidRDefault="00233091" w:rsidP="00233091">
      <w:pPr>
        <w:numPr>
          <w:ilvl w:val="0"/>
          <w:numId w:val="2"/>
        </w:numPr>
        <w:spacing w:after="120"/>
        <w:ind w:left="2552" w:right="1134" w:hanging="284"/>
        <w:jc w:val="both"/>
        <w:rPr>
          <w:lang w:val="fr-FR"/>
        </w:rPr>
      </w:pPr>
      <w:r w:rsidRPr="004C2A3C">
        <w:rPr>
          <w:lang w:val="fr-FR"/>
        </w:rPr>
        <w:t>Essai sur œil de lapin isolé (IRE), comparable à l</w:t>
      </w:r>
      <w:r>
        <w:rPr>
          <w:lang w:val="fr-FR"/>
        </w:rPr>
        <w:t>’</w:t>
      </w:r>
      <w:r w:rsidRPr="004C2A3C">
        <w:rPr>
          <w:lang w:val="fr-FR"/>
        </w:rPr>
        <w:t>essai 438 de l</w:t>
      </w:r>
      <w:r>
        <w:rPr>
          <w:lang w:val="fr-FR"/>
        </w:rPr>
        <w:t>’</w:t>
      </w:r>
      <w:r w:rsidRPr="004C2A3C">
        <w:rPr>
          <w:lang w:val="fr-FR"/>
        </w:rPr>
        <w:t xml:space="preserve">OCDE, mais avec des yeux de lapin isolés, et non des yeux de poulet isolés (Burton </w:t>
      </w:r>
      <w:r w:rsidRPr="004C2A3C">
        <w:rPr>
          <w:i/>
          <w:iCs/>
          <w:lang w:val="fr-FR"/>
        </w:rPr>
        <w:t>et al</w:t>
      </w:r>
      <w:r w:rsidRPr="004C2A3C">
        <w:rPr>
          <w:lang w:val="fr-FR"/>
        </w:rPr>
        <w:t xml:space="preserve">., 1981 ; Whittle </w:t>
      </w:r>
      <w:r w:rsidRPr="004C2A3C">
        <w:rPr>
          <w:i/>
          <w:iCs/>
          <w:lang w:val="fr-FR"/>
        </w:rPr>
        <w:t>et al</w:t>
      </w:r>
      <w:r w:rsidRPr="004C2A3C">
        <w:rPr>
          <w:lang w:val="fr-FR"/>
        </w:rPr>
        <w:t xml:space="preserve">. 1992 ; Balls </w:t>
      </w:r>
      <w:r w:rsidRPr="004C2A3C">
        <w:rPr>
          <w:i/>
          <w:iCs/>
          <w:lang w:val="fr-FR"/>
        </w:rPr>
        <w:t>et al</w:t>
      </w:r>
      <w:r w:rsidRPr="004C2A3C">
        <w:rPr>
          <w:lang w:val="fr-FR"/>
        </w:rPr>
        <w:t xml:space="preserve">., 1995 ; </w:t>
      </w:r>
      <w:proofErr w:type="spellStart"/>
      <w:r w:rsidRPr="004C2A3C">
        <w:rPr>
          <w:lang w:val="fr-FR"/>
        </w:rPr>
        <w:t>Brantom</w:t>
      </w:r>
      <w:proofErr w:type="spellEnd"/>
      <w:r w:rsidRPr="004C2A3C">
        <w:rPr>
          <w:lang w:val="fr-FR"/>
        </w:rPr>
        <w:t xml:space="preserve"> </w:t>
      </w:r>
      <w:r w:rsidRPr="004C2A3C">
        <w:rPr>
          <w:i/>
          <w:iCs/>
          <w:lang w:val="fr-FR"/>
        </w:rPr>
        <w:t>et al</w:t>
      </w:r>
      <w:r w:rsidRPr="004C2A3C">
        <w:rPr>
          <w:lang w:val="fr-FR"/>
        </w:rPr>
        <w:t>., 1997 ; ICCVAM, 2007 ; ICCVAM, 2010).</w:t>
      </w:r>
    </w:p>
    <w:p w14:paraId="4F9B4F41" w14:textId="77777777" w:rsidR="00233091" w:rsidRPr="004C2A3C" w:rsidRDefault="00233091" w:rsidP="00233091">
      <w:pPr>
        <w:keepNext/>
        <w:tabs>
          <w:tab w:val="left" w:pos="3402"/>
        </w:tabs>
        <w:spacing w:after="120"/>
        <w:ind w:left="2268" w:right="1134"/>
        <w:jc w:val="both"/>
        <w:rPr>
          <w:i/>
          <w:iCs/>
          <w:color w:val="000000" w:themeColor="text1"/>
          <w:lang w:val="fr-FR"/>
        </w:rPr>
      </w:pPr>
      <w:r w:rsidRPr="004C2A3C">
        <w:rPr>
          <w:color w:val="000000" w:themeColor="text1"/>
          <w:lang w:val="fr-FR"/>
        </w:rPr>
        <w:t>3.3.5.3.6</w:t>
      </w:r>
      <w:r w:rsidRPr="004C2A3C">
        <w:rPr>
          <w:color w:val="000000" w:themeColor="text1"/>
          <w:lang w:val="fr-FR"/>
        </w:rPr>
        <w:tab/>
      </w:r>
      <w:r w:rsidRPr="004C2A3C">
        <w:rPr>
          <w:i/>
          <w:iCs/>
          <w:color w:val="000000" w:themeColor="text1"/>
          <w:lang w:val="fr-FR"/>
        </w:rPr>
        <w:t>Instructions d</w:t>
      </w:r>
      <w:r>
        <w:rPr>
          <w:i/>
          <w:iCs/>
          <w:color w:val="000000" w:themeColor="text1"/>
          <w:lang w:val="fr-FR"/>
        </w:rPr>
        <w:t>’</w:t>
      </w:r>
      <w:r w:rsidRPr="004C2A3C">
        <w:rPr>
          <w:i/>
          <w:iCs/>
          <w:color w:val="000000" w:themeColor="text1"/>
          <w:lang w:val="fr-FR"/>
        </w:rPr>
        <w:t>utilisation d</w:t>
      </w:r>
      <w:r>
        <w:rPr>
          <w:i/>
          <w:iCs/>
          <w:color w:val="000000" w:themeColor="text1"/>
          <w:lang w:val="fr-FR"/>
        </w:rPr>
        <w:t>’</w:t>
      </w:r>
      <w:r w:rsidRPr="004C2A3C">
        <w:rPr>
          <w:i/>
          <w:iCs/>
          <w:color w:val="000000" w:themeColor="text1"/>
          <w:lang w:val="fr-FR"/>
        </w:rPr>
        <w:t>autres données existantes sur des effets cutanés ou oculaires sur animaux aux fins de classification au titre des lésions oculaires graves ou de l</w:t>
      </w:r>
      <w:r>
        <w:rPr>
          <w:i/>
          <w:iCs/>
          <w:color w:val="000000" w:themeColor="text1"/>
          <w:lang w:val="fr-FR"/>
        </w:rPr>
        <w:t>’</w:t>
      </w:r>
      <w:r w:rsidRPr="004C2A3C">
        <w:rPr>
          <w:i/>
          <w:iCs/>
          <w:color w:val="000000" w:themeColor="text1"/>
          <w:lang w:val="fr-FR"/>
        </w:rPr>
        <w:t>irritation oculaire</w:t>
      </w:r>
    </w:p>
    <w:p w14:paraId="143C44FC" w14:textId="77777777" w:rsidR="00233091" w:rsidRPr="004C2A3C" w:rsidRDefault="00233091" w:rsidP="00233091">
      <w:pPr>
        <w:tabs>
          <w:tab w:val="left" w:pos="3402"/>
        </w:tabs>
        <w:spacing w:after="120"/>
        <w:ind w:left="2268" w:right="1134"/>
        <w:jc w:val="both"/>
        <w:rPr>
          <w:color w:val="000000" w:themeColor="text1"/>
          <w:lang w:val="fr-FR"/>
        </w:rPr>
      </w:pPr>
      <w:r w:rsidRPr="004C2A3C">
        <w:rPr>
          <w:color w:val="000000" w:themeColor="text1"/>
          <w:lang w:val="fr-FR"/>
        </w:rPr>
        <w:t>3.3.5.3.6.1</w:t>
      </w:r>
      <w:r w:rsidRPr="004C2A3C">
        <w:rPr>
          <w:color w:val="000000" w:themeColor="text1"/>
          <w:lang w:val="fr-FR"/>
        </w:rPr>
        <w:tab/>
        <w:t>La disponibilité d</w:t>
      </w:r>
      <w:r>
        <w:rPr>
          <w:color w:val="000000" w:themeColor="text1"/>
          <w:lang w:val="fr-FR"/>
        </w:rPr>
        <w:t>’</w:t>
      </w:r>
      <w:r w:rsidRPr="004C2A3C">
        <w:rPr>
          <w:color w:val="000000" w:themeColor="text1"/>
          <w:lang w:val="fr-FR"/>
        </w:rPr>
        <w:t>autres données animales sur des lésions oculaires graves ou une irritation oculaire peut être limitée, sachant qu</w:t>
      </w:r>
      <w:r>
        <w:rPr>
          <w:color w:val="000000" w:themeColor="text1"/>
          <w:lang w:val="fr-FR"/>
        </w:rPr>
        <w:t>’</w:t>
      </w:r>
      <w:r w:rsidRPr="004C2A3C">
        <w:rPr>
          <w:color w:val="000000" w:themeColor="text1"/>
          <w:lang w:val="fr-FR"/>
        </w:rPr>
        <w:t>on n</w:t>
      </w:r>
      <w:r>
        <w:rPr>
          <w:color w:val="000000" w:themeColor="text1"/>
          <w:lang w:val="fr-FR"/>
        </w:rPr>
        <w:t>’</w:t>
      </w:r>
      <w:r w:rsidRPr="004C2A3C">
        <w:rPr>
          <w:color w:val="000000" w:themeColor="text1"/>
          <w:lang w:val="fr-FR"/>
        </w:rPr>
        <w:t>effectue généralement pas d</w:t>
      </w:r>
      <w:r>
        <w:rPr>
          <w:color w:val="000000" w:themeColor="text1"/>
          <w:lang w:val="fr-FR"/>
        </w:rPr>
        <w:t>’</w:t>
      </w:r>
      <w:r w:rsidRPr="004C2A3C">
        <w:rPr>
          <w:color w:val="000000" w:themeColor="text1"/>
          <w:lang w:val="fr-FR"/>
        </w:rPr>
        <w:t>essais sur l</w:t>
      </w:r>
      <w:r>
        <w:rPr>
          <w:color w:val="000000" w:themeColor="text1"/>
          <w:lang w:val="fr-FR"/>
        </w:rPr>
        <w:t>’</w:t>
      </w:r>
      <w:r w:rsidRPr="004C2A3C">
        <w:rPr>
          <w:color w:val="000000" w:themeColor="text1"/>
          <w:lang w:val="fr-FR"/>
        </w:rPr>
        <w:t>œil comme voie d</w:t>
      </w:r>
      <w:r>
        <w:rPr>
          <w:color w:val="000000" w:themeColor="text1"/>
          <w:lang w:val="fr-FR"/>
        </w:rPr>
        <w:t>’</w:t>
      </w:r>
      <w:r w:rsidRPr="004C2A3C">
        <w:rPr>
          <w:color w:val="000000" w:themeColor="text1"/>
          <w:lang w:val="fr-FR"/>
        </w:rPr>
        <w:t>exposition. On dispose toutefois des données rétrospectives de l</w:t>
      </w:r>
      <w:r>
        <w:rPr>
          <w:color w:val="000000" w:themeColor="text1"/>
          <w:lang w:val="fr-FR"/>
        </w:rPr>
        <w:t>’</w:t>
      </w:r>
      <w:r w:rsidRPr="004C2A3C">
        <w:rPr>
          <w:color w:val="000000" w:themeColor="text1"/>
          <w:lang w:val="fr-FR"/>
        </w:rPr>
        <w:t>essai Low Volume Eye Test (LVET), lesquelles peuvent être utilisées dans une évaluation de la force probante des données. L</w:t>
      </w:r>
      <w:r>
        <w:rPr>
          <w:color w:val="000000" w:themeColor="text1"/>
          <w:lang w:val="fr-FR"/>
        </w:rPr>
        <w:t>’</w:t>
      </w:r>
      <w:r w:rsidRPr="004C2A3C">
        <w:rPr>
          <w:color w:val="000000" w:themeColor="text1"/>
          <w:lang w:val="fr-FR"/>
        </w:rPr>
        <w:t>essai LVET est une variante de l</w:t>
      </w:r>
      <w:r>
        <w:rPr>
          <w:color w:val="000000" w:themeColor="text1"/>
          <w:lang w:val="fr-FR"/>
        </w:rPr>
        <w:t>’</w:t>
      </w:r>
      <w:r w:rsidRPr="004C2A3C">
        <w:rPr>
          <w:color w:val="000000" w:themeColor="text1"/>
          <w:lang w:val="fr-FR"/>
        </w:rPr>
        <w:t>essai 405 de l</w:t>
      </w:r>
      <w:r>
        <w:rPr>
          <w:color w:val="000000" w:themeColor="text1"/>
          <w:lang w:val="fr-FR"/>
        </w:rPr>
        <w:t>’</w:t>
      </w:r>
      <w:r w:rsidRPr="004C2A3C">
        <w:rPr>
          <w:color w:val="000000" w:themeColor="text1"/>
          <w:lang w:val="fr-FR"/>
        </w:rPr>
        <w:t>OCDE.</w:t>
      </w:r>
    </w:p>
    <w:p w14:paraId="672F3F40" w14:textId="77777777" w:rsidR="00233091" w:rsidRPr="004C2A3C" w:rsidRDefault="00233091" w:rsidP="00233091">
      <w:pPr>
        <w:tabs>
          <w:tab w:val="left" w:pos="3402"/>
        </w:tabs>
        <w:spacing w:after="120"/>
        <w:ind w:left="2268" w:right="1134"/>
        <w:jc w:val="both"/>
        <w:rPr>
          <w:color w:val="000000" w:themeColor="text1"/>
          <w:lang w:val="fr-FR"/>
        </w:rPr>
      </w:pPr>
      <w:r w:rsidRPr="004C2A3C">
        <w:rPr>
          <w:color w:val="000000" w:themeColor="text1"/>
          <w:lang w:val="fr-FR"/>
        </w:rPr>
        <w:t>3.3.5.3.6.2</w:t>
      </w:r>
      <w:r w:rsidRPr="004C2A3C">
        <w:rPr>
          <w:color w:val="000000" w:themeColor="text1"/>
          <w:lang w:val="fr-FR"/>
        </w:rPr>
        <w:tab/>
        <w:t>Les données disponibles sur l</w:t>
      </w:r>
      <w:r>
        <w:rPr>
          <w:color w:val="000000" w:themeColor="text1"/>
          <w:lang w:val="fr-FR"/>
        </w:rPr>
        <w:t>’</w:t>
      </w:r>
      <w:r w:rsidRPr="004C2A3C">
        <w:rPr>
          <w:color w:val="000000" w:themeColor="text1"/>
          <w:lang w:val="fr-FR"/>
        </w:rPr>
        <w:t>essai LVET peuvent être prises en compte aux fins d</w:t>
      </w:r>
      <w:r>
        <w:rPr>
          <w:color w:val="000000" w:themeColor="text1"/>
          <w:lang w:val="fr-FR"/>
        </w:rPr>
        <w:t>’</w:t>
      </w:r>
      <w:r w:rsidRPr="004C2A3C">
        <w:rPr>
          <w:color w:val="000000" w:themeColor="text1"/>
          <w:lang w:val="fr-FR"/>
        </w:rPr>
        <w:t>une classification et d</w:t>
      </w:r>
      <w:r>
        <w:rPr>
          <w:color w:val="000000" w:themeColor="text1"/>
          <w:lang w:val="fr-FR"/>
        </w:rPr>
        <w:t>’</w:t>
      </w:r>
      <w:r w:rsidRPr="004C2A3C">
        <w:rPr>
          <w:color w:val="000000" w:themeColor="text1"/>
          <w:lang w:val="fr-FR"/>
        </w:rPr>
        <w:t>un étiquetage à condition d</w:t>
      </w:r>
      <w:r>
        <w:rPr>
          <w:color w:val="000000" w:themeColor="text1"/>
          <w:lang w:val="fr-FR"/>
        </w:rPr>
        <w:t>’</w:t>
      </w:r>
      <w:r w:rsidRPr="004C2A3C">
        <w:rPr>
          <w:color w:val="000000" w:themeColor="text1"/>
          <w:lang w:val="fr-FR"/>
        </w:rPr>
        <w:t>être soigneusement analysées. Les différences entre l</w:t>
      </w:r>
      <w:r>
        <w:rPr>
          <w:color w:val="000000" w:themeColor="text1"/>
          <w:lang w:val="fr-FR"/>
        </w:rPr>
        <w:t>’</w:t>
      </w:r>
      <w:r w:rsidRPr="004C2A3C">
        <w:rPr>
          <w:color w:val="000000" w:themeColor="text1"/>
          <w:lang w:val="fr-FR"/>
        </w:rPr>
        <w:t>essai LVET et l</w:t>
      </w:r>
      <w:r>
        <w:rPr>
          <w:color w:val="000000" w:themeColor="text1"/>
          <w:lang w:val="fr-FR"/>
        </w:rPr>
        <w:t>’</w:t>
      </w:r>
      <w:r w:rsidRPr="004C2A3C">
        <w:rPr>
          <w:color w:val="000000" w:themeColor="text1"/>
          <w:lang w:val="fr-FR"/>
        </w:rPr>
        <w:t>essai 405 de l</w:t>
      </w:r>
      <w:r>
        <w:rPr>
          <w:color w:val="000000" w:themeColor="text1"/>
          <w:lang w:val="fr-FR"/>
        </w:rPr>
        <w:t>’</w:t>
      </w:r>
      <w:r w:rsidRPr="004C2A3C">
        <w:rPr>
          <w:color w:val="000000" w:themeColor="text1"/>
          <w:lang w:val="fr-FR"/>
        </w:rPr>
        <w:t>OCDE peuvent aboutir à une classification dans une catégorie inférieure (ou à aucune classification) sur la base des données LVET, par rapport à ce qui aurait été obtenu à partir des données de l</w:t>
      </w:r>
      <w:r>
        <w:rPr>
          <w:color w:val="000000" w:themeColor="text1"/>
          <w:lang w:val="fr-FR"/>
        </w:rPr>
        <w:t>’</w:t>
      </w:r>
      <w:r w:rsidRPr="004C2A3C">
        <w:rPr>
          <w:color w:val="000000" w:themeColor="text1"/>
          <w:lang w:val="fr-FR"/>
        </w:rPr>
        <w:t xml:space="preserve">essai </w:t>
      </w:r>
      <w:r w:rsidRPr="004C2A3C">
        <w:rPr>
          <w:i/>
          <w:color w:val="000000" w:themeColor="text1"/>
          <w:lang w:val="fr-FR"/>
        </w:rPr>
        <w:t>in vivo</w:t>
      </w:r>
      <w:r w:rsidRPr="004C2A3C">
        <w:rPr>
          <w:color w:val="000000" w:themeColor="text1"/>
          <w:lang w:val="fr-FR"/>
        </w:rPr>
        <w:t xml:space="preserve"> standard (essai 405 de l</w:t>
      </w:r>
      <w:r>
        <w:rPr>
          <w:color w:val="000000" w:themeColor="text1"/>
          <w:lang w:val="fr-FR"/>
        </w:rPr>
        <w:t>’</w:t>
      </w:r>
      <w:r w:rsidRPr="004C2A3C">
        <w:rPr>
          <w:color w:val="000000" w:themeColor="text1"/>
          <w:lang w:val="fr-FR"/>
        </w:rPr>
        <w:t>OCDE). Ainsi, des données positives obtenues au moyen de l</w:t>
      </w:r>
      <w:r>
        <w:rPr>
          <w:color w:val="000000" w:themeColor="text1"/>
          <w:lang w:val="fr-FR"/>
        </w:rPr>
        <w:t>’</w:t>
      </w:r>
      <w:r w:rsidRPr="004C2A3C">
        <w:rPr>
          <w:color w:val="000000" w:themeColor="text1"/>
          <w:lang w:val="fr-FR"/>
        </w:rPr>
        <w:t>essai LVET peuvent inciter à envisager une classification dans la catégorie 1, mais elles ne sont pas concluantes pour une classification dans la catégorie 2 ou pour l</w:t>
      </w:r>
      <w:r>
        <w:rPr>
          <w:color w:val="000000" w:themeColor="text1"/>
          <w:lang w:val="fr-FR"/>
        </w:rPr>
        <w:t>’</w:t>
      </w:r>
      <w:r w:rsidRPr="004C2A3C">
        <w:rPr>
          <w:color w:val="000000" w:themeColor="text1"/>
          <w:lang w:val="fr-FR"/>
        </w:rPr>
        <w:t>absence de classification (ECHA, 2017). Ces données sont néanmoins utilisables dans une évaluation globale de la force probante des données. On notera que le domaine d</w:t>
      </w:r>
      <w:r>
        <w:rPr>
          <w:color w:val="000000" w:themeColor="text1"/>
          <w:lang w:val="fr-FR"/>
        </w:rPr>
        <w:t>’</w:t>
      </w:r>
      <w:r w:rsidRPr="004C2A3C">
        <w:rPr>
          <w:color w:val="000000" w:themeColor="text1"/>
          <w:lang w:val="fr-FR"/>
        </w:rPr>
        <w:t>application de l</w:t>
      </w:r>
      <w:r>
        <w:rPr>
          <w:color w:val="000000" w:themeColor="text1"/>
          <w:lang w:val="fr-FR"/>
        </w:rPr>
        <w:t>’</w:t>
      </w:r>
      <w:r w:rsidRPr="004C2A3C">
        <w:rPr>
          <w:color w:val="000000" w:themeColor="text1"/>
          <w:lang w:val="fr-FR"/>
        </w:rPr>
        <w:t>essai LVET se limite aux détergents et autres nettoyants ménagers et à leurs principaux composants (agents tensioactifs) (ESAC, 2009).</w:t>
      </w:r>
    </w:p>
    <w:p w14:paraId="1A9A73F0" w14:textId="77777777" w:rsidR="00233091" w:rsidRPr="004C2A3C" w:rsidRDefault="00233091" w:rsidP="00233091">
      <w:pPr>
        <w:tabs>
          <w:tab w:val="left" w:pos="3402"/>
        </w:tabs>
        <w:spacing w:after="120"/>
        <w:ind w:left="2268" w:right="1134"/>
        <w:jc w:val="both"/>
        <w:rPr>
          <w:color w:val="000000" w:themeColor="text1"/>
          <w:lang w:val="fr-FR"/>
        </w:rPr>
      </w:pPr>
      <w:r w:rsidRPr="004C2A3C">
        <w:rPr>
          <w:color w:val="000000" w:themeColor="text1"/>
          <w:lang w:val="fr-FR"/>
        </w:rPr>
        <w:t>3.3.5.3.6.3</w:t>
      </w:r>
      <w:r w:rsidRPr="004C2A3C">
        <w:rPr>
          <w:color w:val="000000" w:themeColor="text1"/>
          <w:lang w:val="fr-FR"/>
        </w:rPr>
        <w:tab/>
        <w:t>Des effets sur les yeux sont observables dans des études d</w:t>
      </w:r>
      <w:r>
        <w:rPr>
          <w:color w:val="000000" w:themeColor="text1"/>
          <w:lang w:val="fr-FR"/>
        </w:rPr>
        <w:t>’</w:t>
      </w:r>
      <w:r w:rsidRPr="004C2A3C">
        <w:rPr>
          <w:color w:val="000000" w:themeColor="text1"/>
          <w:lang w:val="fr-FR"/>
        </w:rPr>
        <w:t>inhalation de doses fortes ou répétées, le corps entier étant exposé. Cependant, on ne fait généralement pas d</w:t>
      </w:r>
      <w:r>
        <w:rPr>
          <w:color w:val="000000" w:themeColor="text1"/>
          <w:lang w:val="fr-FR"/>
        </w:rPr>
        <w:t>’</w:t>
      </w:r>
      <w:r w:rsidRPr="004C2A3C">
        <w:rPr>
          <w:color w:val="000000" w:themeColor="text1"/>
          <w:lang w:val="fr-FR"/>
        </w:rPr>
        <w:t>évaluation selon les critères de Draize et la période d</w:t>
      </w:r>
      <w:r>
        <w:rPr>
          <w:color w:val="000000" w:themeColor="text1"/>
          <w:lang w:val="fr-FR"/>
        </w:rPr>
        <w:t>’</w:t>
      </w:r>
      <w:r w:rsidRPr="004C2A3C">
        <w:rPr>
          <w:color w:val="000000" w:themeColor="text1"/>
          <w:lang w:val="fr-FR"/>
        </w:rPr>
        <w:t>observation peut être inférieure à 21 jours. En outre, les effets sur les yeux dépendent souvent de la concentration de la substance ou du mélange et de la durée d</w:t>
      </w:r>
      <w:r>
        <w:rPr>
          <w:color w:val="000000" w:themeColor="text1"/>
          <w:lang w:val="fr-FR"/>
        </w:rPr>
        <w:t>’</w:t>
      </w:r>
      <w:r w:rsidRPr="004C2A3C">
        <w:rPr>
          <w:color w:val="000000" w:themeColor="text1"/>
          <w:lang w:val="fr-FR"/>
        </w:rPr>
        <w:t>exposition. Sachant qu</w:t>
      </w:r>
      <w:r>
        <w:rPr>
          <w:color w:val="000000" w:themeColor="text1"/>
          <w:lang w:val="fr-FR"/>
        </w:rPr>
        <w:t>’</w:t>
      </w:r>
      <w:r w:rsidRPr="004C2A3C">
        <w:rPr>
          <w:color w:val="000000" w:themeColor="text1"/>
          <w:lang w:val="fr-FR"/>
        </w:rPr>
        <w:t>il n</w:t>
      </w:r>
      <w:r>
        <w:rPr>
          <w:color w:val="000000" w:themeColor="text1"/>
          <w:lang w:val="fr-FR"/>
        </w:rPr>
        <w:t>’</w:t>
      </w:r>
      <w:r w:rsidRPr="004C2A3C">
        <w:rPr>
          <w:color w:val="000000" w:themeColor="text1"/>
          <w:lang w:val="fr-FR"/>
        </w:rPr>
        <w:t>existe pas de critères pour la concentration et la durée minimales, l</w:t>
      </w:r>
      <w:r>
        <w:rPr>
          <w:color w:val="000000" w:themeColor="text1"/>
          <w:lang w:val="fr-FR"/>
        </w:rPr>
        <w:t>’</w:t>
      </w:r>
      <w:r w:rsidRPr="004C2A3C">
        <w:rPr>
          <w:color w:val="000000" w:themeColor="text1"/>
          <w:lang w:val="fr-FR"/>
        </w:rPr>
        <w:t>absence d</w:t>
      </w:r>
      <w:r>
        <w:rPr>
          <w:color w:val="000000" w:themeColor="text1"/>
          <w:lang w:val="fr-FR"/>
        </w:rPr>
        <w:t>’</w:t>
      </w:r>
      <w:r w:rsidRPr="004C2A3C">
        <w:rPr>
          <w:color w:val="000000" w:themeColor="text1"/>
          <w:lang w:val="fr-FR"/>
        </w:rPr>
        <w:t>effets sur les yeux ou d</w:t>
      </w:r>
      <w:r>
        <w:rPr>
          <w:color w:val="000000" w:themeColor="text1"/>
          <w:lang w:val="fr-FR"/>
        </w:rPr>
        <w:t>’</w:t>
      </w:r>
      <w:r w:rsidRPr="004C2A3C">
        <w:rPr>
          <w:color w:val="000000" w:themeColor="text1"/>
          <w:lang w:val="fr-FR"/>
        </w:rPr>
        <w:t>irritation oculaire peut ne pas être concluante s</w:t>
      </w:r>
      <w:r>
        <w:rPr>
          <w:color w:val="000000" w:themeColor="text1"/>
          <w:lang w:val="fr-FR"/>
        </w:rPr>
        <w:t>’</w:t>
      </w:r>
      <w:r w:rsidRPr="004C2A3C">
        <w:rPr>
          <w:color w:val="000000" w:themeColor="text1"/>
          <w:lang w:val="fr-FR"/>
        </w:rPr>
        <w:t>agissant de l</w:t>
      </w:r>
      <w:r>
        <w:rPr>
          <w:color w:val="000000" w:themeColor="text1"/>
          <w:lang w:val="fr-FR"/>
        </w:rPr>
        <w:t>’</w:t>
      </w:r>
      <w:r w:rsidRPr="004C2A3C">
        <w:rPr>
          <w:color w:val="000000" w:themeColor="text1"/>
          <w:lang w:val="fr-FR"/>
        </w:rPr>
        <w:t>absence de lésions oculaires graves. La présence d</w:t>
      </w:r>
      <w:r>
        <w:rPr>
          <w:color w:val="000000" w:themeColor="text1"/>
          <w:lang w:val="fr-FR"/>
        </w:rPr>
        <w:t>’</w:t>
      </w:r>
      <w:r w:rsidRPr="004C2A3C">
        <w:rPr>
          <w:color w:val="000000" w:themeColor="text1"/>
          <w:lang w:val="fr-FR"/>
        </w:rPr>
        <w:t>effets irréversibles sur l</w:t>
      </w:r>
      <w:r>
        <w:rPr>
          <w:color w:val="000000" w:themeColor="text1"/>
          <w:lang w:val="fr-FR"/>
        </w:rPr>
        <w:t>’</w:t>
      </w:r>
      <w:r w:rsidRPr="004C2A3C">
        <w:rPr>
          <w:color w:val="000000" w:themeColor="text1"/>
          <w:lang w:val="fr-FR"/>
        </w:rPr>
        <w:t>œil doit être prise en compte dans le cadre d</w:t>
      </w:r>
      <w:r>
        <w:rPr>
          <w:color w:val="000000" w:themeColor="text1"/>
          <w:lang w:val="fr-FR"/>
        </w:rPr>
        <w:t>’</w:t>
      </w:r>
      <w:r w:rsidRPr="004C2A3C">
        <w:rPr>
          <w:color w:val="000000" w:themeColor="text1"/>
          <w:lang w:val="fr-FR"/>
        </w:rPr>
        <w:t>une évaluation de la force probante des données.</w:t>
      </w:r>
    </w:p>
    <w:p w14:paraId="325E7111" w14:textId="77777777" w:rsidR="00233091" w:rsidRPr="004C2A3C" w:rsidRDefault="00233091" w:rsidP="00233091">
      <w:pPr>
        <w:tabs>
          <w:tab w:val="left" w:pos="3402"/>
        </w:tabs>
        <w:spacing w:after="120"/>
        <w:ind w:left="2268" w:right="1134"/>
        <w:jc w:val="both"/>
        <w:rPr>
          <w:i/>
          <w:iCs/>
          <w:color w:val="000000" w:themeColor="text1"/>
          <w:lang w:val="fr-FR"/>
        </w:rPr>
      </w:pPr>
      <w:r w:rsidRPr="004C2A3C">
        <w:rPr>
          <w:color w:val="000000" w:themeColor="text1"/>
          <w:lang w:val="fr-FR"/>
        </w:rPr>
        <w:t>3.3.5.3.7</w:t>
      </w:r>
      <w:r w:rsidRPr="004C2A3C">
        <w:rPr>
          <w:color w:val="000000" w:themeColor="text1"/>
          <w:lang w:val="fr-FR"/>
        </w:rPr>
        <w:tab/>
      </w:r>
      <w:r w:rsidRPr="004C2A3C">
        <w:rPr>
          <w:i/>
          <w:iCs/>
          <w:color w:val="000000" w:themeColor="text1"/>
          <w:lang w:val="fr-FR"/>
        </w:rPr>
        <w:t>Instructions d</w:t>
      </w:r>
      <w:r>
        <w:rPr>
          <w:i/>
          <w:iCs/>
          <w:color w:val="000000" w:themeColor="text1"/>
          <w:lang w:val="fr-FR"/>
        </w:rPr>
        <w:t>’</w:t>
      </w:r>
      <w:r w:rsidRPr="004C2A3C">
        <w:rPr>
          <w:i/>
          <w:iCs/>
          <w:color w:val="000000" w:themeColor="text1"/>
          <w:lang w:val="fr-FR"/>
        </w:rPr>
        <w:t>utilisation du pH et de la réserve acide</w:t>
      </w:r>
      <w:r w:rsidRPr="004C2A3C">
        <w:rPr>
          <w:iCs/>
          <w:color w:val="000000" w:themeColor="text1"/>
          <w:lang w:val="fr-FR"/>
        </w:rPr>
        <w:t>/</w:t>
      </w:r>
      <w:r w:rsidRPr="004C2A3C">
        <w:rPr>
          <w:i/>
          <w:iCs/>
          <w:color w:val="000000" w:themeColor="text1"/>
          <w:lang w:val="fr-FR"/>
        </w:rPr>
        <w:t>alcaline pour la classification au titre des lésions oculaires graves</w:t>
      </w:r>
    </w:p>
    <w:p w14:paraId="6C245976" w14:textId="77777777" w:rsidR="00233091" w:rsidRPr="004C2A3C" w:rsidRDefault="00233091" w:rsidP="00233091">
      <w:pPr>
        <w:tabs>
          <w:tab w:val="left" w:pos="3402"/>
        </w:tabs>
        <w:spacing w:after="120"/>
        <w:ind w:left="2268" w:right="1134"/>
        <w:jc w:val="both"/>
        <w:rPr>
          <w:color w:val="000000" w:themeColor="text1"/>
          <w:lang w:val="fr-FR"/>
        </w:rPr>
      </w:pPr>
      <w:r w:rsidRPr="004C2A3C">
        <w:rPr>
          <w:color w:val="000000" w:themeColor="text1"/>
          <w:lang w:val="fr-FR"/>
        </w:rPr>
        <w:t>3.3.5.3.7.1</w:t>
      </w:r>
      <w:r w:rsidRPr="004C2A3C">
        <w:rPr>
          <w:color w:val="000000" w:themeColor="text1"/>
          <w:lang w:val="fr-FR"/>
        </w:rPr>
        <w:tab/>
        <w:t>Les méthodes permettant de déterminer le pH, telles que la ligne directrice 122 de l</w:t>
      </w:r>
      <w:r>
        <w:rPr>
          <w:color w:val="000000" w:themeColor="text1"/>
          <w:lang w:val="fr-FR"/>
        </w:rPr>
        <w:t>’</w:t>
      </w:r>
      <w:r w:rsidRPr="004C2A3C">
        <w:rPr>
          <w:color w:val="000000" w:themeColor="text1"/>
          <w:lang w:val="fr-FR"/>
        </w:rPr>
        <w:t xml:space="preserve">OCDE et la méthode décrite par Young </w:t>
      </w:r>
      <w:r w:rsidRPr="004C2A3C">
        <w:rPr>
          <w:i/>
          <w:color w:val="000000" w:themeColor="text1"/>
          <w:lang w:val="fr-FR"/>
        </w:rPr>
        <w:t>et al</w:t>
      </w:r>
      <w:r w:rsidRPr="004C2A3C">
        <w:rPr>
          <w:color w:val="000000" w:themeColor="text1"/>
          <w:lang w:val="fr-FR"/>
        </w:rPr>
        <w:t>. (1988), divergent en ce qui concerne la concentration de la substance ou du mélange dont le pH est déterminé, avec des valeurs de 1 %, 10 % et 100 %. La réserve acide/alcaline est aussi déterminée différemment entre ces méthodes, à savoir jusqu</w:t>
      </w:r>
      <w:r>
        <w:rPr>
          <w:color w:val="000000" w:themeColor="text1"/>
          <w:lang w:val="fr-FR"/>
        </w:rPr>
        <w:t>’</w:t>
      </w:r>
      <w:r w:rsidRPr="004C2A3C">
        <w:rPr>
          <w:color w:val="000000" w:themeColor="text1"/>
          <w:lang w:val="fr-FR"/>
        </w:rPr>
        <w:t>à un pH de 7 pour les acides et les bases (ligne directrice 122 de l</w:t>
      </w:r>
      <w:r>
        <w:rPr>
          <w:color w:val="000000" w:themeColor="text1"/>
          <w:lang w:val="fr-FR"/>
        </w:rPr>
        <w:t>’</w:t>
      </w:r>
      <w:r w:rsidRPr="004C2A3C">
        <w:rPr>
          <w:color w:val="000000" w:themeColor="text1"/>
          <w:lang w:val="fr-FR"/>
        </w:rPr>
        <w:t>OCDE) ou jusqu</w:t>
      </w:r>
      <w:r>
        <w:rPr>
          <w:color w:val="000000" w:themeColor="text1"/>
          <w:lang w:val="fr-FR"/>
        </w:rPr>
        <w:t>’</w:t>
      </w:r>
      <w:r w:rsidRPr="004C2A3C">
        <w:rPr>
          <w:color w:val="000000" w:themeColor="text1"/>
          <w:lang w:val="fr-FR"/>
        </w:rPr>
        <w:t xml:space="preserve">à un pH de 4 pour les acides et de 10 pour les bases (Young </w:t>
      </w:r>
      <w:r w:rsidRPr="004C2A3C">
        <w:rPr>
          <w:i/>
          <w:iCs/>
          <w:color w:val="000000" w:themeColor="text1"/>
          <w:lang w:val="fr-FR"/>
        </w:rPr>
        <w:t>et al</w:t>
      </w:r>
      <w:r w:rsidRPr="004C2A3C">
        <w:rPr>
          <w:color w:val="000000" w:themeColor="text1"/>
          <w:lang w:val="fr-FR"/>
        </w:rPr>
        <w:t>., 1988). En outre, les unités utilisées pour exprimer la réserve acide/alcaline sont différentes entre ces deux méthodes.</w:t>
      </w:r>
    </w:p>
    <w:p w14:paraId="4988FE3A" w14:textId="77777777" w:rsidR="00233091" w:rsidRPr="004C2A3C" w:rsidRDefault="00233091" w:rsidP="00233091">
      <w:pPr>
        <w:tabs>
          <w:tab w:val="left" w:pos="3402"/>
        </w:tabs>
        <w:spacing w:after="120"/>
        <w:ind w:left="2268" w:right="1134"/>
        <w:jc w:val="both"/>
        <w:rPr>
          <w:color w:val="000000" w:themeColor="text1"/>
          <w:lang w:val="fr-FR"/>
        </w:rPr>
      </w:pPr>
      <w:r w:rsidRPr="004C2A3C">
        <w:rPr>
          <w:color w:val="000000" w:themeColor="text1"/>
          <w:lang w:val="fr-FR"/>
        </w:rPr>
        <w:t>3.3.5.3.7.2</w:t>
      </w:r>
      <w:r w:rsidRPr="004C2A3C">
        <w:rPr>
          <w:color w:val="000000" w:themeColor="text1"/>
          <w:lang w:val="fr-FR"/>
        </w:rPr>
        <w:tab/>
        <w:t>Des critères permettant de mettre en évidence les substances et les mélanges devant être classés dans la catégorie 1 pour les effets cutanés en fonction du pH et de la réserve acide/alcaline ont été mis au point, à partir d</w:t>
      </w:r>
      <w:r>
        <w:rPr>
          <w:color w:val="000000" w:themeColor="text1"/>
          <w:lang w:val="fr-FR"/>
        </w:rPr>
        <w:t>’</w:t>
      </w:r>
      <w:r w:rsidRPr="004C2A3C">
        <w:rPr>
          <w:color w:val="000000" w:themeColor="text1"/>
          <w:lang w:val="fr-FR"/>
        </w:rPr>
        <w:t xml:space="preserve">une combinaison de valeurs de pH et de réserve acide/alcaline qui ont été calculées selon une méthode particulière (Young </w:t>
      </w:r>
      <w:r w:rsidRPr="004C2A3C">
        <w:rPr>
          <w:i/>
          <w:color w:val="000000" w:themeColor="text1"/>
          <w:lang w:val="fr-FR"/>
        </w:rPr>
        <w:t>et al</w:t>
      </w:r>
      <w:r w:rsidRPr="004C2A3C">
        <w:rPr>
          <w:color w:val="000000" w:themeColor="text1"/>
          <w:lang w:val="fr-FR"/>
        </w:rPr>
        <w:t>., 1988), et ces mêmes critères sont appliqués pour les effets sur les yeux. Il se peut donc que ces critères ne soient pas directement applicables lorsque d</w:t>
      </w:r>
      <w:r>
        <w:rPr>
          <w:color w:val="000000" w:themeColor="text1"/>
          <w:lang w:val="fr-FR"/>
        </w:rPr>
        <w:t>’</w:t>
      </w:r>
      <w:r w:rsidRPr="004C2A3C">
        <w:rPr>
          <w:color w:val="000000" w:themeColor="text1"/>
          <w:lang w:val="fr-FR"/>
        </w:rPr>
        <w:t>autres concentrations ou méthodes d</w:t>
      </w:r>
      <w:r>
        <w:rPr>
          <w:color w:val="000000" w:themeColor="text1"/>
          <w:lang w:val="fr-FR"/>
        </w:rPr>
        <w:t>’</w:t>
      </w:r>
      <w:r w:rsidRPr="004C2A3C">
        <w:rPr>
          <w:color w:val="000000" w:themeColor="text1"/>
          <w:lang w:val="fr-FR"/>
        </w:rPr>
        <w:t>essai sont utilisées pour mesurer le pH et la réserve acide/alcaline. Par ailleurs, l</w:t>
      </w:r>
      <w:r>
        <w:rPr>
          <w:color w:val="000000" w:themeColor="text1"/>
          <w:lang w:val="fr-FR"/>
        </w:rPr>
        <w:t>’</w:t>
      </w:r>
      <w:r w:rsidRPr="004C2A3C">
        <w:rPr>
          <w:color w:val="000000" w:themeColor="text1"/>
          <w:lang w:val="fr-FR"/>
        </w:rPr>
        <w:t xml:space="preserve">étalonnage et la validation de ces critères étaient fondés sur un ensemble de données limité concernant les effets cutanés. La valeur prédictive de la combinaison du pH et de la réserve acide/alcaline pour la classification dans la catégorie 1 au titre des effets cutanés est donc limitée, en particulier pour les substances et les mélanges présentant un pH extrême, mais une réserve acide/alcaline négligeable. Les critères élaborés par Young </w:t>
      </w:r>
      <w:r w:rsidRPr="004C2A3C">
        <w:rPr>
          <w:i/>
          <w:color w:val="000000" w:themeColor="text1"/>
          <w:lang w:val="fr-FR"/>
        </w:rPr>
        <w:t>et al</w:t>
      </w:r>
      <w:r w:rsidRPr="004C2A3C">
        <w:rPr>
          <w:color w:val="000000" w:themeColor="text1"/>
          <w:lang w:val="fr-FR"/>
        </w:rPr>
        <w:t>. (1988) pour la classification dans la catégorie 1 peuvent servir de point de départ pour déterminer si une substance ou un mélange a une réserve acide/alcaline significative ou non. Une autorité compétente peut décider des critères à appliquer pour déterminer si une réserve acide/alcaline est significative.</w:t>
      </w:r>
    </w:p>
    <w:p w14:paraId="278DC260" w14:textId="77777777" w:rsidR="00233091" w:rsidRPr="004C2A3C" w:rsidRDefault="00233091" w:rsidP="00233091">
      <w:pPr>
        <w:keepNext/>
        <w:tabs>
          <w:tab w:val="left" w:pos="1560"/>
          <w:tab w:val="left" w:pos="3402"/>
        </w:tabs>
        <w:spacing w:after="120"/>
        <w:ind w:left="2268" w:right="1134"/>
        <w:jc w:val="both"/>
        <w:rPr>
          <w:color w:val="000000" w:themeColor="text1"/>
          <w:lang w:val="fr-FR"/>
        </w:rPr>
      </w:pPr>
      <w:r w:rsidRPr="004C2A3C">
        <w:rPr>
          <w:color w:val="000000" w:themeColor="text1"/>
          <w:lang w:val="fr-FR"/>
        </w:rPr>
        <w:t>________________</w:t>
      </w:r>
    </w:p>
    <w:p w14:paraId="0466A569" w14:textId="77777777" w:rsidR="00233091" w:rsidRPr="004C2A3C" w:rsidRDefault="00233091" w:rsidP="00233091">
      <w:pPr>
        <w:tabs>
          <w:tab w:val="left" w:pos="2835"/>
        </w:tabs>
        <w:spacing w:after="120"/>
        <w:ind w:left="2268" w:right="1134"/>
        <w:jc w:val="both"/>
        <w:rPr>
          <w:i/>
          <w:iCs/>
          <w:lang w:val="fr-FR"/>
        </w:rPr>
      </w:pPr>
      <w:r w:rsidRPr="004C2A3C">
        <w:rPr>
          <w:lang w:val="fr-FR"/>
        </w:rPr>
        <w:t>*</w:t>
      </w:r>
      <w:r w:rsidRPr="004C2A3C">
        <w:rPr>
          <w:lang w:val="fr-FR"/>
        </w:rPr>
        <w:tab/>
      </w:r>
      <w:r w:rsidRPr="004C2A3C">
        <w:rPr>
          <w:i/>
          <w:iCs/>
          <w:lang w:val="fr-FR"/>
        </w:rPr>
        <w:t>Références :</w:t>
      </w:r>
    </w:p>
    <w:p w14:paraId="70E45A06" w14:textId="77777777" w:rsidR="00233091" w:rsidRPr="004C2A3C" w:rsidRDefault="00233091" w:rsidP="00233091">
      <w:pPr>
        <w:tabs>
          <w:tab w:val="left" w:pos="1560"/>
          <w:tab w:val="left" w:pos="2835"/>
        </w:tabs>
        <w:spacing w:after="240"/>
        <w:ind w:left="2268" w:right="1134"/>
        <w:jc w:val="both"/>
        <w:rPr>
          <w:i/>
          <w:color w:val="000000" w:themeColor="text1"/>
          <w:lang w:val="en-US"/>
        </w:rPr>
      </w:pPr>
      <w:proofErr w:type="spellStart"/>
      <w:r w:rsidRPr="004C2A3C">
        <w:rPr>
          <w:i/>
          <w:color w:val="000000" w:themeColor="text1"/>
          <w:lang w:val="fr-FR"/>
        </w:rPr>
        <w:t>Alépée</w:t>
      </w:r>
      <w:proofErr w:type="spellEnd"/>
      <w:r w:rsidRPr="004C2A3C">
        <w:rPr>
          <w:i/>
          <w:color w:val="000000" w:themeColor="text1"/>
          <w:lang w:val="fr-FR"/>
        </w:rPr>
        <w:t xml:space="preserve">, N., E. </w:t>
      </w:r>
      <w:proofErr w:type="spellStart"/>
      <w:r w:rsidRPr="004C2A3C">
        <w:rPr>
          <w:i/>
          <w:color w:val="000000" w:themeColor="text1"/>
          <w:lang w:val="fr-FR"/>
        </w:rPr>
        <w:t>Adriaens</w:t>
      </w:r>
      <w:proofErr w:type="spellEnd"/>
      <w:r w:rsidRPr="004C2A3C">
        <w:rPr>
          <w:i/>
          <w:color w:val="000000" w:themeColor="text1"/>
          <w:lang w:val="fr-FR"/>
        </w:rPr>
        <w:t xml:space="preserve">, T. Abo, D. </w:t>
      </w:r>
      <w:proofErr w:type="spellStart"/>
      <w:r w:rsidRPr="004C2A3C">
        <w:rPr>
          <w:i/>
          <w:color w:val="000000" w:themeColor="text1"/>
          <w:lang w:val="fr-FR"/>
        </w:rPr>
        <w:t>Bagley</w:t>
      </w:r>
      <w:proofErr w:type="spellEnd"/>
      <w:r w:rsidRPr="004C2A3C">
        <w:rPr>
          <w:i/>
          <w:color w:val="000000" w:themeColor="text1"/>
          <w:lang w:val="fr-FR"/>
        </w:rPr>
        <w:t xml:space="preserve">, B. Desprez, J. </w:t>
      </w:r>
      <w:proofErr w:type="spellStart"/>
      <w:r w:rsidRPr="004C2A3C">
        <w:rPr>
          <w:i/>
          <w:color w:val="000000" w:themeColor="text1"/>
          <w:lang w:val="fr-FR"/>
        </w:rPr>
        <w:t>Hibatallah</w:t>
      </w:r>
      <w:proofErr w:type="spellEnd"/>
      <w:r w:rsidRPr="004C2A3C">
        <w:rPr>
          <w:i/>
          <w:color w:val="000000" w:themeColor="text1"/>
          <w:lang w:val="fr-FR"/>
        </w:rPr>
        <w:t xml:space="preserve">, K. </w:t>
      </w:r>
      <w:proofErr w:type="spellStart"/>
      <w:r w:rsidRPr="004C2A3C">
        <w:rPr>
          <w:i/>
          <w:color w:val="000000" w:themeColor="text1"/>
          <w:lang w:val="fr-FR"/>
        </w:rPr>
        <w:t>Mewes</w:t>
      </w:r>
      <w:proofErr w:type="spellEnd"/>
      <w:r w:rsidRPr="004C2A3C">
        <w:rPr>
          <w:i/>
          <w:color w:val="000000" w:themeColor="text1"/>
          <w:lang w:val="fr-FR"/>
        </w:rPr>
        <w:t>, U. </w:t>
      </w:r>
      <w:proofErr w:type="spellStart"/>
      <w:r w:rsidRPr="004C2A3C">
        <w:rPr>
          <w:i/>
          <w:color w:val="000000" w:themeColor="text1"/>
          <w:lang w:val="fr-FR"/>
        </w:rPr>
        <w:t>Pfannenbecker</w:t>
      </w:r>
      <w:proofErr w:type="spellEnd"/>
      <w:r w:rsidRPr="004C2A3C">
        <w:rPr>
          <w:i/>
          <w:color w:val="000000" w:themeColor="text1"/>
          <w:lang w:val="fr-FR"/>
        </w:rPr>
        <w:t xml:space="preserve">, À. Sala, A.R. Van </w:t>
      </w:r>
      <w:proofErr w:type="spellStart"/>
      <w:r w:rsidRPr="004C2A3C">
        <w:rPr>
          <w:i/>
          <w:color w:val="000000" w:themeColor="text1"/>
          <w:lang w:val="fr-FR"/>
        </w:rPr>
        <w:t>Rompay</w:t>
      </w:r>
      <w:proofErr w:type="spellEnd"/>
      <w:r w:rsidRPr="004C2A3C">
        <w:rPr>
          <w:i/>
          <w:color w:val="000000" w:themeColor="text1"/>
          <w:lang w:val="fr-FR"/>
        </w:rPr>
        <w:t xml:space="preserve">, S. </w:t>
      </w:r>
      <w:proofErr w:type="spellStart"/>
      <w:r w:rsidRPr="004C2A3C">
        <w:rPr>
          <w:i/>
          <w:color w:val="000000" w:themeColor="text1"/>
          <w:lang w:val="fr-FR"/>
        </w:rPr>
        <w:t>Verstraelen</w:t>
      </w:r>
      <w:proofErr w:type="spellEnd"/>
      <w:r w:rsidRPr="004C2A3C">
        <w:rPr>
          <w:i/>
          <w:color w:val="000000" w:themeColor="text1"/>
          <w:lang w:val="fr-FR"/>
        </w:rPr>
        <w:t xml:space="preserve"> et P. </w:t>
      </w:r>
      <w:proofErr w:type="spellStart"/>
      <w:r w:rsidRPr="004C2A3C">
        <w:rPr>
          <w:i/>
          <w:color w:val="000000" w:themeColor="text1"/>
          <w:lang w:val="fr-FR"/>
        </w:rPr>
        <w:t>McNamee</w:t>
      </w:r>
      <w:proofErr w:type="spellEnd"/>
      <w:r w:rsidRPr="004C2A3C">
        <w:rPr>
          <w:i/>
          <w:color w:val="000000" w:themeColor="text1"/>
          <w:lang w:val="fr-FR"/>
        </w:rPr>
        <w:t xml:space="preserve">. </w:t>
      </w:r>
      <w:r w:rsidRPr="004C2A3C">
        <w:rPr>
          <w:i/>
          <w:color w:val="000000" w:themeColor="text1"/>
          <w:lang w:val="en-US"/>
        </w:rPr>
        <w:t xml:space="preserve">2019a. Development of a defined approach for eye irritation or serious eye damage for liquids, neat and in dilution, based on Cosmetics Europe analysis of in vitro STE and BCOP test methods. </w:t>
      </w:r>
      <w:proofErr w:type="spellStart"/>
      <w:r w:rsidRPr="004C2A3C">
        <w:rPr>
          <w:i/>
          <w:color w:val="000000" w:themeColor="text1"/>
          <w:lang w:val="en-US"/>
        </w:rPr>
        <w:t>Toxicol</w:t>
      </w:r>
      <w:proofErr w:type="spellEnd"/>
      <w:r w:rsidRPr="004C2A3C">
        <w:rPr>
          <w:i/>
          <w:color w:val="000000" w:themeColor="text1"/>
          <w:lang w:val="en-US"/>
        </w:rPr>
        <w:t xml:space="preserve">. In vitro, 57: 154-163. </w:t>
      </w:r>
      <w:proofErr w:type="spellStart"/>
      <w:r w:rsidRPr="004C2A3C">
        <w:rPr>
          <w:i/>
          <w:color w:val="000000" w:themeColor="text1"/>
          <w:lang w:val="en-US"/>
        </w:rPr>
        <w:t>doi</w:t>
      </w:r>
      <w:proofErr w:type="spellEnd"/>
      <w:r w:rsidRPr="004C2A3C">
        <w:rPr>
          <w:i/>
          <w:color w:val="000000" w:themeColor="text1"/>
          <w:lang w:val="en-US"/>
        </w:rPr>
        <w:t>: 10.1016</w:t>
      </w:r>
      <w:r w:rsidRPr="004C2A3C">
        <w:rPr>
          <w:color w:val="000000" w:themeColor="text1"/>
          <w:lang w:val="en-US"/>
        </w:rPr>
        <w:t>/</w:t>
      </w:r>
      <w:r w:rsidRPr="004C2A3C">
        <w:rPr>
          <w:i/>
          <w:color w:val="000000" w:themeColor="text1"/>
          <w:lang w:val="en-US"/>
        </w:rPr>
        <w:t>j.tiv.2019.02.019.</w:t>
      </w:r>
    </w:p>
    <w:p w14:paraId="035E90D1" w14:textId="77777777" w:rsidR="00233091" w:rsidRPr="004C2A3C" w:rsidRDefault="00233091" w:rsidP="00233091">
      <w:pPr>
        <w:tabs>
          <w:tab w:val="left" w:pos="1560"/>
          <w:tab w:val="left" w:pos="2835"/>
        </w:tabs>
        <w:spacing w:after="240"/>
        <w:ind w:left="2268" w:right="1134"/>
        <w:jc w:val="both"/>
        <w:rPr>
          <w:i/>
          <w:color w:val="000000" w:themeColor="text1"/>
          <w:lang w:val="fr-FR"/>
        </w:rPr>
      </w:pPr>
      <w:proofErr w:type="spellStart"/>
      <w:r w:rsidRPr="004C2A3C">
        <w:rPr>
          <w:i/>
          <w:color w:val="000000" w:themeColor="text1"/>
          <w:lang w:val="en-US"/>
        </w:rPr>
        <w:t>Alépée</w:t>
      </w:r>
      <w:proofErr w:type="spellEnd"/>
      <w:r w:rsidRPr="004C2A3C">
        <w:rPr>
          <w:i/>
          <w:color w:val="000000" w:themeColor="text1"/>
          <w:lang w:val="en-US"/>
        </w:rPr>
        <w:t xml:space="preserve">, N., E. </w:t>
      </w:r>
      <w:proofErr w:type="spellStart"/>
      <w:r w:rsidRPr="004C2A3C">
        <w:rPr>
          <w:i/>
          <w:color w:val="000000" w:themeColor="text1"/>
          <w:lang w:val="en-US"/>
        </w:rPr>
        <w:t>Adriaens</w:t>
      </w:r>
      <w:proofErr w:type="spellEnd"/>
      <w:r w:rsidRPr="004C2A3C">
        <w:rPr>
          <w:i/>
          <w:color w:val="000000" w:themeColor="text1"/>
          <w:lang w:val="en-US"/>
        </w:rPr>
        <w:t xml:space="preserve">, T. Abo, D. Bagley, B. </w:t>
      </w:r>
      <w:proofErr w:type="spellStart"/>
      <w:r w:rsidRPr="004C2A3C">
        <w:rPr>
          <w:i/>
          <w:color w:val="000000" w:themeColor="text1"/>
          <w:lang w:val="en-US"/>
        </w:rPr>
        <w:t>Desprez</w:t>
      </w:r>
      <w:proofErr w:type="spellEnd"/>
      <w:r w:rsidRPr="004C2A3C">
        <w:rPr>
          <w:i/>
          <w:color w:val="000000" w:themeColor="text1"/>
          <w:lang w:val="en-US"/>
        </w:rPr>
        <w:t xml:space="preserve">, J. </w:t>
      </w:r>
      <w:proofErr w:type="spellStart"/>
      <w:r w:rsidRPr="004C2A3C">
        <w:rPr>
          <w:i/>
          <w:color w:val="000000" w:themeColor="text1"/>
          <w:lang w:val="en-US"/>
        </w:rPr>
        <w:t>Hibatallah</w:t>
      </w:r>
      <w:proofErr w:type="spellEnd"/>
      <w:r w:rsidRPr="004C2A3C">
        <w:rPr>
          <w:i/>
          <w:color w:val="000000" w:themeColor="text1"/>
          <w:lang w:val="en-US"/>
        </w:rPr>
        <w:t xml:space="preserve">, K. </w:t>
      </w:r>
      <w:proofErr w:type="spellStart"/>
      <w:r w:rsidRPr="004C2A3C">
        <w:rPr>
          <w:i/>
          <w:color w:val="000000" w:themeColor="text1"/>
          <w:lang w:val="en-US"/>
        </w:rPr>
        <w:t>Mewes</w:t>
      </w:r>
      <w:proofErr w:type="spellEnd"/>
      <w:r w:rsidRPr="004C2A3C">
        <w:rPr>
          <w:i/>
          <w:color w:val="000000" w:themeColor="text1"/>
          <w:lang w:val="en-US"/>
        </w:rPr>
        <w:t>, U. </w:t>
      </w:r>
      <w:proofErr w:type="spellStart"/>
      <w:r w:rsidRPr="004C2A3C">
        <w:rPr>
          <w:i/>
          <w:color w:val="000000" w:themeColor="text1"/>
          <w:lang w:val="en-US"/>
        </w:rPr>
        <w:t>Pfannenbecker</w:t>
      </w:r>
      <w:proofErr w:type="spellEnd"/>
      <w:r w:rsidRPr="004C2A3C">
        <w:rPr>
          <w:i/>
          <w:color w:val="000000" w:themeColor="text1"/>
          <w:lang w:val="en-US"/>
        </w:rPr>
        <w:t xml:space="preserve">, À. Sala, A.R. Van </w:t>
      </w:r>
      <w:proofErr w:type="spellStart"/>
      <w:r w:rsidRPr="004C2A3C">
        <w:rPr>
          <w:i/>
          <w:color w:val="000000" w:themeColor="text1"/>
          <w:lang w:val="en-US"/>
        </w:rPr>
        <w:t>Rompay</w:t>
      </w:r>
      <w:proofErr w:type="spellEnd"/>
      <w:r w:rsidRPr="004C2A3C">
        <w:rPr>
          <w:i/>
          <w:color w:val="000000" w:themeColor="text1"/>
          <w:lang w:val="en-US"/>
        </w:rPr>
        <w:t xml:space="preserve">, S. </w:t>
      </w:r>
      <w:proofErr w:type="spellStart"/>
      <w:r w:rsidRPr="004C2A3C">
        <w:rPr>
          <w:i/>
          <w:color w:val="000000" w:themeColor="text1"/>
          <w:lang w:val="en-US"/>
        </w:rPr>
        <w:t>Verstraelen</w:t>
      </w:r>
      <w:proofErr w:type="spellEnd"/>
      <w:r w:rsidRPr="004C2A3C">
        <w:rPr>
          <w:i/>
          <w:color w:val="000000" w:themeColor="text1"/>
          <w:lang w:val="en-US"/>
        </w:rPr>
        <w:t xml:space="preserve"> et P. McNamee. 2019b. Development of a defined approach for eye irritation or serious eye damage for neat liquids based on Cosmetics Europe analysis of in vitro </w:t>
      </w:r>
      <w:proofErr w:type="spellStart"/>
      <w:r w:rsidRPr="004C2A3C">
        <w:rPr>
          <w:i/>
          <w:color w:val="000000" w:themeColor="text1"/>
          <w:lang w:val="en-US"/>
        </w:rPr>
        <w:t>RhCE</w:t>
      </w:r>
      <w:proofErr w:type="spellEnd"/>
      <w:r w:rsidRPr="004C2A3C">
        <w:rPr>
          <w:i/>
          <w:color w:val="000000" w:themeColor="text1"/>
          <w:lang w:val="en-US"/>
        </w:rPr>
        <w:t xml:space="preserve"> and BCOP test methods. </w:t>
      </w:r>
      <w:proofErr w:type="spellStart"/>
      <w:r w:rsidRPr="004C2A3C">
        <w:rPr>
          <w:i/>
          <w:color w:val="000000" w:themeColor="text1"/>
          <w:lang w:val="fr-FR"/>
        </w:rPr>
        <w:t>Toxicol</w:t>
      </w:r>
      <w:proofErr w:type="spellEnd"/>
      <w:r w:rsidRPr="004C2A3C">
        <w:rPr>
          <w:i/>
          <w:color w:val="000000" w:themeColor="text1"/>
          <w:lang w:val="fr-FR"/>
        </w:rPr>
        <w:t xml:space="preserve">. In vitro, </w:t>
      </w:r>
      <w:proofErr w:type="gramStart"/>
      <w:r w:rsidRPr="004C2A3C">
        <w:rPr>
          <w:i/>
          <w:color w:val="000000" w:themeColor="text1"/>
          <w:lang w:val="fr-FR"/>
        </w:rPr>
        <w:t>59:</w:t>
      </w:r>
      <w:proofErr w:type="gramEnd"/>
      <w:r w:rsidRPr="004C2A3C">
        <w:rPr>
          <w:i/>
          <w:color w:val="000000" w:themeColor="text1"/>
          <w:lang w:val="fr-FR"/>
        </w:rPr>
        <w:t xml:space="preserve"> 100-114. </w:t>
      </w:r>
      <w:proofErr w:type="spellStart"/>
      <w:proofErr w:type="gramStart"/>
      <w:r w:rsidRPr="004C2A3C">
        <w:rPr>
          <w:i/>
          <w:color w:val="000000" w:themeColor="text1"/>
          <w:lang w:val="fr-FR"/>
        </w:rPr>
        <w:t>doi</w:t>
      </w:r>
      <w:proofErr w:type="spellEnd"/>
      <w:r w:rsidRPr="004C2A3C">
        <w:rPr>
          <w:i/>
          <w:color w:val="000000" w:themeColor="text1"/>
          <w:lang w:val="fr-FR"/>
        </w:rPr>
        <w:t>:</w:t>
      </w:r>
      <w:proofErr w:type="gramEnd"/>
      <w:r w:rsidRPr="004C2A3C">
        <w:rPr>
          <w:i/>
          <w:color w:val="000000" w:themeColor="text1"/>
          <w:lang w:val="fr-FR"/>
        </w:rPr>
        <w:t xml:space="preserve"> 10.1016</w:t>
      </w:r>
      <w:r w:rsidRPr="004C2A3C">
        <w:rPr>
          <w:color w:val="000000" w:themeColor="text1"/>
          <w:lang w:val="fr-FR"/>
        </w:rPr>
        <w:t>/</w:t>
      </w:r>
      <w:r w:rsidRPr="004C2A3C">
        <w:rPr>
          <w:i/>
          <w:color w:val="000000" w:themeColor="text1"/>
          <w:lang w:val="fr-FR"/>
        </w:rPr>
        <w:t>j.tiv.2019.04.011.</w:t>
      </w:r>
    </w:p>
    <w:p w14:paraId="5DE6667C" w14:textId="77777777" w:rsidR="00233091" w:rsidRPr="004C2A3C" w:rsidRDefault="00233091" w:rsidP="00233091">
      <w:pPr>
        <w:tabs>
          <w:tab w:val="left" w:pos="1560"/>
          <w:tab w:val="left" w:pos="2835"/>
        </w:tabs>
        <w:spacing w:after="240"/>
        <w:ind w:left="2268" w:right="1134"/>
        <w:jc w:val="both"/>
        <w:rPr>
          <w:i/>
          <w:color w:val="000000" w:themeColor="text1"/>
          <w:lang w:val="en-US"/>
        </w:rPr>
      </w:pPr>
      <w:proofErr w:type="spellStart"/>
      <w:r w:rsidRPr="004C2A3C">
        <w:rPr>
          <w:i/>
          <w:color w:val="000000" w:themeColor="text1"/>
          <w:lang w:val="fr-FR"/>
        </w:rPr>
        <w:t>Alépée</w:t>
      </w:r>
      <w:proofErr w:type="spellEnd"/>
      <w:r w:rsidRPr="004C2A3C">
        <w:rPr>
          <w:i/>
          <w:color w:val="000000" w:themeColor="text1"/>
          <w:lang w:val="fr-FR"/>
        </w:rPr>
        <w:t xml:space="preserve">, N., V. Leblanc, M.H. Grandidier, S. </w:t>
      </w:r>
      <w:proofErr w:type="spellStart"/>
      <w:r w:rsidRPr="004C2A3C">
        <w:rPr>
          <w:i/>
          <w:color w:val="000000" w:themeColor="text1"/>
          <w:lang w:val="fr-FR"/>
        </w:rPr>
        <w:t>Teluob</w:t>
      </w:r>
      <w:proofErr w:type="spellEnd"/>
      <w:r w:rsidRPr="004C2A3C">
        <w:rPr>
          <w:i/>
          <w:color w:val="000000" w:themeColor="text1"/>
          <w:lang w:val="fr-FR"/>
        </w:rPr>
        <w:t xml:space="preserve">, V. </w:t>
      </w:r>
      <w:proofErr w:type="spellStart"/>
      <w:r w:rsidRPr="004C2A3C">
        <w:rPr>
          <w:i/>
          <w:color w:val="000000" w:themeColor="text1"/>
          <w:lang w:val="fr-FR"/>
        </w:rPr>
        <w:t>Tagliati</w:t>
      </w:r>
      <w:proofErr w:type="spellEnd"/>
      <w:r w:rsidRPr="004C2A3C">
        <w:rPr>
          <w:i/>
          <w:color w:val="000000" w:themeColor="text1"/>
          <w:lang w:val="fr-FR"/>
        </w:rPr>
        <w:t xml:space="preserve">, E. </w:t>
      </w:r>
      <w:proofErr w:type="spellStart"/>
      <w:r w:rsidRPr="004C2A3C">
        <w:rPr>
          <w:i/>
          <w:color w:val="000000" w:themeColor="text1"/>
          <w:lang w:val="fr-FR"/>
        </w:rPr>
        <w:t>Adriaens</w:t>
      </w:r>
      <w:proofErr w:type="spellEnd"/>
      <w:r w:rsidRPr="004C2A3C">
        <w:rPr>
          <w:i/>
          <w:color w:val="000000" w:themeColor="text1"/>
          <w:lang w:val="fr-FR"/>
        </w:rPr>
        <w:t xml:space="preserve"> et V. </w:t>
      </w:r>
      <w:proofErr w:type="spellStart"/>
      <w:r w:rsidRPr="004C2A3C">
        <w:rPr>
          <w:i/>
          <w:color w:val="000000" w:themeColor="text1"/>
          <w:lang w:val="fr-FR"/>
        </w:rPr>
        <w:t>Michaut</w:t>
      </w:r>
      <w:proofErr w:type="spellEnd"/>
      <w:r w:rsidRPr="004C2A3C">
        <w:rPr>
          <w:i/>
          <w:color w:val="000000" w:themeColor="text1"/>
          <w:lang w:val="fr-FR"/>
        </w:rPr>
        <w:t xml:space="preserve">. </w:t>
      </w:r>
      <w:r w:rsidRPr="004C2A3C">
        <w:rPr>
          <w:i/>
          <w:color w:val="000000" w:themeColor="text1"/>
          <w:lang w:val="en-US"/>
        </w:rPr>
        <w:t xml:space="preserve">2020. Development of the </w:t>
      </w:r>
      <w:proofErr w:type="spellStart"/>
      <w:r w:rsidRPr="004C2A3C">
        <w:rPr>
          <w:i/>
          <w:color w:val="000000" w:themeColor="text1"/>
          <w:lang w:val="en-US"/>
        </w:rPr>
        <w:t>SkinEthic</w:t>
      </w:r>
      <w:proofErr w:type="spellEnd"/>
      <w:r w:rsidRPr="004C2A3C">
        <w:rPr>
          <w:i/>
          <w:color w:val="000000" w:themeColor="text1"/>
          <w:lang w:val="en-US"/>
        </w:rPr>
        <w:t xml:space="preserve"> HCE Time-to-Toxicity test method for identifying liquid chemicals not requiring classification and labelling and liquids inducing serious eye damage and eye irritation. </w:t>
      </w:r>
      <w:proofErr w:type="spellStart"/>
      <w:r w:rsidRPr="004C2A3C">
        <w:rPr>
          <w:i/>
          <w:color w:val="000000" w:themeColor="text1"/>
          <w:lang w:val="en-US"/>
        </w:rPr>
        <w:t>Toxicol</w:t>
      </w:r>
      <w:proofErr w:type="spellEnd"/>
      <w:r w:rsidRPr="004C2A3C">
        <w:rPr>
          <w:i/>
          <w:color w:val="000000" w:themeColor="text1"/>
          <w:lang w:val="en-US"/>
        </w:rPr>
        <w:t xml:space="preserve">. In vitro, 69: 104960. </w:t>
      </w:r>
      <w:proofErr w:type="spellStart"/>
      <w:r w:rsidRPr="004C2A3C">
        <w:rPr>
          <w:i/>
          <w:color w:val="000000" w:themeColor="text1"/>
          <w:lang w:val="en-US"/>
        </w:rPr>
        <w:t>doi</w:t>
      </w:r>
      <w:proofErr w:type="spellEnd"/>
      <w:r w:rsidRPr="004C2A3C">
        <w:rPr>
          <w:i/>
          <w:color w:val="000000" w:themeColor="text1"/>
          <w:lang w:val="en-US"/>
        </w:rPr>
        <w:t>: 10.1016</w:t>
      </w:r>
      <w:r w:rsidRPr="004C2A3C">
        <w:rPr>
          <w:color w:val="000000" w:themeColor="text1"/>
          <w:lang w:val="en-US"/>
        </w:rPr>
        <w:t>/</w:t>
      </w:r>
      <w:r w:rsidRPr="004C2A3C">
        <w:rPr>
          <w:i/>
          <w:color w:val="000000" w:themeColor="text1"/>
          <w:lang w:val="en-US"/>
        </w:rPr>
        <w:t>j.tiv.2020.104960.</w:t>
      </w:r>
    </w:p>
    <w:p w14:paraId="6AF6849A" w14:textId="77777777" w:rsidR="00233091" w:rsidRPr="004C2A3C" w:rsidRDefault="00233091" w:rsidP="00233091">
      <w:pPr>
        <w:tabs>
          <w:tab w:val="left" w:pos="1560"/>
          <w:tab w:val="left" w:pos="2835"/>
        </w:tabs>
        <w:spacing w:after="240"/>
        <w:ind w:left="2268" w:right="1134"/>
        <w:jc w:val="both"/>
        <w:rPr>
          <w:i/>
          <w:color w:val="000000" w:themeColor="text1"/>
          <w:lang w:val="en-US"/>
        </w:rPr>
      </w:pPr>
      <w:r w:rsidRPr="004C2A3C">
        <w:rPr>
          <w:i/>
          <w:color w:val="000000" w:themeColor="text1"/>
          <w:lang w:val="en-US"/>
        </w:rPr>
        <w:t xml:space="preserve">Bagley, D.M., D. Waters et B.M. Kong. 1994. Development of a 10-day </w:t>
      </w:r>
      <w:proofErr w:type="spellStart"/>
      <w:r w:rsidRPr="004C2A3C">
        <w:rPr>
          <w:i/>
          <w:color w:val="000000" w:themeColor="text1"/>
          <w:lang w:val="en-US"/>
        </w:rPr>
        <w:t>chorioallantoic</w:t>
      </w:r>
      <w:proofErr w:type="spellEnd"/>
      <w:r w:rsidRPr="004C2A3C">
        <w:rPr>
          <w:i/>
          <w:color w:val="000000" w:themeColor="text1"/>
          <w:lang w:val="en-US"/>
        </w:rPr>
        <w:t xml:space="preserve"> membrane vascular assay as an alternative to the Draize rabbit eye irritation test. Food Chem. </w:t>
      </w:r>
      <w:proofErr w:type="spellStart"/>
      <w:r w:rsidRPr="004C2A3C">
        <w:rPr>
          <w:i/>
          <w:color w:val="000000" w:themeColor="text1"/>
          <w:lang w:val="en-US"/>
        </w:rPr>
        <w:t>Toxicol</w:t>
      </w:r>
      <w:proofErr w:type="spellEnd"/>
      <w:r w:rsidRPr="004C2A3C">
        <w:rPr>
          <w:i/>
          <w:color w:val="000000" w:themeColor="text1"/>
          <w:lang w:val="en-US"/>
        </w:rPr>
        <w:t xml:space="preserve">., 32(12): 1155-1160. </w:t>
      </w:r>
      <w:proofErr w:type="spellStart"/>
      <w:r w:rsidRPr="004C2A3C">
        <w:rPr>
          <w:i/>
          <w:color w:val="000000" w:themeColor="text1"/>
          <w:lang w:val="en-US"/>
        </w:rPr>
        <w:t>doi</w:t>
      </w:r>
      <w:proofErr w:type="spellEnd"/>
      <w:r w:rsidRPr="004C2A3C">
        <w:rPr>
          <w:i/>
          <w:color w:val="000000" w:themeColor="text1"/>
          <w:lang w:val="en-US"/>
        </w:rPr>
        <w:t>: 10.1016</w:t>
      </w:r>
      <w:r w:rsidRPr="004C2A3C">
        <w:rPr>
          <w:color w:val="000000" w:themeColor="text1"/>
          <w:lang w:val="en-US"/>
        </w:rPr>
        <w:t>/</w:t>
      </w:r>
      <w:r w:rsidRPr="004C2A3C">
        <w:rPr>
          <w:i/>
          <w:color w:val="000000" w:themeColor="text1"/>
          <w:lang w:val="en-US"/>
        </w:rPr>
        <w:t>0278-6915(94)90131-7.</w:t>
      </w:r>
    </w:p>
    <w:p w14:paraId="0E49F4D2" w14:textId="77777777" w:rsidR="00233091" w:rsidRPr="004C2A3C" w:rsidRDefault="00233091" w:rsidP="00233091">
      <w:pPr>
        <w:tabs>
          <w:tab w:val="left" w:pos="1560"/>
          <w:tab w:val="left" w:pos="2835"/>
        </w:tabs>
        <w:spacing w:after="240"/>
        <w:ind w:left="2268" w:right="1134"/>
        <w:jc w:val="both"/>
        <w:rPr>
          <w:i/>
          <w:color w:val="000000" w:themeColor="text1"/>
          <w:lang w:val="en-US"/>
        </w:rPr>
      </w:pPr>
      <w:r w:rsidRPr="004C2A3C">
        <w:rPr>
          <w:i/>
          <w:color w:val="000000" w:themeColor="text1"/>
          <w:lang w:val="en-US"/>
        </w:rPr>
        <w:t xml:space="preserve">Bagley, D.M., D. </w:t>
      </w:r>
      <w:proofErr w:type="spellStart"/>
      <w:r w:rsidRPr="004C2A3C">
        <w:rPr>
          <w:i/>
          <w:color w:val="000000" w:themeColor="text1"/>
          <w:lang w:val="en-US"/>
        </w:rPr>
        <w:t>Cerven</w:t>
      </w:r>
      <w:proofErr w:type="spellEnd"/>
      <w:r w:rsidRPr="004C2A3C">
        <w:rPr>
          <w:i/>
          <w:color w:val="000000" w:themeColor="text1"/>
          <w:lang w:val="en-US"/>
        </w:rPr>
        <w:t xml:space="preserve"> et J. </w:t>
      </w:r>
      <w:proofErr w:type="spellStart"/>
      <w:r w:rsidRPr="004C2A3C">
        <w:rPr>
          <w:i/>
          <w:color w:val="000000" w:themeColor="text1"/>
          <w:lang w:val="en-US"/>
        </w:rPr>
        <w:t>Harbell</w:t>
      </w:r>
      <w:proofErr w:type="spellEnd"/>
      <w:r w:rsidRPr="004C2A3C">
        <w:rPr>
          <w:i/>
          <w:color w:val="000000" w:themeColor="text1"/>
          <w:lang w:val="en-US"/>
        </w:rPr>
        <w:t xml:space="preserve">. 1999. Assessment of the </w:t>
      </w:r>
      <w:proofErr w:type="spellStart"/>
      <w:r w:rsidRPr="004C2A3C">
        <w:rPr>
          <w:i/>
          <w:color w:val="000000" w:themeColor="text1"/>
          <w:lang w:val="en-US"/>
        </w:rPr>
        <w:t>chorioallantoic</w:t>
      </w:r>
      <w:proofErr w:type="spellEnd"/>
      <w:r w:rsidRPr="004C2A3C">
        <w:rPr>
          <w:i/>
          <w:color w:val="000000" w:themeColor="text1"/>
          <w:lang w:val="en-US"/>
        </w:rPr>
        <w:t xml:space="preserve"> membrane vascular assay (CAMVA) in the COLIPA in vitro eye irritation validation study. </w:t>
      </w:r>
      <w:proofErr w:type="spellStart"/>
      <w:r w:rsidRPr="004C2A3C">
        <w:rPr>
          <w:i/>
          <w:color w:val="000000" w:themeColor="text1"/>
          <w:lang w:val="en-US"/>
        </w:rPr>
        <w:t>Toxicol</w:t>
      </w:r>
      <w:proofErr w:type="spellEnd"/>
      <w:r w:rsidRPr="004C2A3C">
        <w:rPr>
          <w:i/>
          <w:color w:val="000000" w:themeColor="text1"/>
          <w:lang w:val="en-US"/>
        </w:rPr>
        <w:t xml:space="preserve">. In vitro, 13(2): 285-293. </w:t>
      </w:r>
      <w:proofErr w:type="spellStart"/>
      <w:r w:rsidRPr="004C2A3C">
        <w:rPr>
          <w:i/>
          <w:color w:val="000000" w:themeColor="text1"/>
          <w:lang w:val="en-US"/>
        </w:rPr>
        <w:t>doi</w:t>
      </w:r>
      <w:proofErr w:type="spellEnd"/>
      <w:r w:rsidRPr="004C2A3C">
        <w:rPr>
          <w:i/>
          <w:color w:val="000000" w:themeColor="text1"/>
          <w:lang w:val="en-US"/>
        </w:rPr>
        <w:t>: 10.1016</w:t>
      </w:r>
      <w:r w:rsidRPr="004C2A3C">
        <w:rPr>
          <w:color w:val="000000" w:themeColor="text1"/>
          <w:lang w:val="en-US"/>
        </w:rPr>
        <w:t>/</w:t>
      </w:r>
      <w:r w:rsidRPr="004C2A3C">
        <w:rPr>
          <w:i/>
          <w:color w:val="000000" w:themeColor="text1"/>
          <w:lang w:val="en-US"/>
        </w:rPr>
        <w:t>s0887-2333(98)00089-7.</w:t>
      </w:r>
    </w:p>
    <w:p w14:paraId="4641CCEB" w14:textId="77777777" w:rsidR="00233091" w:rsidRPr="004C2A3C" w:rsidRDefault="00233091" w:rsidP="00233091">
      <w:pPr>
        <w:tabs>
          <w:tab w:val="left" w:pos="1560"/>
          <w:tab w:val="left" w:pos="2835"/>
        </w:tabs>
        <w:spacing w:after="240"/>
        <w:ind w:left="2268" w:right="1134"/>
        <w:jc w:val="both"/>
        <w:rPr>
          <w:i/>
          <w:color w:val="000000" w:themeColor="text1"/>
          <w:lang w:val="en-US"/>
        </w:rPr>
      </w:pPr>
      <w:r w:rsidRPr="004C2A3C">
        <w:rPr>
          <w:i/>
          <w:color w:val="000000" w:themeColor="text1"/>
          <w:lang w:val="en-US"/>
        </w:rPr>
        <w:t xml:space="preserve">Balls, M., P.A. Botham, L.H. Bruner et H. </w:t>
      </w:r>
      <w:proofErr w:type="spellStart"/>
      <w:r w:rsidRPr="004C2A3C">
        <w:rPr>
          <w:i/>
          <w:color w:val="000000" w:themeColor="text1"/>
          <w:lang w:val="en-US"/>
        </w:rPr>
        <w:t>Spielmann</w:t>
      </w:r>
      <w:proofErr w:type="spellEnd"/>
      <w:r w:rsidRPr="004C2A3C">
        <w:rPr>
          <w:i/>
          <w:color w:val="000000" w:themeColor="text1"/>
          <w:lang w:val="en-US"/>
        </w:rPr>
        <w:t>. 1995. The EC</w:t>
      </w:r>
      <w:r w:rsidRPr="004C2A3C">
        <w:rPr>
          <w:color w:val="000000" w:themeColor="text1"/>
          <w:lang w:val="en-US"/>
        </w:rPr>
        <w:t>/</w:t>
      </w:r>
      <w:r w:rsidRPr="004C2A3C">
        <w:rPr>
          <w:i/>
          <w:color w:val="000000" w:themeColor="text1"/>
          <w:lang w:val="en-US"/>
        </w:rPr>
        <w:t xml:space="preserve">HO international validation study on alternatives to the </w:t>
      </w:r>
      <w:proofErr w:type="spellStart"/>
      <w:r w:rsidRPr="004C2A3C">
        <w:rPr>
          <w:i/>
          <w:color w:val="000000" w:themeColor="text1"/>
          <w:lang w:val="en-US"/>
        </w:rPr>
        <w:t>draize</w:t>
      </w:r>
      <w:proofErr w:type="spellEnd"/>
      <w:r w:rsidRPr="004C2A3C">
        <w:rPr>
          <w:i/>
          <w:color w:val="000000" w:themeColor="text1"/>
          <w:lang w:val="en-US"/>
        </w:rPr>
        <w:t xml:space="preserve"> eye irritation test. </w:t>
      </w:r>
      <w:proofErr w:type="spellStart"/>
      <w:r w:rsidRPr="004C2A3C">
        <w:rPr>
          <w:i/>
          <w:color w:val="000000" w:themeColor="text1"/>
          <w:lang w:val="en-US"/>
        </w:rPr>
        <w:t>Toxicol</w:t>
      </w:r>
      <w:proofErr w:type="spellEnd"/>
      <w:r w:rsidRPr="004C2A3C">
        <w:rPr>
          <w:i/>
          <w:color w:val="000000" w:themeColor="text1"/>
          <w:lang w:val="en-US"/>
        </w:rPr>
        <w:t xml:space="preserve">. In vitro, 9(6): 871-929. </w:t>
      </w:r>
      <w:proofErr w:type="spellStart"/>
      <w:r w:rsidRPr="004C2A3C">
        <w:rPr>
          <w:i/>
          <w:color w:val="000000" w:themeColor="text1"/>
          <w:lang w:val="en-US"/>
        </w:rPr>
        <w:t>doi</w:t>
      </w:r>
      <w:proofErr w:type="spellEnd"/>
      <w:r w:rsidRPr="004C2A3C">
        <w:rPr>
          <w:i/>
          <w:color w:val="000000" w:themeColor="text1"/>
          <w:lang w:val="en-US"/>
        </w:rPr>
        <w:t>: 10.1016</w:t>
      </w:r>
      <w:r w:rsidRPr="004C2A3C">
        <w:rPr>
          <w:color w:val="000000" w:themeColor="text1"/>
          <w:lang w:val="en-US"/>
        </w:rPr>
        <w:t>/</w:t>
      </w:r>
      <w:r w:rsidRPr="004C2A3C">
        <w:rPr>
          <w:i/>
          <w:color w:val="000000" w:themeColor="text1"/>
          <w:lang w:val="en-US"/>
        </w:rPr>
        <w:t>0887-2333(95)00092-5.</w:t>
      </w:r>
    </w:p>
    <w:p w14:paraId="655F28CA" w14:textId="77777777" w:rsidR="00233091" w:rsidRPr="004C2A3C" w:rsidRDefault="00233091" w:rsidP="00233091">
      <w:pPr>
        <w:tabs>
          <w:tab w:val="left" w:pos="1560"/>
          <w:tab w:val="left" w:pos="2835"/>
        </w:tabs>
        <w:spacing w:after="240"/>
        <w:ind w:left="2268" w:right="1134"/>
        <w:jc w:val="both"/>
        <w:rPr>
          <w:i/>
          <w:color w:val="000000" w:themeColor="text1"/>
          <w:lang w:val="en-US"/>
        </w:rPr>
      </w:pPr>
      <w:proofErr w:type="spellStart"/>
      <w:r w:rsidRPr="004C2A3C">
        <w:rPr>
          <w:i/>
          <w:color w:val="000000" w:themeColor="text1"/>
          <w:lang w:val="en-US"/>
        </w:rPr>
        <w:t>Brantom</w:t>
      </w:r>
      <w:proofErr w:type="spellEnd"/>
      <w:r w:rsidRPr="004C2A3C">
        <w:rPr>
          <w:i/>
          <w:color w:val="000000" w:themeColor="text1"/>
          <w:lang w:val="en-US"/>
        </w:rPr>
        <w:t xml:space="preserve">, P.G., L.H. Bruner, M. Chamberlain, O. De Silva, J. Dupuis, L.K. Earl, D.P. Lovell, W.J. Pape, M. </w:t>
      </w:r>
      <w:proofErr w:type="spellStart"/>
      <w:r w:rsidRPr="004C2A3C">
        <w:rPr>
          <w:i/>
          <w:color w:val="000000" w:themeColor="text1"/>
          <w:lang w:val="en-US"/>
        </w:rPr>
        <w:t>Uttley</w:t>
      </w:r>
      <w:proofErr w:type="spellEnd"/>
      <w:r w:rsidRPr="004C2A3C">
        <w:rPr>
          <w:i/>
          <w:color w:val="000000" w:themeColor="text1"/>
          <w:lang w:val="en-US"/>
        </w:rPr>
        <w:t xml:space="preserve">, D.M. Bagley, F.W. Baker, M. </w:t>
      </w:r>
      <w:proofErr w:type="spellStart"/>
      <w:r w:rsidRPr="004C2A3C">
        <w:rPr>
          <w:i/>
          <w:color w:val="000000" w:themeColor="text1"/>
          <w:lang w:val="en-US"/>
        </w:rPr>
        <w:t>Bracher</w:t>
      </w:r>
      <w:proofErr w:type="spellEnd"/>
      <w:r w:rsidRPr="004C2A3C">
        <w:rPr>
          <w:i/>
          <w:color w:val="000000" w:themeColor="text1"/>
          <w:lang w:val="en-US"/>
        </w:rPr>
        <w:t xml:space="preserve">, P. </w:t>
      </w:r>
      <w:proofErr w:type="spellStart"/>
      <w:r w:rsidRPr="004C2A3C">
        <w:rPr>
          <w:i/>
          <w:color w:val="000000" w:themeColor="text1"/>
          <w:lang w:val="en-US"/>
        </w:rPr>
        <w:t>Courtellemont</w:t>
      </w:r>
      <w:proofErr w:type="spellEnd"/>
      <w:r w:rsidRPr="004C2A3C">
        <w:rPr>
          <w:i/>
          <w:color w:val="000000" w:themeColor="text1"/>
          <w:lang w:val="en-US"/>
        </w:rPr>
        <w:t xml:space="preserve">, L. </w:t>
      </w:r>
      <w:proofErr w:type="spellStart"/>
      <w:r w:rsidRPr="004C2A3C">
        <w:rPr>
          <w:i/>
          <w:color w:val="000000" w:themeColor="text1"/>
          <w:lang w:val="en-US"/>
        </w:rPr>
        <w:t>Declercq</w:t>
      </w:r>
      <w:proofErr w:type="spellEnd"/>
      <w:r w:rsidRPr="004C2A3C">
        <w:rPr>
          <w:i/>
          <w:color w:val="000000" w:themeColor="text1"/>
          <w:lang w:val="en-US"/>
        </w:rPr>
        <w:t xml:space="preserve">, S. Freeman, W. </w:t>
      </w:r>
      <w:proofErr w:type="spellStart"/>
      <w:r w:rsidRPr="004C2A3C">
        <w:rPr>
          <w:i/>
          <w:color w:val="000000" w:themeColor="text1"/>
          <w:lang w:val="en-US"/>
        </w:rPr>
        <w:t>Steiling</w:t>
      </w:r>
      <w:proofErr w:type="spellEnd"/>
      <w:r w:rsidRPr="004C2A3C">
        <w:rPr>
          <w:i/>
          <w:color w:val="000000" w:themeColor="text1"/>
          <w:lang w:val="en-US"/>
        </w:rPr>
        <w:t xml:space="preserve">, A.P. Walker, G.J. </w:t>
      </w:r>
      <w:proofErr w:type="spellStart"/>
      <w:r w:rsidRPr="004C2A3C">
        <w:rPr>
          <w:i/>
          <w:color w:val="000000" w:themeColor="text1"/>
          <w:lang w:val="en-US"/>
        </w:rPr>
        <w:t>Carr</w:t>
      </w:r>
      <w:proofErr w:type="spellEnd"/>
      <w:r w:rsidRPr="004C2A3C">
        <w:rPr>
          <w:i/>
          <w:color w:val="000000" w:themeColor="text1"/>
          <w:lang w:val="en-US"/>
        </w:rPr>
        <w:t xml:space="preserve">, N. </w:t>
      </w:r>
      <w:proofErr w:type="spellStart"/>
      <w:r w:rsidRPr="004C2A3C">
        <w:rPr>
          <w:i/>
          <w:color w:val="000000" w:themeColor="text1"/>
          <w:lang w:val="en-US"/>
        </w:rPr>
        <w:t>Dami</w:t>
      </w:r>
      <w:proofErr w:type="spellEnd"/>
      <w:r w:rsidRPr="004C2A3C">
        <w:rPr>
          <w:i/>
          <w:color w:val="000000" w:themeColor="text1"/>
          <w:lang w:val="en-US"/>
        </w:rPr>
        <w:t xml:space="preserve">, G. Thomas, J. </w:t>
      </w:r>
      <w:proofErr w:type="spellStart"/>
      <w:r w:rsidRPr="004C2A3C">
        <w:rPr>
          <w:i/>
          <w:color w:val="000000" w:themeColor="text1"/>
          <w:lang w:val="en-US"/>
        </w:rPr>
        <w:t>Harbell</w:t>
      </w:r>
      <w:proofErr w:type="spellEnd"/>
      <w:r w:rsidRPr="004C2A3C">
        <w:rPr>
          <w:i/>
          <w:color w:val="000000" w:themeColor="text1"/>
          <w:lang w:val="en-US"/>
        </w:rPr>
        <w:t xml:space="preserve">, P.A. Jones, U. </w:t>
      </w:r>
      <w:proofErr w:type="spellStart"/>
      <w:r w:rsidRPr="004C2A3C">
        <w:rPr>
          <w:i/>
          <w:color w:val="000000" w:themeColor="text1"/>
          <w:lang w:val="en-US"/>
        </w:rPr>
        <w:t>Pfannenbecker</w:t>
      </w:r>
      <w:proofErr w:type="spellEnd"/>
      <w:r w:rsidRPr="004C2A3C">
        <w:rPr>
          <w:i/>
          <w:color w:val="000000" w:themeColor="text1"/>
          <w:lang w:val="en-US"/>
        </w:rPr>
        <w:t xml:space="preserve">, J.A. Southee, M. </w:t>
      </w:r>
      <w:proofErr w:type="spellStart"/>
      <w:r w:rsidRPr="004C2A3C">
        <w:rPr>
          <w:i/>
          <w:color w:val="000000" w:themeColor="text1"/>
          <w:lang w:val="en-US"/>
        </w:rPr>
        <w:t>Tcheng</w:t>
      </w:r>
      <w:proofErr w:type="spellEnd"/>
      <w:r w:rsidRPr="004C2A3C">
        <w:rPr>
          <w:i/>
          <w:color w:val="000000" w:themeColor="text1"/>
          <w:lang w:val="en-US"/>
        </w:rPr>
        <w:t xml:space="preserve">, H. </w:t>
      </w:r>
      <w:proofErr w:type="spellStart"/>
      <w:r w:rsidRPr="004C2A3C">
        <w:rPr>
          <w:i/>
          <w:color w:val="000000" w:themeColor="text1"/>
          <w:lang w:val="en-US"/>
        </w:rPr>
        <w:t>Argembeaux</w:t>
      </w:r>
      <w:proofErr w:type="spellEnd"/>
      <w:r w:rsidRPr="004C2A3C">
        <w:rPr>
          <w:i/>
          <w:color w:val="000000" w:themeColor="text1"/>
          <w:lang w:val="en-US"/>
        </w:rPr>
        <w:t xml:space="preserve">, D. Castelli, R. Clothier, D.J. Esdaile, H. </w:t>
      </w:r>
      <w:proofErr w:type="spellStart"/>
      <w:r w:rsidRPr="004C2A3C">
        <w:rPr>
          <w:i/>
          <w:color w:val="000000" w:themeColor="text1"/>
          <w:lang w:val="en-US"/>
        </w:rPr>
        <w:t>Itigaki</w:t>
      </w:r>
      <w:proofErr w:type="spellEnd"/>
      <w:r w:rsidRPr="004C2A3C">
        <w:rPr>
          <w:i/>
          <w:color w:val="000000" w:themeColor="text1"/>
          <w:lang w:val="en-US"/>
        </w:rPr>
        <w:t xml:space="preserve">, K. Jung, Y. Kasai, H. Kojima, U. Kristen, M. </w:t>
      </w:r>
      <w:proofErr w:type="spellStart"/>
      <w:r w:rsidRPr="004C2A3C">
        <w:rPr>
          <w:i/>
          <w:color w:val="000000" w:themeColor="text1"/>
          <w:lang w:val="en-US"/>
        </w:rPr>
        <w:t>Larnicol</w:t>
      </w:r>
      <w:proofErr w:type="spellEnd"/>
      <w:r w:rsidRPr="004C2A3C">
        <w:rPr>
          <w:i/>
          <w:color w:val="000000" w:themeColor="text1"/>
          <w:lang w:val="en-US"/>
        </w:rPr>
        <w:t xml:space="preserve">, R.W. Lewis, K. </w:t>
      </w:r>
      <w:proofErr w:type="spellStart"/>
      <w:r w:rsidRPr="004C2A3C">
        <w:rPr>
          <w:i/>
          <w:color w:val="000000" w:themeColor="text1"/>
          <w:lang w:val="en-US"/>
        </w:rPr>
        <w:t>Marenus</w:t>
      </w:r>
      <w:proofErr w:type="spellEnd"/>
      <w:r w:rsidRPr="004C2A3C">
        <w:rPr>
          <w:i/>
          <w:color w:val="000000" w:themeColor="text1"/>
          <w:lang w:val="en-US"/>
        </w:rPr>
        <w:t xml:space="preserve">, O. Moreno, A. Peterson, E.S. Rasmussen, C. Robles et M. Stern. 1997. A summary report of the COLIPA international </w:t>
      </w:r>
      <w:proofErr w:type="spellStart"/>
      <w:proofErr w:type="gramStart"/>
      <w:r w:rsidRPr="004C2A3C">
        <w:rPr>
          <w:i/>
          <w:color w:val="000000" w:themeColor="text1"/>
          <w:lang w:val="en-US"/>
        </w:rPr>
        <w:t>validation.study</w:t>
      </w:r>
      <w:proofErr w:type="spellEnd"/>
      <w:proofErr w:type="gramEnd"/>
      <w:r w:rsidRPr="004C2A3C">
        <w:rPr>
          <w:i/>
          <w:color w:val="000000" w:themeColor="text1"/>
          <w:lang w:val="en-US"/>
        </w:rPr>
        <w:t xml:space="preserve"> on alternatives to the </w:t>
      </w:r>
      <w:proofErr w:type="spellStart"/>
      <w:r w:rsidRPr="004C2A3C">
        <w:rPr>
          <w:i/>
          <w:color w:val="000000" w:themeColor="text1"/>
          <w:lang w:val="en-US"/>
        </w:rPr>
        <w:t>draize</w:t>
      </w:r>
      <w:proofErr w:type="spellEnd"/>
      <w:r w:rsidRPr="004C2A3C">
        <w:rPr>
          <w:i/>
          <w:color w:val="000000" w:themeColor="text1"/>
          <w:lang w:val="en-US"/>
        </w:rPr>
        <w:t xml:space="preserve"> rabbit eye irritation test. </w:t>
      </w:r>
      <w:proofErr w:type="spellStart"/>
      <w:r w:rsidRPr="004C2A3C">
        <w:rPr>
          <w:i/>
          <w:color w:val="000000" w:themeColor="text1"/>
          <w:lang w:val="en-US"/>
        </w:rPr>
        <w:t>Toxicol</w:t>
      </w:r>
      <w:proofErr w:type="spellEnd"/>
      <w:r w:rsidRPr="004C2A3C">
        <w:rPr>
          <w:i/>
          <w:color w:val="000000" w:themeColor="text1"/>
          <w:lang w:val="en-US"/>
        </w:rPr>
        <w:t>. In vitro, 11: 141-179. doi:10.1016</w:t>
      </w:r>
      <w:r w:rsidRPr="004C2A3C">
        <w:rPr>
          <w:color w:val="000000" w:themeColor="text1"/>
          <w:lang w:val="en-US"/>
        </w:rPr>
        <w:t>/</w:t>
      </w:r>
      <w:r w:rsidRPr="004C2A3C">
        <w:rPr>
          <w:i/>
          <w:color w:val="000000" w:themeColor="text1"/>
          <w:lang w:val="en-US"/>
        </w:rPr>
        <w:t>S0887-2333(96)00069-0.</w:t>
      </w:r>
    </w:p>
    <w:p w14:paraId="0EACA9EC" w14:textId="77777777" w:rsidR="00233091" w:rsidRPr="004C2A3C" w:rsidRDefault="00233091" w:rsidP="00233091">
      <w:pPr>
        <w:tabs>
          <w:tab w:val="left" w:pos="1560"/>
          <w:tab w:val="left" w:pos="2835"/>
        </w:tabs>
        <w:spacing w:after="240"/>
        <w:ind w:left="2268" w:right="1134"/>
        <w:jc w:val="both"/>
        <w:rPr>
          <w:i/>
          <w:color w:val="000000" w:themeColor="text1"/>
          <w:lang w:val="en-US"/>
        </w:rPr>
      </w:pPr>
      <w:r w:rsidRPr="004C2A3C">
        <w:rPr>
          <w:i/>
          <w:color w:val="000000" w:themeColor="text1"/>
          <w:lang w:val="en-US"/>
        </w:rPr>
        <w:t xml:space="preserve">Burton, A.B., M. York et R.S. Lawrence. 1981. The in vitro assessment of severe eye irritants. Food </w:t>
      </w:r>
      <w:proofErr w:type="spellStart"/>
      <w:r w:rsidRPr="004C2A3C">
        <w:rPr>
          <w:i/>
          <w:color w:val="000000" w:themeColor="text1"/>
          <w:lang w:val="en-US"/>
        </w:rPr>
        <w:t>Cosmet</w:t>
      </w:r>
      <w:proofErr w:type="spellEnd"/>
      <w:r w:rsidRPr="004C2A3C">
        <w:rPr>
          <w:i/>
          <w:color w:val="000000" w:themeColor="text1"/>
          <w:lang w:val="en-US"/>
        </w:rPr>
        <w:t xml:space="preserve">. </w:t>
      </w:r>
      <w:proofErr w:type="spellStart"/>
      <w:r w:rsidRPr="004C2A3C">
        <w:rPr>
          <w:i/>
          <w:color w:val="000000" w:themeColor="text1"/>
          <w:lang w:val="en-US"/>
        </w:rPr>
        <w:t>Toxicol</w:t>
      </w:r>
      <w:proofErr w:type="spellEnd"/>
      <w:r w:rsidRPr="004C2A3C">
        <w:rPr>
          <w:i/>
          <w:color w:val="000000" w:themeColor="text1"/>
          <w:lang w:val="en-US"/>
        </w:rPr>
        <w:t xml:space="preserve">., 19(4): 471-480. </w:t>
      </w:r>
      <w:proofErr w:type="spellStart"/>
      <w:r w:rsidRPr="004C2A3C">
        <w:rPr>
          <w:i/>
          <w:color w:val="000000" w:themeColor="text1"/>
          <w:lang w:val="en-US"/>
        </w:rPr>
        <w:t>doi</w:t>
      </w:r>
      <w:proofErr w:type="spellEnd"/>
      <w:r w:rsidRPr="004C2A3C">
        <w:rPr>
          <w:i/>
          <w:color w:val="000000" w:themeColor="text1"/>
          <w:lang w:val="en-US"/>
        </w:rPr>
        <w:t>: 10.1016</w:t>
      </w:r>
      <w:r w:rsidRPr="004C2A3C">
        <w:rPr>
          <w:color w:val="000000" w:themeColor="text1"/>
          <w:lang w:val="en-US"/>
        </w:rPr>
        <w:t>/</w:t>
      </w:r>
      <w:r w:rsidRPr="004C2A3C">
        <w:rPr>
          <w:i/>
          <w:color w:val="000000" w:themeColor="text1"/>
          <w:lang w:val="en-US"/>
        </w:rPr>
        <w:t>0015-6264(81)90452-1.</w:t>
      </w:r>
    </w:p>
    <w:p w14:paraId="10FF82BA" w14:textId="77777777" w:rsidR="00233091" w:rsidRPr="004C2A3C" w:rsidRDefault="00233091" w:rsidP="00233091">
      <w:pPr>
        <w:tabs>
          <w:tab w:val="left" w:pos="1560"/>
          <w:tab w:val="left" w:pos="2835"/>
        </w:tabs>
        <w:spacing w:after="240"/>
        <w:ind w:left="2268" w:right="1134"/>
        <w:jc w:val="both"/>
        <w:rPr>
          <w:i/>
          <w:color w:val="000000" w:themeColor="text1"/>
          <w:lang w:val="en-US"/>
        </w:rPr>
      </w:pPr>
      <w:r w:rsidRPr="004C2A3C">
        <w:rPr>
          <w:i/>
          <w:color w:val="000000" w:themeColor="text1"/>
          <w:lang w:val="en-US"/>
        </w:rPr>
        <w:t xml:space="preserve">Choksi, N., S. Lebrun, M. Nguyen, A. Daniel, G. </w:t>
      </w:r>
      <w:proofErr w:type="spellStart"/>
      <w:r w:rsidRPr="004C2A3C">
        <w:rPr>
          <w:i/>
          <w:color w:val="000000" w:themeColor="text1"/>
          <w:lang w:val="en-US"/>
        </w:rPr>
        <w:t>DeGeorge</w:t>
      </w:r>
      <w:proofErr w:type="spellEnd"/>
      <w:r w:rsidRPr="004C2A3C">
        <w:rPr>
          <w:i/>
          <w:color w:val="000000" w:themeColor="text1"/>
          <w:lang w:val="en-US"/>
        </w:rPr>
        <w:t>, J. Willoughby, A.</w:t>
      </w:r>
      <w:r w:rsidRPr="004C2A3C">
        <w:rPr>
          <w:color w:val="000000" w:themeColor="text1"/>
          <w:lang w:val="en-US"/>
        </w:rPr>
        <w:t xml:space="preserve"> </w:t>
      </w:r>
      <w:r w:rsidRPr="004C2A3C">
        <w:rPr>
          <w:i/>
          <w:color w:val="000000" w:themeColor="text1"/>
          <w:lang w:val="en-US"/>
        </w:rPr>
        <w:t xml:space="preserve">Layton, D. Lowther, J. Merrill, J. Matheson, J. Barroso, K. </w:t>
      </w:r>
      <w:proofErr w:type="spellStart"/>
      <w:r w:rsidRPr="004C2A3C">
        <w:rPr>
          <w:i/>
          <w:color w:val="000000" w:themeColor="text1"/>
          <w:lang w:val="en-US"/>
        </w:rPr>
        <w:t>Yozzo</w:t>
      </w:r>
      <w:proofErr w:type="spellEnd"/>
      <w:r w:rsidRPr="004C2A3C">
        <w:rPr>
          <w:i/>
          <w:color w:val="000000" w:themeColor="text1"/>
          <w:lang w:val="en-US"/>
        </w:rPr>
        <w:t xml:space="preserve">, W. Casey et D. Allen. 2020. Validation of the </w:t>
      </w:r>
      <w:proofErr w:type="spellStart"/>
      <w:r w:rsidRPr="004C2A3C">
        <w:rPr>
          <w:i/>
          <w:color w:val="000000" w:themeColor="text1"/>
          <w:lang w:val="en-US"/>
        </w:rPr>
        <w:t>OptiSafe</w:t>
      </w:r>
      <w:proofErr w:type="spellEnd"/>
      <w:r w:rsidRPr="004C2A3C">
        <w:rPr>
          <w:i/>
          <w:color w:val="000000" w:themeColor="text1"/>
          <w:lang w:val="en-US"/>
        </w:rPr>
        <w:t xml:space="preserve">™ eye irritation test. </w:t>
      </w:r>
      <w:proofErr w:type="spellStart"/>
      <w:r w:rsidRPr="004C2A3C">
        <w:rPr>
          <w:i/>
          <w:color w:val="000000" w:themeColor="text1"/>
          <w:lang w:val="en-US"/>
        </w:rPr>
        <w:t>Cutan</w:t>
      </w:r>
      <w:proofErr w:type="spellEnd"/>
      <w:r w:rsidRPr="004C2A3C">
        <w:rPr>
          <w:i/>
          <w:color w:val="000000" w:themeColor="text1"/>
          <w:lang w:val="en-US"/>
        </w:rPr>
        <w:t xml:space="preserve">. </w:t>
      </w:r>
      <w:proofErr w:type="spellStart"/>
      <w:r w:rsidRPr="004C2A3C">
        <w:rPr>
          <w:i/>
          <w:color w:val="000000" w:themeColor="text1"/>
          <w:lang w:val="en-US"/>
        </w:rPr>
        <w:t>Ocul</w:t>
      </w:r>
      <w:proofErr w:type="spellEnd"/>
      <w:r w:rsidRPr="004C2A3C">
        <w:rPr>
          <w:i/>
          <w:color w:val="000000" w:themeColor="text1"/>
          <w:lang w:val="en-US"/>
        </w:rPr>
        <w:t xml:space="preserve">. </w:t>
      </w:r>
      <w:proofErr w:type="spellStart"/>
      <w:r w:rsidRPr="004C2A3C">
        <w:rPr>
          <w:i/>
          <w:color w:val="000000" w:themeColor="text1"/>
          <w:lang w:val="en-US"/>
        </w:rPr>
        <w:t>Toxicol</w:t>
      </w:r>
      <w:proofErr w:type="spellEnd"/>
      <w:r w:rsidRPr="004C2A3C">
        <w:rPr>
          <w:i/>
          <w:color w:val="000000" w:themeColor="text1"/>
          <w:lang w:val="en-US"/>
        </w:rPr>
        <w:t xml:space="preserve">., 39(3): 180-192. </w:t>
      </w:r>
      <w:proofErr w:type="spellStart"/>
      <w:r w:rsidRPr="004C2A3C">
        <w:rPr>
          <w:i/>
          <w:color w:val="000000" w:themeColor="text1"/>
          <w:lang w:val="en-US"/>
        </w:rPr>
        <w:t>doi</w:t>
      </w:r>
      <w:proofErr w:type="spellEnd"/>
      <w:r w:rsidRPr="004C2A3C">
        <w:rPr>
          <w:i/>
          <w:color w:val="000000" w:themeColor="text1"/>
          <w:lang w:val="en-US"/>
        </w:rPr>
        <w:t>: 10.1080</w:t>
      </w:r>
      <w:r w:rsidRPr="004C2A3C">
        <w:rPr>
          <w:color w:val="000000" w:themeColor="text1"/>
          <w:lang w:val="en-US"/>
        </w:rPr>
        <w:t>/</w:t>
      </w:r>
      <w:r w:rsidRPr="004C2A3C">
        <w:rPr>
          <w:i/>
          <w:color w:val="000000" w:themeColor="text1"/>
          <w:lang w:val="en-US"/>
        </w:rPr>
        <w:t>15569527.2020.1787431.</w:t>
      </w:r>
    </w:p>
    <w:p w14:paraId="3546D1B1" w14:textId="77777777" w:rsidR="00233091" w:rsidRPr="004C2A3C" w:rsidRDefault="00233091" w:rsidP="00233091">
      <w:pPr>
        <w:tabs>
          <w:tab w:val="left" w:pos="1560"/>
          <w:tab w:val="left" w:pos="2835"/>
        </w:tabs>
        <w:spacing w:after="240"/>
        <w:ind w:left="2268" w:right="1134"/>
        <w:jc w:val="both"/>
        <w:rPr>
          <w:i/>
          <w:color w:val="000000" w:themeColor="text1"/>
          <w:lang w:val="en-US"/>
        </w:rPr>
      </w:pPr>
      <w:proofErr w:type="spellStart"/>
      <w:r w:rsidRPr="004C2A3C">
        <w:rPr>
          <w:i/>
          <w:color w:val="000000" w:themeColor="text1"/>
          <w:lang w:val="fr-FR"/>
        </w:rPr>
        <w:t>Cottrez</w:t>
      </w:r>
      <w:proofErr w:type="spellEnd"/>
      <w:r w:rsidRPr="004C2A3C">
        <w:rPr>
          <w:i/>
          <w:color w:val="000000" w:themeColor="text1"/>
          <w:lang w:val="fr-FR"/>
        </w:rPr>
        <w:t xml:space="preserve">, F., V. Leblanc, E. </w:t>
      </w:r>
      <w:proofErr w:type="spellStart"/>
      <w:r w:rsidRPr="004C2A3C">
        <w:rPr>
          <w:i/>
          <w:color w:val="000000" w:themeColor="text1"/>
          <w:lang w:val="fr-FR"/>
        </w:rPr>
        <w:t>Boitel</w:t>
      </w:r>
      <w:proofErr w:type="spellEnd"/>
      <w:r w:rsidRPr="004C2A3C">
        <w:rPr>
          <w:i/>
          <w:color w:val="000000" w:themeColor="text1"/>
          <w:lang w:val="fr-FR"/>
        </w:rPr>
        <w:t xml:space="preserve">, H. Groux et N. </w:t>
      </w:r>
      <w:proofErr w:type="spellStart"/>
      <w:r w:rsidRPr="004C2A3C">
        <w:rPr>
          <w:i/>
          <w:color w:val="000000" w:themeColor="text1"/>
          <w:lang w:val="fr-FR"/>
        </w:rPr>
        <w:t>Alépée</w:t>
      </w:r>
      <w:proofErr w:type="spellEnd"/>
      <w:r w:rsidRPr="004C2A3C">
        <w:rPr>
          <w:i/>
          <w:color w:val="000000" w:themeColor="text1"/>
          <w:lang w:val="fr-FR"/>
        </w:rPr>
        <w:t xml:space="preserve">. </w:t>
      </w:r>
      <w:r w:rsidRPr="004C2A3C">
        <w:rPr>
          <w:i/>
          <w:color w:val="000000" w:themeColor="text1"/>
          <w:lang w:val="en-US"/>
        </w:rPr>
        <w:t xml:space="preserve">2021. The </w:t>
      </w:r>
      <w:proofErr w:type="spellStart"/>
      <w:r w:rsidRPr="004C2A3C">
        <w:rPr>
          <w:i/>
          <w:color w:val="000000" w:themeColor="text1"/>
          <w:lang w:val="en-US"/>
        </w:rPr>
        <w:t>EyeIRR</w:t>
      </w:r>
      <w:proofErr w:type="spellEnd"/>
      <w:r w:rsidRPr="004C2A3C">
        <w:rPr>
          <w:i/>
          <w:color w:val="000000" w:themeColor="text1"/>
          <w:lang w:val="en-US"/>
        </w:rPr>
        <w:t xml:space="preserve">-IS assay: Development and evaluation of an in vitro assay to measure the eye irritation sub-categorization of liquid chemicals. </w:t>
      </w:r>
      <w:proofErr w:type="spellStart"/>
      <w:r w:rsidRPr="004C2A3C">
        <w:rPr>
          <w:i/>
          <w:color w:val="000000" w:themeColor="text1"/>
          <w:lang w:val="en-US"/>
        </w:rPr>
        <w:t>Toxicol</w:t>
      </w:r>
      <w:proofErr w:type="spellEnd"/>
      <w:r w:rsidRPr="004C2A3C">
        <w:rPr>
          <w:i/>
          <w:color w:val="000000" w:themeColor="text1"/>
          <w:lang w:val="en-US"/>
        </w:rPr>
        <w:t xml:space="preserve">. In vitro, 71: 105072. </w:t>
      </w:r>
      <w:proofErr w:type="spellStart"/>
      <w:r w:rsidRPr="004C2A3C">
        <w:rPr>
          <w:i/>
          <w:color w:val="000000" w:themeColor="text1"/>
          <w:lang w:val="en-US"/>
        </w:rPr>
        <w:t>doi</w:t>
      </w:r>
      <w:proofErr w:type="spellEnd"/>
      <w:r w:rsidRPr="004C2A3C">
        <w:rPr>
          <w:i/>
          <w:color w:val="000000" w:themeColor="text1"/>
          <w:lang w:val="en-US"/>
        </w:rPr>
        <w:t>: 10.1016</w:t>
      </w:r>
      <w:r w:rsidRPr="004C2A3C">
        <w:rPr>
          <w:color w:val="000000" w:themeColor="text1"/>
          <w:lang w:val="en-US"/>
        </w:rPr>
        <w:t>/</w:t>
      </w:r>
      <w:r w:rsidRPr="004C2A3C">
        <w:rPr>
          <w:i/>
          <w:color w:val="000000" w:themeColor="text1"/>
          <w:lang w:val="en-US"/>
        </w:rPr>
        <w:t>j.tiv.2020.105072.</w:t>
      </w:r>
    </w:p>
    <w:p w14:paraId="78E74F03" w14:textId="77777777" w:rsidR="00233091" w:rsidRPr="004C2A3C" w:rsidRDefault="00233091" w:rsidP="00233091">
      <w:pPr>
        <w:tabs>
          <w:tab w:val="left" w:pos="1560"/>
          <w:tab w:val="left" w:pos="2835"/>
        </w:tabs>
        <w:spacing w:after="240"/>
        <w:ind w:left="2268" w:right="1134"/>
        <w:jc w:val="both"/>
        <w:rPr>
          <w:i/>
          <w:color w:val="000000" w:themeColor="text1"/>
          <w:lang w:val="en-US"/>
        </w:rPr>
      </w:pPr>
      <w:r w:rsidRPr="004C2A3C">
        <w:rPr>
          <w:i/>
          <w:color w:val="000000" w:themeColor="text1"/>
          <w:lang w:val="en-US"/>
        </w:rPr>
        <w:t xml:space="preserve">Donahue, D.A., L.E. Kaufman, J. Avalos, F.A. </w:t>
      </w:r>
      <w:proofErr w:type="spellStart"/>
      <w:r w:rsidRPr="004C2A3C">
        <w:rPr>
          <w:i/>
          <w:color w:val="000000" w:themeColor="text1"/>
          <w:lang w:val="en-US"/>
        </w:rPr>
        <w:t>Simion</w:t>
      </w:r>
      <w:proofErr w:type="spellEnd"/>
      <w:r w:rsidRPr="004C2A3C">
        <w:rPr>
          <w:i/>
          <w:color w:val="000000" w:themeColor="text1"/>
          <w:lang w:val="en-US"/>
        </w:rPr>
        <w:t xml:space="preserve"> et D.R </w:t>
      </w:r>
      <w:proofErr w:type="spellStart"/>
      <w:r w:rsidRPr="004C2A3C">
        <w:rPr>
          <w:i/>
          <w:color w:val="000000" w:themeColor="text1"/>
          <w:lang w:val="en-US"/>
        </w:rPr>
        <w:t>Cerven</w:t>
      </w:r>
      <w:proofErr w:type="spellEnd"/>
      <w:r w:rsidRPr="004C2A3C">
        <w:rPr>
          <w:i/>
          <w:color w:val="000000" w:themeColor="text1"/>
          <w:lang w:val="en-US"/>
        </w:rPr>
        <w:t xml:space="preserve">. 2011. Survey of ocular irritation predictive capacity using </w:t>
      </w:r>
      <w:proofErr w:type="spellStart"/>
      <w:r w:rsidRPr="004C2A3C">
        <w:rPr>
          <w:i/>
          <w:color w:val="000000" w:themeColor="text1"/>
          <w:lang w:val="en-US"/>
        </w:rPr>
        <w:t>Chorioallantoic</w:t>
      </w:r>
      <w:proofErr w:type="spellEnd"/>
      <w:r w:rsidRPr="004C2A3C">
        <w:rPr>
          <w:i/>
          <w:color w:val="000000" w:themeColor="text1"/>
          <w:lang w:val="en-US"/>
        </w:rPr>
        <w:t xml:space="preserve"> Membrane Vascular Assay (CAMVA) and Bovine Corneal Opacity and Permeability (BCOP) test historical data for 319 personal care products over fourteen years. </w:t>
      </w:r>
      <w:proofErr w:type="spellStart"/>
      <w:r w:rsidRPr="004C2A3C">
        <w:rPr>
          <w:i/>
          <w:color w:val="000000" w:themeColor="text1"/>
          <w:lang w:val="en-US"/>
        </w:rPr>
        <w:t>Toxicol</w:t>
      </w:r>
      <w:proofErr w:type="spellEnd"/>
      <w:r w:rsidRPr="004C2A3C">
        <w:rPr>
          <w:i/>
          <w:color w:val="000000" w:themeColor="text1"/>
          <w:lang w:val="en-US"/>
        </w:rPr>
        <w:t xml:space="preserve">. In vitro, 25(2): 563-572. </w:t>
      </w:r>
      <w:proofErr w:type="spellStart"/>
      <w:r w:rsidRPr="004C2A3C">
        <w:rPr>
          <w:i/>
          <w:color w:val="000000" w:themeColor="text1"/>
          <w:lang w:val="en-US"/>
        </w:rPr>
        <w:t>doi</w:t>
      </w:r>
      <w:proofErr w:type="spellEnd"/>
      <w:r w:rsidRPr="004C2A3C">
        <w:rPr>
          <w:i/>
          <w:color w:val="000000" w:themeColor="text1"/>
          <w:lang w:val="en-US"/>
        </w:rPr>
        <w:t>: 10.1016</w:t>
      </w:r>
      <w:r w:rsidRPr="004C2A3C">
        <w:rPr>
          <w:color w:val="000000" w:themeColor="text1"/>
          <w:lang w:val="en-US"/>
        </w:rPr>
        <w:t>/</w:t>
      </w:r>
      <w:r w:rsidRPr="004C2A3C">
        <w:rPr>
          <w:i/>
          <w:color w:val="000000" w:themeColor="text1"/>
          <w:lang w:val="en-US"/>
        </w:rPr>
        <w:t>j.tiv.2010.12.003.</w:t>
      </w:r>
    </w:p>
    <w:p w14:paraId="5CCF0C84" w14:textId="77777777" w:rsidR="00233091" w:rsidRPr="004C2A3C" w:rsidRDefault="00233091" w:rsidP="00233091">
      <w:pPr>
        <w:tabs>
          <w:tab w:val="left" w:pos="1560"/>
          <w:tab w:val="left" w:pos="2835"/>
        </w:tabs>
        <w:spacing w:after="240"/>
        <w:ind w:left="2268" w:right="1134"/>
        <w:jc w:val="both"/>
        <w:rPr>
          <w:i/>
          <w:color w:val="000000" w:themeColor="text1"/>
          <w:lang w:val="fr-FR"/>
        </w:rPr>
      </w:pPr>
      <w:r w:rsidRPr="004C2A3C">
        <w:rPr>
          <w:i/>
          <w:color w:val="000000" w:themeColor="text1"/>
          <w:spacing w:val="-2"/>
          <w:lang w:val="en-US"/>
        </w:rPr>
        <w:t xml:space="preserve">ECHA. 2017. Guidance on the Application of the CLP Criteria. </w:t>
      </w:r>
      <w:proofErr w:type="spellStart"/>
      <w:r w:rsidRPr="00A27E5D">
        <w:rPr>
          <w:i/>
          <w:color w:val="000000" w:themeColor="text1"/>
          <w:spacing w:val="-2"/>
          <w:lang w:val="es-ES"/>
        </w:rPr>
        <w:t>Version</w:t>
      </w:r>
      <w:proofErr w:type="spellEnd"/>
      <w:r w:rsidRPr="00A27E5D">
        <w:rPr>
          <w:i/>
          <w:color w:val="000000" w:themeColor="text1"/>
          <w:spacing w:val="-2"/>
          <w:lang w:val="es-ES"/>
        </w:rPr>
        <w:t xml:space="preserve"> 5.0. Reference ECHA-17-G-21-EN. </w:t>
      </w:r>
      <w:proofErr w:type="spellStart"/>
      <w:r w:rsidRPr="00A27E5D">
        <w:rPr>
          <w:i/>
          <w:color w:val="000000" w:themeColor="text1"/>
          <w:spacing w:val="-2"/>
          <w:lang w:val="es-ES"/>
        </w:rPr>
        <w:t>doi</w:t>
      </w:r>
      <w:proofErr w:type="spellEnd"/>
      <w:r w:rsidRPr="00A27E5D">
        <w:rPr>
          <w:i/>
          <w:color w:val="000000" w:themeColor="text1"/>
          <w:spacing w:val="-2"/>
          <w:lang w:val="es-ES"/>
        </w:rPr>
        <w:t>: 10.2823</w:t>
      </w:r>
      <w:r w:rsidRPr="00A27E5D">
        <w:rPr>
          <w:color w:val="000000" w:themeColor="text1"/>
          <w:spacing w:val="-2"/>
          <w:lang w:val="es-ES"/>
        </w:rPr>
        <w:t>/</w:t>
      </w:r>
      <w:r w:rsidRPr="00A27E5D">
        <w:rPr>
          <w:i/>
          <w:color w:val="000000" w:themeColor="text1"/>
          <w:spacing w:val="-2"/>
          <w:lang w:val="es-ES"/>
        </w:rPr>
        <w:t xml:space="preserve">124801. </w:t>
      </w:r>
      <w:r w:rsidRPr="004C2A3C">
        <w:rPr>
          <w:i/>
          <w:color w:val="000000" w:themeColor="text1"/>
          <w:spacing w:val="-2"/>
        </w:rPr>
        <w:t>Disponible à l</w:t>
      </w:r>
      <w:r>
        <w:rPr>
          <w:i/>
          <w:color w:val="000000" w:themeColor="text1"/>
          <w:spacing w:val="-2"/>
        </w:rPr>
        <w:t>’</w:t>
      </w:r>
      <w:r w:rsidRPr="004C2A3C">
        <w:rPr>
          <w:i/>
          <w:color w:val="000000" w:themeColor="text1"/>
          <w:spacing w:val="-2"/>
        </w:rPr>
        <w:t>adresse suivante :</w:t>
      </w:r>
      <w:r w:rsidRPr="004C2A3C">
        <w:rPr>
          <w:i/>
          <w:color w:val="000000" w:themeColor="text1"/>
          <w:spacing w:val="-2"/>
          <w:lang w:val="fr-FR"/>
        </w:rPr>
        <w:t xml:space="preserve"> </w:t>
      </w:r>
      <w:hyperlink r:id="rId35" w:history="1">
        <w:r w:rsidRPr="004C2A3C">
          <w:rPr>
            <w:i/>
            <w:color w:val="000000" w:themeColor="text1"/>
            <w:lang w:val="fr-FR"/>
          </w:rPr>
          <w:t>https:</w:t>
        </w:r>
        <w:r w:rsidRPr="004C2A3C">
          <w:rPr>
            <w:color w:val="000000" w:themeColor="text1"/>
            <w:lang w:val="fr-FR"/>
          </w:rPr>
          <w:t>//</w:t>
        </w:r>
        <w:r w:rsidRPr="004C2A3C">
          <w:rPr>
            <w:i/>
            <w:color w:val="000000" w:themeColor="text1"/>
            <w:lang w:val="fr-FR"/>
          </w:rPr>
          <w:t>echa.europa.eu</w:t>
        </w:r>
        <w:r w:rsidRPr="004C2A3C">
          <w:rPr>
            <w:color w:val="000000" w:themeColor="text1"/>
            <w:lang w:val="fr-FR"/>
          </w:rPr>
          <w:t xml:space="preserve">/ </w:t>
        </w:r>
        <w:r w:rsidRPr="004C2A3C">
          <w:rPr>
            <w:i/>
            <w:color w:val="000000" w:themeColor="text1"/>
            <w:lang w:val="fr-FR"/>
          </w:rPr>
          <w:t>guidance-documents</w:t>
        </w:r>
        <w:r w:rsidRPr="004C2A3C">
          <w:rPr>
            <w:color w:val="000000" w:themeColor="text1"/>
            <w:lang w:val="fr-FR"/>
          </w:rPr>
          <w:t>/</w:t>
        </w:r>
        <w:r w:rsidRPr="004C2A3C">
          <w:rPr>
            <w:i/>
            <w:color w:val="000000" w:themeColor="text1"/>
            <w:lang w:val="fr-FR"/>
          </w:rPr>
          <w:t>guidance-on-</w:t>
        </w:r>
        <w:proofErr w:type="spellStart"/>
        <w:r w:rsidRPr="004C2A3C">
          <w:rPr>
            <w:i/>
            <w:color w:val="000000" w:themeColor="text1"/>
            <w:lang w:val="fr-FR"/>
          </w:rPr>
          <w:t>clp</w:t>
        </w:r>
        <w:proofErr w:type="spellEnd"/>
      </w:hyperlink>
      <w:r w:rsidRPr="004C2A3C">
        <w:rPr>
          <w:i/>
          <w:color w:val="000000" w:themeColor="text1"/>
          <w:lang w:val="fr-FR"/>
        </w:rPr>
        <w:t>.</w:t>
      </w:r>
    </w:p>
    <w:p w14:paraId="0E20097C" w14:textId="77777777" w:rsidR="00233091" w:rsidRPr="004C2A3C" w:rsidRDefault="00233091" w:rsidP="00233091">
      <w:pPr>
        <w:tabs>
          <w:tab w:val="left" w:pos="1560"/>
          <w:tab w:val="left" w:pos="2835"/>
        </w:tabs>
        <w:spacing w:after="240"/>
        <w:ind w:left="2268" w:right="1134"/>
        <w:jc w:val="both"/>
        <w:rPr>
          <w:i/>
          <w:iCs/>
          <w:color w:val="000000" w:themeColor="text1"/>
          <w:lang w:val="fr-FR"/>
        </w:rPr>
      </w:pPr>
      <w:r w:rsidRPr="004C2A3C">
        <w:rPr>
          <w:i/>
          <w:iCs/>
          <w:color w:val="000000" w:themeColor="text1"/>
          <w:lang w:val="en-US"/>
        </w:rPr>
        <w:t>ESAC.</w:t>
      </w:r>
      <w:r w:rsidRPr="004C2A3C">
        <w:rPr>
          <w:i/>
          <w:color w:val="000000" w:themeColor="text1"/>
          <w:lang w:val="en-US"/>
        </w:rPr>
        <w:t xml:space="preserve"> 2019. Statement on </w:t>
      </w:r>
      <w:r w:rsidRPr="004C2A3C">
        <w:rPr>
          <w:i/>
          <w:iCs/>
          <w:color w:val="000000" w:themeColor="text1"/>
          <w:lang w:val="en-US"/>
        </w:rPr>
        <w:t>the</w:t>
      </w:r>
      <w:r w:rsidRPr="004C2A3C">
        <w:rPr>
          <w:color w:val="000000" w:themeColor="text1"/>
          <w:lang w:val="en-US"/>
        </w:rPr>
        <w:t xml:space="preserve"> </w:t>
      </w:r>
      <w:r w:rsidRPr="004C2A3C">
        <w:rPr>
          <w:i/>
          <w:iCs/>
          <w:color w:val="000000" w:themeColor="text1"/>
          <w:lang w:val="en-US"/>
        </w:rPr>
        <w:t xml:space="preserve">use of existing low volume eye test (LVET) data for weight of evidence decisions on classification and labelling of cleaning products and their main ingredients. </w:t>
      </w:r>
      <w:r w:rsidRPr="004C2A3C">
        <w:rPr>
          <w:i/>
          <w:iCs/>
          <w:color w:val="000000" w:themeColor="text1"/>
        </w:rPr>
        <w:t>Déclaration du Comité consultatif scientifique de l</w:t>
      </w:r>
      <w:r>
        <w:rPr>
          <w:i/>
          <w:iCs/>
          <w:color w:val="000000" w:themeColor="text1"/>
        </w:rPr>
        <w:t>’</w:t>
      </w:r>
      <w:r w:rsidRPr="004C2A3C">
        <w:rPr>
          <w:i/>
          <w:iCs/>
          <w:color w:val="000000" w:themeColor="text1"/>
        </w:rPr>
        <w:t xml:space="preserve">ECVAM (ESAC) du 9 juillet 2009. </w:t>
      </w:r>
      <w:r w:rsidRPr="004C2A3C">
        <w:rPr>
          <w:i/>
          <w:color w:val="000000" w:themeColor="text1"/>
        </w:rPr>
        <w:t>Disponible à l</w:t>
      </w:r>
      <w:r>
        <w:rPr>
          <w:i/>
          <w:color w:val="000000" w:themeColor="text1"/>
        </w:rPr>
        <w:t>’</w:t>
      </w:r>
      <w:r w:rsidRPr="004C2A3C">
        <w:rPr>
          <w:i/>
          <w:color w:val="000000" w:themeColor="text1"/>
        </w:rPr>
        <w:t>adresse suivante </w:t>
      </w:r>
      <w:r w:rsidRPr="004C2A3C">
        <w:rPr>
          <w:i/>
          <w:iCs/>
          <w:color w:val="000000" w:themeColor="text1"/>
        </w:rPr>
        <w:t>:</w:t>
      </w:r>
      <w:r w:rsidRPr="004C2A3C">
        <w:rPr>
          <w:color w:val="000000" w:themeColor="text1"/>
          <w:lang w:val="fr-FR"/>
        </w:rPr>
        <w:t xml:space="preserve"> </w:t>
      </w:r>
      <w:hyperlink r:id="rId36" w:history="1">
        <w:r w:rsidRPr="004C2A3C">
          <w:rPr>
            <w:i/>
            <w:iCs/>
            <w:color w:val="000000" w:themeColor="text1"/>
            <w:lang w:val="fr-FR"/>
          </w:rPr>
          <w:t>https:</w:t>
        </w:r>
        <w:r w:rsidRPr="004C2A3C">
          <w:rPr>
            <w:iCs/>
            <w:color w:val="000000" w:themeColor="text1"/>
            <w:lang w:val="fr-FR"/>
          </w:rPr>
          <w:t>//</w:t>
        </w:r>
        <w:r w:rsidRPr="004C2A3C">
          <w:rPr>
            <w:i/>
            <w:iCs/>
            <w:color w:val="000000" w:themeColor="text1"/>
            <w:lang w:val="fr-FR"/>
          </w:rPr>
          <w:t>ec.europa.eu</w:t>
        </w:r>
        <w:r w:rsidRPr="004C2A3C">
          <w:rPr>
            <w:iCs/>
            <w:color w:val="000000" w:themeColor="text1"/>
            <w:lang w:val="fr-FR"/>
          </w:rPr>
          <w:t>/</w:t>
        </w:r>
        <w:r w:rsidRPr="004C2A3C">
          <w:rPr>
            <w:i/>
            <w:iCs/>
            <w:color w:val="000000" w:themeColor="text1"/>
            <w:lang w:val="fr-FR"/>
          </w:rPr>
          <w:t>jrc</w:t>
        </w:r>
        <w:r w:rsidRPr="004C2A3C">
          <w:rPr>
            <w:iCs/>
            <w:color w:val="000000" w:themeColor="text1"/>
            <w:lang w:val="fr-FR"/>
          </w:rPr>
          <w:t>/</w:t>
        </w:r>
        <w:r w:rsidRPr="004C2A3C">
          <w:rPr>
            <w:i/>
            <w:iCs/>
            <w:color w:val="000000" w:themeColor="text1"/>
            <w:lang w:val="fr-FR"/>
          </w:rPr>
          <w:t>sites</w:t>
        </w:r>
        <w:r w:rsidRPr="004C2A3C">
          <w:rPr>
            <w:iCs/>
            <w:color w:val="000000" w:themeColor="text1"/>
            <w:lang w:val="fr-FR"/>
          </w:rPr>
          <w:t>/</w:t>
        </w:r>
        <w:r w:rsidRPr="004C2A3C">
          <w:rPr>
            <w:i/>
            <w:iCs/>
            <w:color w:val="000000" w:themeColor="text1"/>
            <w:lang w:val="fr-FR"/>
          </w:rPr>
          <w:t>jrcsh</w:t>
        </w:r>
        <w:r w:rsidRPr="004C2A3C">
          <w:rPr>
            <w:iCs/>
            <w:color w:val="000000" w:themeColor="text1"/>
            <w:lang w:val="fr-FR"/>
          </w:rPr>
          <w:t>/</w:t>
        </w:r>
        <w:r w:rsidRPr="004C2A3C">
          <w:rPr>
            <w:i/>
            <w:iCs/>
            <w:color w:val="000000" w:themeColor="text1"/>
            <w:lang w:val="fr-FR"/>
          </w:rPr>
          <w:t>files</w:t>
        </w:r>
        <w:r w:rsidRPr="004C2A3C">
          <w:rPr>
            <w:iCs/>
            <w:color w:val="000000" w:themeColor="text1"/>
            <w:lang w:val="fr-FR"/>
          </w:rPr>
          <w:t xml:space="preserve">/ </w:t>
        </w:r>
        <w:r w:rsidRPr="004C2A3C">
          <w:rPr>
            <w:i/>
            <w:iCs/>
            <w:color w:val="000000" w:themeColor="text1"/>
            <w:lang w:val="fr-FR"/>
          </w:rPr>
          <w:t>esac31_lvet_20090922.pdf</w:t>
        </w:r>
      </w:hyperlink>
      <w:r w:rsidRPr="004C2A3C">
        <w:rPr>
          <w:i/>
          <w:iCs/>
          <w:color w:val="000000" w:themeColor="text1"/>
          <w:lang w:val="fr-FR"/>
        </w:rPr>
        <w:t>.</w:t>
      </w:r>
    </w:p>
    <w:p w14:paraId="7E18923D" w14:textId="77777777" w:rsidR="00233091" w:rsidRPr="00B305FF" w:rsidRDefault="00233091" w:rsidP="00233091">
      <w:pPr>
        <w:tabs>
          <w:tab w:val="left" w:pos="1560"/>
          <w:tab w:val="left" w:pos="2835"/>
        </w:tabs>
        <w:spacing w:after="240"/>
        <w:ind w:left="2268" w:right="1134"/>
        <w:jc w:val="both"/>
        <w:rPr>
          <w:i/>
          <w:color w:val="000000" w:themeColor="text1"/>
          <w:lang w:val="en-US"/>
        </w:rPr>
      </w:pPr>
      <w:r w:rsidRPr="004C2A3C">
        <w:rPr>
          <w:i/>
          <w:color w:val="000000" w:themeColor="text1"/>
          <w:lang w:val="en-US"/>
        </w:rPr>
        <w:t xml:space="preserve">EURL ECAM. 2004a. Tracking System for Alternative Methods Towards Regulatory Acceptance (TSAR). Method TM2004-01. The </w:t>
      </w:r>
      <w:proofErr w:type="spellStart"/>
      <w:r w:rsidRPr="004C2A3C">
        <w:rPr>
          <w:i/>
          <w:color w:val="000000" w:themeColor="text1"/>
          <w:lang w:val="en-US"/>
        </w:rPr>
        <w:t>cytosensor</w:t>
      </w:r>
      <w:proofErr w:type="spellEnd"/>
      <w:r w:rsidRPr="004C2A3C">
        <w:rPr>
          <w:i/>
          <w:color w:val="000000" w:themeColor="text1"/>
          <w:lang w:val="en-US"/>
        </w:rPr>
        <w:t xml:space="preserve"> </w:t>
      </w:r>
      <w:proofErr w:type="spellStart"/>
      <w:r w:rsidRPr="004C2A3C">
        <w:rPr>
          <w:i/>
          <w:color w:val="000000" w:themeColor="text1"/>
          <w:lang w:val="en-US"/>
        </w:rPr>
        <w:t>microphysiometer</w:t>
      </w:r>
      <w:proofErr w:type="spellEnd"/>
      <w:r w:rsidRPr="004C2A3C">
        <w:rPr>
          <w:i/>
          <w:color w:val="000000" w:themeColor="text1"/>
          <w:lang w:val="en-US"/>
        </w:rPr>
        <w:t xml:space="preserve"> toxicity test. </w:t>
      </w:r>
      <w:r w:rsidRPr="00B305FF">
        <w:rPr>
          <w:i/>
          <w:color w:val="000000" w:themeColor="text1"/>
          <w:lang w:val="en-US"/>
        </w:rPr>
        <w:t xml:space="preserve">Disponible à </w:t>
      </w:r>
      <w:proofErr w:type="spellStart"/>
      <w:r w:rsidRPr="00B305FF">
        <w:rPr>
          <w:i/>
          <w:color w:val="000000" w:themeColor="text1"/>
          <w:lang w:val="en-US"/>
        </w:rPr>
        <w:t>l</w:t>
      </w:r>
      <w:r>
        <w:rPr>
          <w:i/>
          <w:color w:val="000000" w:themeColor="text1"/>
          <w:lang w:val="en-US"/>
        </w:rPr>
        <w:t>’</w:t>
      </w:r>
      <w:r w:rsidRPr="00B305FF">
        <w:rPr>
          <w:i/>
          <w:color w:val="000000" w:themeColor="text1"/>
          <w:lang w:val="en-US"/>
        </w:rPr>
        <w:t>adresse</w:t>
      </w:r>
      <w:proofErr w:type="spellEnd"/>
      <w:r w:rsidRPr="00B305FF">
        <w:rPr>
          <w:i/>
          <w:color w:val="000000" w:themeColor="text1"/>
          <w:lang w:val="en-US"/>
        </w:rPr>
        <w:t xml:space="preserve"> </w:t>
      </w:r>
      <w:proofErr w:type="spellStart"/>
      <w:proofErr w:type="gramStart"/>
      <w:r w:rsidRPr="00B305FF">
        <w:rPr>
          <w:i/>
          <w:color w:val="000000" w:themeColor="text1"/>
          <w:lang w:val="en-US"/>
        </w:rPr>
        <w:t>suivante</w:t>
      </w:r>
      <w:proofErr w:type="spellEnd"/>
      <w:r w:rsidRPr="00B305FF">
        <w:rPr>
          <w:i/>
          <w:color w:val="000000" w:themeColor="text1"/>
          <w:lang w:val="en-US"/>
        </w:rPr>
        <w:t> :</w:t>
      </w:r>
      <w:proofErr w:type="gramEnd"/>
      <w:r w:rsidRPr="00B305FF">
        <w:rPr>
          <w:i/>
          <w:color w:val="000000" w:themeColor="text1"/>
          <w:lang w:val="en-US"/>
        </w:rPr>
        <w:t xml:space="preserve"> </w:t>
      </w:r>
      <w:hyperlink r:id="rId37" w:history="1">
        <w:r w:rsidRPr="00B305FF">
          <w:rPr>
            <w:i/>
            <w:color w:val="000000" w:themeColor="text1"/>
            <w:lang w:val="en-US"/>
          </w:rPr>
          <w:t>https:</w:t>
        </w:r>
        <w:r w:rsidRPr="00B305FF">
          <w:rPr>
            <w:color w:val="000000" w:themeColor="text1"/>
            <w:lang w:val="en-US"/>
          </w:rPr>
          <w:t>//</w:t>
        </w:r>
        <w:r w:rsidRPr="00B305FF">
          <w:rPr>
            <w:i/>
            <w:color w:val="000000" w:themeColor="text1"/>
            <w:lang w:val="en-US"/>
          </w:rPr>
          <w:t>tsar.jrc.ec.europa.eu</w:t>
        </w:r>
        <w:r w:rsidRPr="00B305FF">
          <w:rPr>
            <w:color w:val="000000" w:themeColor="text1"/>
            <w:lang w:val="en-US"/>
          </w:rPr>
          <w:t>/</w:t>
        </w:r>
        <w:r w:rsidRPr="00B305FF">
          <w:rPr>
            <w:i/>
            <w:color w:val="000000" w:themeColor="text1"/>
            <w:lang w:val="en-US"/>
          </w:rPr>
          <w:t>test-method</w:t>
        </w:r>
        <w:r w:rsidRPr="00B305FF">
          <w:rPr>
            <w:color w:val="000000" w:themeColor="text1"/>
            <w:lang w:val="en-US"/>
          </w:rPr>
          <w:t>/</w:t>
        </w:r>
        <w:r w:rsidRPr="00B305FF">
          <w:rPr>
            <w:i/>
            <w:color w:val="000000" w:themeColor="text1"/>
            <w:lang w:val="en-US"/>
          </w:rPr>
          <w:t>tm2004-01</w:t>
        </w:r>
      </w:hyperlink>
      <w:r w:rsidRPr="00B305FF">
        <w:rPr>
          <w:i/>
          <w:color w:val="000000" w:themeColor="text1"/>
          <w:lang w:val="en-US"/>
        </w:rPr>
        <w:t>.</w:t>
      </w:r>
    </w:p>
    <w:p w14:paraId="0FAF3735" w14:textId="77777777" w:rsidR="00233091" w:rsidRPr="00B305FF" w:rsidRDefault="00233091" w:rsidP="00233091">
      <w:pPr>
        <w:tabs>
          <w:tab w:val="left" w:pos="1560"/>
          <w:tab w:val="left" w:pos="2835"/>
        </w:tabs>
        <w:spacing w:after="240"/>
        <w:ind w:left="2268" w:right="1134"/>
        <w:jc w:val="both"/>
        <w:rPr>
          <w:i/>
          <w:color w:val="000000" w:themeColor="text1"/>
          <w:lang w:val="en-US"/>
        </w:rPr>
      </w:pPr>
      <w:r w:rsidRPr="004C2A3C">
        <w:rPr>
          <w:i/>
          <w:color w:val="000000" w:themeColor="text1"/>
          <w:lang w:val="en-US"/>
        </w:rPr>
        <w:t xml:space="preserve">EURL ECAM. 2004b. Tracking System for Alternative Methods Towards Regulatory Acceptance (TSAR). Method TM2004-03. Neutral Red Release Assay. </w:t>
      </w:r>
      <w:r w:rsidRPr="00B305FF">
        <w:rPr>
          <w:i/>
          <w:color w:val="000000" w:themeColor="text1"/>
          <w:lang w:val="en-US"/>
        </w:rPr>
        <w:t xml:space="preserve">Disponible à </w:t>
      </w:r>
      <w:proofErr w:type="spellStart"/>
      <w:r w:rsidRPr="00B305FF">
        <w:rPr>
          <w:i/>
          <w:color w:val="000000" w:themeColor="text1"/>
          <w:lang w:val="en-US"/>
        </w:rPr>
        <w:t>l</w:t>
      </w:r>
      <w:r>
        <w:rPr>
          <w:i/>
          <w:color w:val="000000" w:themeColor="text1"/>
          <w:lang w:val="en-US"/>
        </w:rPr>
        <w:t>’</w:t>
      </w:r>
      <w:r w:rsidRPr="00B305FF">
        <w:rPr>
          <w:i/>
          <w:color w:val="000000" w:themeColor="text1"/>
          <w:lang w:val="en-US"/>
        </w:rPr>
        <w:t>adresse</w:t>
      </w:r>
      <w:proofErr w:type="spellEnd"/>
      <w:r w:rsidRPr="00B305FF">
        <w:rPr>
          <w:i/>
          <w:color w:val="000000" w:themeColor="text1"/>
          <w:lang w:val="en-US"/>
        </w:rPr>
        <w:t xml:space="preserve"> </w:t>
      </w:r>
      <w:proofErr w:type="spellStart"/>
      <w:proofErr w:type="gramStart"/>
      <w:r w:rsidRPr="00B305FF">
        <w:rPr>
          <w:i/>
          <w:color w:val="000000" w:themeColor="text1"/>
          <w:lang w:val="en-US"/>
        </w:rPr>
        <w:t>suivante</w:t>
      </w:r>
      <w:proofErr w:type="spellEnd"/>
      <w:r w:rsidRPr="00B305FF">
        <w:rPr>
          <w:i/>
          <w:color w:val="000000" w:themeColor="text1"/>
          <w:lang w:val="en-US"/>
        </w:rPr>
        <w:t> :</w:t>
      </w:r>
      <w:proofErr w:type="gramEnd"/>
      <w:r w:rsidRPr="00B305FF">
        <w:rPr>
          <w:i/>
          <w:color w:val="000000" w:themeColor="text1"/>
          <w:lang w:val="en-US"/>
        </w:rPr>
        <w:t xml:space="preserve"> </w:t>
      </w:r>
      <w:hyperlink r:id="rId38" w:history="1">
        <w:r w:rsidRPr="00B305FF">
          <w:rPr>
            <w:i/>
            <w:color w:val="000000" w:themeColor="text1"/>
            <w:lang w:val="en-US"/>
          </w:rPr>
          <w:t>https:</w:t>
        </w:r>
        <w:r w:rsidRPr="00B305FF">
          <w:rPr>
            <w:color w:val="000000" w:themeColor="text1"/>
            <w:lang w:val="en-US"/>
          </w:rPr>
          <w:t>//</w:t>
        </w:r>
        <w:r w:rsidRPr="00B305FF">
          <w:rPr>
            <w:i/>
            <w:color w:val="000000" w:themeColor="text1"/>
            <w:lang w:val="en-US"/>
          </w:rPr>
          <w:t>tsar.jrc.ec.europa.eu</w:t>
        </w:r>
        <w:r w:rsidRPr="00B305FF">
          <w:rPr>
            <w:color w:val="000000" w:themeColor="text1"/>
            <w:lang w:val="en-US"/>
          </w:rPr>
          <w:t>/</w:t>
        </w:r>
        <w:r w:rsidRPr="00B305FF">
          <w:rPr>
            <w:i/>
            <w:color w:val="000000" w:themeColor="text1"/>
            <w:lang w:val="en-US"/>
          </w:rPr>
          <w:t>test-method</w:t>
        </w:r>
        <w:r w:rsidRPr="00B305FF">
          <w:rPr>
            <w:color w:val="000000" w:themeColor="text1"/>
            <w:lang w:val="en-US"/>
          </w:rPr>
          <w:t>/</w:t>
        </w:r>
        <w:r w:rsidRPr="00B305FF">
          <w:rPr>
            <w:i/>
            <w:color w:val="000000" w:themeColor="text1"/>
            <w:lang w:val="en-US"/>
          </w:rPr>
          <w:t>tm2004-03</w:t>
        </w:r>
      </w:hyperlink>
      <w:r w:rsidRPr="00B305FF">
        <w:rPr>
          <w:i/>
          <w:color w:val="000000" w:themeColor="text1"/>
          <w:lang w:val="en-US"/>
        </w:rPr>
        <w:t>.</w:t>
      </w:r>
    </w:p>
    <w:p w14:paraId="4FE5A845" w14:textId="77777777" w:rsidR="00233091" w:rsidRPr="004C2A3C" w:rsidRDefault="00233091" w:rsidP="00233091">
      <w:pPr>
        <w:tabs>
          <w:tab w:val="left" w:pos="1560"/>
          <w:tab w:val="left" w:pos="2835"/>
        </w:tabs>
        <w:spacing w:after="240"/>
        <w:ind w:left="2268" w:right="1134"/>
        <w:jc w:val="both"/>
        <w:rPr>
          <w:i/>
          <w:color w:val="000000" w:themeColor="text1"/>
          <w:lang w:val="en-US"/>
        </w:rPr>
      </w:pPr>
      <w:proofErr w:type="spellStart"/>
      <w:r w:rsidRPr="004C2A3C">
        <w:rPr>
          <w:i/>
          <w:color w:val="000000" w:themeColor="text1"/>
          <w:lang w:val="en-US"/>
        </w:rPr>
        <w:t>Frentz</w:t>
      </w:r>
      <w:proofErr w:type="spellEnd"/>
      <w:r w:rsidRPr="004C2A3C">
        <w:rPr>
          <w:i/>
          <w:color w:val="000000" w:themeColor="text1"/>
          <w:lang w:val="en-US"/>
        </w:rPr>
        <w:t xml:space="preserve">, M., M. Goss, M. </w:t>
      </w:r>
      <w:proofErr w:type="spellStart"/>
      <w:r w:rsidRPr="004C2A3C">
        <w:rPr>
          <w:i/>
          <w:color w:val="000000" w:themeColor="text1"/>
          <w:lang w:val="en-US"/>
        </w:rPr>
        <w:t>Reim</w:t>
      </w:r>
      <w:proofErr w:type="spellEnd"/>
      <w:r w:rsidRPr="004C2A3C">
        <w:rPr>
          <w:i/>
          <w:color w:val="000000" w:themeColor="text1"/>
          <w:lang w:val="en-US"/>
        </w:rPr>
        <w:t xml:space="preserve"> et N.F. Schrage. 2008. Repeated exposure to benzalkonium chloride in the Ex vivo Eye Irritation Test (EVEIT): observation of isolated corneal damage and healing. Altern. Lab. Anim., 36(1): 25-32. </w:t>
      </w:r>
      <w:proofErr w:type="spellStart"/>
      <w:r w:rsidRPr="004C2A3C">
        <w:rPr>
          <w:i/>
          <w:color w:val="000000" w:themeColor="text1"/>
          <w:lang w:val="en-US"/>
        </w:rPr>
        <w:t>doi</w:t>
      </w:r>
      <w:proofErr w:type="spellEnd"/>
      <w:r w:rsidRPr="004C2A3C">
        <w:rPr>
          <w:i/>
          <w:color w:val="000000" w:themeColor="text1"/>
          <w:lang w:val="en-US"/>
        </w:rPr>
        <w:t>: 10.1177</w:t>
      </w:r>
      <w:r w:rsidRPr="004C2A3C">
        <w:rPr>
          <w:color w:val="000000" w:themeColor="text1"/>
          <w:lang w:val="en-US"/>
        </w:rPr>
        <w:t>/</w:t>
      </w:r>
      <w:r w:rsidRPr="004C2A3C">
        <w:rPr>
          <w:i/>
          <w:color w:val="000000" w:themeColor="text1"/>
          <w:lang w:val="en-US"/>
        </w:rPr>
        <w:t>026119290803600105.</w:t>
      </w:r>
    </w:p>
    <w:p w14:paraId="38754BDD" w14:textId="77777777" w:rsidR="00233091" w:rsidRPr="004C2A3C" w:rsidRDefault="00233091" w:rsidP="00233091">
      <w:pPr>
        <w:tabs>
          <w:tab w:val="left" w:pos="1560"/>
          <w:tab w:val="left" w:pos="2835"/>
        </w:tabs>
        <w:spacing w:after="240"/>
        <w:ind w:left="2268" w:right="1134"/>
        <w:jc w:val="both"/>
        <w:rPr>
          <w:i/>
          <w:color w:val="000000" w:themeColor="text1"/>
          <w:lang w:val="en-US"/>
        </w:rPr>
      </w:pPr>
      <w:proofErr w:type="spellStart"/>
      <w:r w:rsidRPr="004C2A3C">
        <w:rPr>
          <w:i/>
          <w:color w:val="000000" w:themeColor="text1"/>
          <w:lang w:val="en-US"/>
        </w:rPr>
        <w:t>Harbell</w:t>
      </w:r>
      <w:proofErr w:type="spellEnd"/>
      <w:r w:rsidRPr="004C2A3C">
        <w:rPr>
          <w:i/>
          <w:color w:val="000000" w:themeColor="text1"/>
          <w:lang w:val="en-US"/>
        </w:rPr>
        <w:t xml:space="preserve">, J.W., R. Osborne, G.J. </w:t>
      </w:r>
      <w:proofErr w:type="spellStart"/>
      <w:r w:rsidRPr="004C2A3C">
        <w:rPr>
          <w:i/>
          <w:color w:val="000000" w:themeColor="text1"/>
          <w:lang w:val="en-US"/>
        </w:rPr>
        <w:t>Carr</w:t>
      </w:r>
      <w:proofErr w:type="spellEnd"/>
      <w:r w:rsidRPr="004C2A3C">
        <w:rPr>
          <w:i/>
          <w:color w:val="000000" w:themeColor="text1"/>
          <w:lang w:val="en-US"/>
        </w:rPr>
        <w:t xml:space="preserve"> et A. Peterson. 1999. Assessment of the </w:t>
      </w:r>
      <w:proofErr w:type="spellStart"/>
      <w:r w:rsidRPr="004C2A3C">
        <w:rPr>
          <w:i/>
          <w:color w:val="000000" w:themeColor="text1"/>
          <w:lang w:val="en-US"/>
        </w:rPr>
        <w:t>Cytosensor</w:t>
      </w:r>
      <w:proofErr w:type="spellEnd"/>
      <w:r w:rsidRPr="004C2A3C">
        <w:rPr>
          <w:i/>
          <w:color w:val="000000" w:themeColor="text1"/>
          <w:lang w:val="en-US"/>
        </w:rPr>
        <w:t xml:space="preserve"> </w:t>
      </w:r>
      <w:proofErr w:type="spellStart"/>
      <w:r w:rsidRPr="004C2A3C">
        <w:rPr>
          <w:i/>
          <w:color w:val="000000" w:themeColor="text1"/>
          <w:lang w:val="en-US"/>
        </w:rPr>
        <w:t>Microphysiometer</w:t>
      </w:r>
      <w:proofErr w:type="spellEnd"/>
      <w:r w:rsidRPr="004C2A3C">
        <w:rPr>
          <w:i/>
          <w:color w:val="000000" w:themeColor="text1"/>
          <w:lang w:val="en-US"/>
        </w:rPr>
        <w:t xml:space="preserve"> Assay in the COLIPA In vitro Eye Irritation Validation Study. </w:t>
      </w:r>
      <w:proofErr w:type="spellStart"/>
      <w:r w:rsidRPr="004C2A3C">
        <w:rPr>
          <w:i/>
          <w:color w:val="000000" w:themeColor="text1"/>
          <w:lang w:val="en-US"/>
        </w:rPr>
        <w:t>Toxicol</w:t>
      </w:r>
      <w:proofErr w:type="spellEnd"/>
      <w:r w:rsidRPr="004C2A3C">
        <w:rPr>
          <w:i/>
          <w:color w:val="000000" w:themeColor="text1"/>
          <w:lang w:val="en-US"/>
        </w:rPr>
        <w:t xml:space="preserve">. In vitro, 13(2): 313-323. </w:t>
      </w:r>
      <w:proofErr w:type="spellStart"/>
      <w:r w:rsidRPr="004C2A3C">
        <w:rPr>
          <w:i/>
          <w:color w:val="000000" w:themeColor="text1"/>
          <w:lang w:val="en-US"/>
        </w:rPr>
        <w:t>doi</w:t>
      </w:r>
      <w:proofErr w:type="spellEnd"/>
      <w:r w:rsidRPr="004C2A3C">
        <w:rPr>
          <w:i/>
          <w:color w:val="000000" w:themeColor="text1"/>
          <w:lang w:val="en-US"/>
        </w:rPr>
        <w:t>: 10.1016</w:t>
      </w:r>
      <w:r w:rsidRPr="004C2A3C">
        <w:rPr>
          <w:color w:val="000000" w:themeColor="text1"/>
          <w:lang w:val="en-US"/>
        </w:rPr>
        <w:t>/</w:t>
      </w:r>
      <w:r w:rsidRPr="004C2A3C">
        <w:rPr>
          <w:i/>
          <w:color w:val="000000" w:themeColor="text1"/>
          <w:lang w:val="en-US"/>
        </w:rPr>
        <w:t>s0887-2333(98)00090-3.</w:t>
      </w:r>
    </w:p>
    <w:p w14:paraId="06EC2D3D" w14:textId="77777777" w:rsidR="00233091" w:rsidRPr="004C2A3C" w:rsidRDefault="00233091" w:rsidP="00233091">
      <w:pPr>
        <w:tabs>
          <w:tab w:val="left" w:pos="1560"/>
          <w:tab w:val="left" w:pos="2835"/>
        </w:tabs>
        <w:spacing w:after="240"/>
        <w:ind w:left="2268" w:right="1134"/>
        <w:jc w:val="both"/>
        <w:rPr>
          <w:i/>
          <w:color w:val="000000" w:themeColor="text1"/>
          <w:lang w:val="en-US"/>
        </w:rPr>
      </w:pPr>
      <w:r w:rsidRPr="004C2A3C">
        <w:rPr>
          <w:i/>
          <w:color w:val="000000" w:themeColor="text1"/>
          <w:lang w:val="en-US"/>
        </w:rPr>
        <w:t xml:space="preserve">Hartung, T., L. Bruner, R. </w:t>
      </w:r>
      <w:proofErr w:type="spellStart"/>
      <w:r w:rsidRPr="004C2A3C">
        <w:rPr>
          <w:i/>
          <w:color w:val="000000" w:themeColor="text1"/>
          <w:lang w:val="en-US"/>
        </w:rPr>
        <w:t>Curren</w:t>
      </w:r>
      <w:proofErr w:type="spellEnd"/>
      <w:r w:rsidRPr="004C2A3C">
        <w:rPr>
          <w:i/>
          <w:color w:val="000000" w:themeColor="text1"/>
          <w:lang w:val="en-US"/>
        </w:rPr>
        <w:t xml:space="preserve">, C. </w:t>
      </w:r>
      <w:proofErr w:type="spellStart"/>
      <w:r w:rsidRPr="004C2A3C">
        <w:rPr>
          <w:i/>
          <w:color w:val="000000" w:themeColor="text1"/>
          <w:lang w:val="en-US"/>
        </w:rPr>
        <w:t>Eskes</w:t>
      </w:r>
      <w:proofErr w:type="spellEnd"/>
      <w:r w:rsidRPr="004C2A3C">
        <w:rPr>
          <w:i/>
          <w:color w:val="000000" w:themeColor="text1"/>
          <w:lang w:val="en-US"/>
        </w:rPr>
        <w:t xml:space="preserve">, A. Goldberg, P. McNamee, L. Scott et V. </w:t>
      </w:r>
      <w:proofErr w:type="spellStart"/>
      <w:r w:rsidRPr="004C2A3C">
        <w:rPr>
          <w:i/>
          <w:color w:val="000000" w:themeColor="text1"/>
          <w:lang w:val="en-US"/>
        </w:rPr>
        <w:t>Zuang</w:t>
      </w:r>
      <w:proofErr w:type="spellEnd"/>
      <w:r w:rsidRPr="004C2A3C">
        <w:rPr>
          <w:i/>
          <w:color w:val="000000" w:themeColor="text1"/>
          <w:lang w:val="en-US"/>
        </w:rPr>
        <w:t xml:space="preserve">. 2010. First alternative method validated by a retrospective weight-of-evidence approach to replace the Draize eye test for the identification of non-irritant substances for a defined applicability domain. ALTEX, 27(1): 43-51. </w:t>
      </w:r>
      <w:proofErr w:type="spellStart"/>
      <w:r w:rsidRPr="004C2A3C">
        <w:rPr>
          <w:i/>
          <w:color w:val="000000" w:themeColor="text1"/>
          <w:lang w:val="en-US"/>
        </w:rPr>
        <w:t>doi</w:t>
      </w:r>
      <w:proofErr w:type="spellEnd"/>
      <w:r w:rsidRPr="004C2A3C">
        <w:rPr>
          <w:i/>
          <w:color w:val="000000" w:themeColor="text1"/>
          <w:lang w:val="en-US"/>
        </w:rPr>
        <w:t>: 10.14573</w:t>
      </w:r>
      <w:r w:rsidRPr="004C2A3C">
        <w:rPr>
          <w:color w:val="000000" w:themeColor="text1"/>
          <w:lang w:val="en-US"/>
        </w:rPr>
        <w:t>/</w:t>
      </w:r>
      <w:r w:rsidRPr="004C2A3C">
        <w:rPr>
          <w:i/>
          <w:color w:val="000000" w:themeColor="text1"/>
          <w:lang w:val="en-US"/>
        </w:rPr>
        <w:t>altex.2010.1.43.</w:t>
      </w:r>
    </w:p>
    <w:p w14:paraId="2D90295F" w14:textId="77777777" w:rsidR="00233091" w:rsidRPr="004C2A3C" w:rsidRDefault="00233091" w:rsidP="00233091">
      <w:pPr>
        <w:tabs>
          <w:tab w:val="left" w:pos="1560"/>
          <w:tab w:val="left" w:pos="2835"/>
        </w:tabs>
        <w:spacing w:after="240"/>
        <w:ind w:left="2268" w:right="1134"/>
        <w:jc w:val="both"/>
        <w:rPr>
          <w:i/>
          <w:color w:val="000000" w:themeColor="text1"/>
          <w:lang w:val="en-US"/>
        </w:rPr>
      </w:pPr>
      <w:r w:rsidRPr="004C2A3C">
        <w:rPr>
          <w:i/>
          <w:color w:val="000000" w:themeColor="text1"/>
          <w:lang w:val="en-US"/>
        </w:rPr>
        <w:t xml:space="preserve">ICCVAM. 2007. ICCVAM test method evaluation report: in vitro ocular toxicity test methods for identifying ocular severe irritants and corrosives. NIH Publication No. 07–4517. National Institute of Environmental Health Sciences, Research Triangle Park, Caroline du Nord, </w:t>
      </w:r>
      <w:proofErr w:type="spellStart"/>
      <w:r w:rsidRPr="004C2A3C">
        <w:rPr>
          <w:i/>
          <w:color w:val="000000" w:themeColor="text1"/>
          <w:lang w:val="en-US"/>
        </w:rPr>
        <w:t>États</w:t>
      </w:r>
      <w:proofErr w:type="spellEnd"/>
      <w:r w:rsidRPr="004C2A3C">
        <w:rPr>
          <w:i/>
          <w:color w:val="000000" w:themeColor="text1"/>
          <w:lang w:val="en-US"/>
        </w:rPr>
        <w:t xml:space="preserve">-Unis </w:t>
      </w:r>
      <w:proofErr w:type="spellStart"/>
      <w:r w:rsidRPr="004C2A3C">
        <w:rPr>
          <w:i/>
          <w:color w:val="000000" w:themeColor="text1"/>
          <w:lang w:val="en-US"/>
        </w:rPr>
        <w:t>d</w:t>
      </w:r>
      <w:r>
        <w:rPr>
          <w:i/>
          <w:color w:val="000000" w:themeColor="text1"/>
          <w:lang w:val="en-US"/>
        </w:rPr>
        <w:t>’</w:t>
      </w:r>
      <w:r w:rsidRPr="004C2A3C">
        <w:rPr>
          <w:i/>
          <w:color w:val="000000" w:themeColor="text1"/>
          <w:lang w:val="en-US"/>
        </w:rPr>
        <w:t>Amérique</w:t>
      </w:r>
      <w:proofErr w:type="spellEnd"/>
      <w:r w:rsidRPr="004C2A3C">
        <w:rPr>
          <w:i/>
          <w:color w:val="000000" w:themeColor="text1"/>
          <w:lang w:val="en-US"/>
        </w:rPr>
        <w:t>.</w:t>
      </w:r>
    </w:p>
    <w:p w14:paraId="0E8FDB6F" w14:textId="77777777" w:rsidR="00233091" w:rsidRPr="004C2A3C" w:rsidRDefault="00233091" w:rsidP="00233091">
      <w:pPr>
        <w:tabs>
          <w:tab w:val="left" w:pos="1560"/>
          <w:tab w:val="left" w:pos="2835"/>
        </w:tabs>
        <w:spacing w:after="240"/>
        <w:ind w:left="2268" w:right="1134"/>
        <w:jc w:val="both"/>
        <w:rPr>
          <w:i/>
          <w:color w:val="000000" w:themeColor="text1"/>
          <w:lang w:val="en-US"/>
        </w:rPr>
      </w:pPr>
      <w:r w:rsidRPr="004C2A3C">
        <w:rPr>
          <w:i/>
          <w:color w:val="000000" w:themeColor="text1"/>
          <w:lang w:val="en-US"/>
        </w:rPr>
        <w:t xml:space="preserve">ICCVAM. 2010. ICCVAM test method evaluation report: current validation status of in vitro test methods proposed for identifying eye injury hazard potential of chemicals and products. NIH Publication No. 10-7553. National Institute of Environmental Health Sciences, Research Triangle Park, Caroline du Nord, </w:t>
      </w:r>
      <w:proofErr w:type="spellStart"/>
      <w:r w:rsidRPr="004C2A3C">
        <w:rPr>
          <w:i/>
          <w:color w:val="000000" w:themeColor="text1"/>
          <w:lang w:val="en-US"/>
        </w:rPr>
        <w:t>États</w:t>
      </w:r>
      <w:proofErr w:type="spellEnd"/>
      <w:r w:rsidRPr="004C2A3C">
        <w:rPr>
          <w:i/>
          <w:color w:val="000000" w:themeColor="text1"/>
          <w:lang w:val="en-US"/>
        </w:rPr>
        <w:t xml:space="preserve">-Unis </w:t>
      </w:r>
      <w:proofErr w:type="spellStart"/>
      <w:r w:rsidRPr="004C2A3C">
        <w:rPr>
          <w:i/>
          <w:color w:val="000000" w:themeColor="text1"/>
          <w:lang w:val="en-US"/>
        </w:rPr>
        <w:t>d</w:t>
      </w:r>
      <w:r>
        <w:rPr>
          <w:i/>
          <w:color w:val="000000" w:themeColor="text1"/>
          <w:lang w:val="en-US"/>
        </w:rPr>
        <w:t>’</w:t>
      </w:r>
      <w:r w:rsidRPr="004C2A3C">
        <w:rPr>
          <w:i/>
          <w:color w:val="000000" w:themeColor="text1"/>
          <w:lang w:val="en-US"/>
        </w:rPr>
        <w:t>Amérique</w:t>
      </w:r>
      <w:proofErr w:type="spellEnd"/>
      <w:r w:rsidRPr="004C2A3C">
        <w:rPr>
          <w:i/>
          <w:color w:val="000000" w:themeColor="text1"/>
          <w:lang w:val="en-US"/>
        </w:rPr>
        <w:t>.</w:t>
      </w:r>
    </w:p>
    <w:p w14:paraId="3FE1F476" w14:textId="77777777" w:rsidR="00233091" w:rsidRPr="004C2A3C" w:rsidRDefault="00233091" w:rsidP="00233091">
      <w:pPr>
        <w:tabs>
          <w:tab w:val="left" w:pos="1560"/>
          <w:tab w:val="left" w:pos="2835"/>
        </w:tabs>
        <w:spacing w:after="240"/>
        <w:ind w:left="2268" w:right="1134"/>
        <w:jc w:val="both"/>
        <w:rPr>
          <w:i/>
          <w:color w:val="000000" w:themeColor="text1"/>
          <w:lang w:val="en-US"/>
        </w:rPr>
      </w:pPr>
      <w:proofErr w:type="spellStart"/>
      <w:r w:rsidRPr="004C2A3C">
        <w:rPr>
          <w:i/>
          <w:color w:val="000000" w:themeColor="text1"/>
          <w:lang w:val="en-US"/>
        </w:rPr>
        <w:t>Kandarova</w:t>
      </w:r>
      <w:proofErr w:type="spellEnd"/>
      <w:r w:rsidRPr="004C2A3C">
        <w:rPr>
          <w:i/>
          <w:color w:val="000000" w:themeColor="text1"/>
          <w:lang w:val="en-US"/>
        </w:rPr>
        <w:t xml:space="preserve">, H., S. </w:t>
      </w:r>
      <w:proofErr w:type="spellStart"/>
      <w:r w:rsidRPr="004C2A3C">
        <w:rPr>
          <w:i/>
          <w:color w:val="000000" w:themeColor="text1"/>
          <w:lang w:val="en-US"/>
        </w:rPr>
        <w:t>Letasiova</w:t>
      </w:r>
      <w:proofErr w:type="spellEnd"/>
      <w:r w:rsidRPr="004C2A3C">
        <w:rPr>
          <w:i/>
          <w:color w:val="000000" w:themeColor="text1"/>
          <w:lang w:val="en-US"/>
        </w:rPr>
        <w:t xml:space="preserve">, E. </w:t>
      </w:r>
      <w:proofErr w:type="spellStart"/>
      <w:r w:rsidRPr="004C2A3C">
        <w:rPr>
          <w:i/>
          <w:color w:val="000000" w:themeColor="text1"/>
          <w:lang w:val="en-US"/>
        </w:rPr>
        <w:t>Adriaens</w:t>
      </w:r>
      <w:proofErr w:type="spellEnd"/>
      <w:r w:rsidRPr="004C2A3C">
        <w:rPr>
          <w:i/>
          <w:color w:val="000000" w:themeColor="text1"/>
          <w:lang w:val="en-US"/>
        </w:rPr>
        <w:t xml:space="preserve">, R. Guest, J.A. Willoughby Sr., A. </w:t>
      </w:r>
      <w:proofErr w:type="spellStart"/>
      <w:r w:rsidRPr="004C2A3C">
        <w:rPr>
          <w:i/>
          <w:color w:val="000000" w:themeColor="text1"/>
          <w:lang w:val="en-US"/>
        </w:rPr>
        <w:t>Drzewiecka</w:t>
      </w:r>
      <w:proofErr w:type="spellEnd"/>
      <w:r w:rsidRPr="004C2A3C">
        <w:rPr>
          <w:i/>
          <w:color w:val="000000" w:themeColor="text1"/>
          <w:lang w:val="en-US"/>
        </w:rPr>
        <w:t xml:space="preserve">, K. </w:t>
      </w:r>
      <w:proofErr w:type="spellStart"/>
      <w:r w:rsidRPr="004C2A3C">
        <w:rPr>
          <w:i/>
          <w:color w:val="000000" w:themeColor="text1"/>
          <w:lang w:val="en-US"/>
        </w:rPr>
        <w:t>Gruszka</w:t>
      </w:r>
      <w:proofErr w:type="spellEnd"/>
      <w:r w:rsidRPr="004C2A3C">
        <w:rPr>
          <w:i/>
          <w:color w:val="000000" w:themeColor="text1"/>
          <w:lang w:val="en-US"/>
        </w:rPr>
        <w:t xml:space="preserve">, N. </w:t>
      </w:r>
      <w:proofErr w:type="spellStart"/>
      <w:r w:rsidRPr="004C2A3C">
        <w:rPr>
          <w:i/>
          <w:color w:val="000000" w:themeColor="text1"/>
          <w:lang w:val="en-US"/>
        </w:rPr>
        <w:t>Alépée</w:t>
      </w:r>
      <w:proofErr w:type="spellEnd"/>
      <w:r w:rsidRPr="004C2A3C">
        <w:rPr>
          <w:i/>
          <w:color w:val="000000" w:themeColor="text1"/>
          <w:lang w:val="en-US"/>
        </w:rPr>
        <w:t xml:space="preserve">, S. </w:t>
      </w:r>
      <w:proofErr w:type="spellStart"/>
      <w:r w:rsidRPr="004C2A3C">
        <w:rPr>
          <w:i/>
          <w:color w:val="000000" w:themeColor="text1"/>
          <w:lang w:val="en-US"/>
        </w:rPr>
        <w:t>Verstraelen</w:t>
      </w:r>
      <w:proofErr w:type="spellEnd"/>
      <w:r w:rsidRPr="004C2A3C">
        <w:rPr>
          <w:i/>
          <w:color w:val="000000" w:themeColor="text1"/>
          <w:lang w:val="en-US"/>
        </w:rPr>
        <w:t xml:space="preserve"> et A.R. Van </w:t>
      </w:r>
      <w:proofErr w:type="spellStart"/>
      <w:r w:rsidRPr="004C2A3C">
        <w:rPr>
          <w:i/>
          <w:color w:val="000000" w:themeColor="text1"/>
          <w:lang w:val="en-US"/>
        </w:rPr>
        <w:t>Rompay</w:t>
      </w:r>
      <w:proofErr w:type="spellEnd"/>
      <w:r w:rsidRPr="004C2A3C">
        <w:rPr>
          <w:i/>
          <w:color w:val="000000" w:themeColor="text1"/>
          <w:lang w:val="en-US"/>
        </w:rPr>
        <w:t xml:space="preserve">. 2018. CON4EI: </w:t>
      </w:r>
      <w:proofErr w:type="spellStart"/>
      <w:r w:rsidRPr="004C2A3C">
        <w:rPr>
          <w:i/>
          <w:color w:val="000000" w:themeColor="text1"/>
          <w:lang w:val="en-US"/>
        </w:rPr>
        <w:t>CONsortium</w:t>
      </w:r>
      <w:proofErr w:type="spellEnd"/>
      <w:r w:rsidRPr="004C2A3C">
        <w:rPr>
          <w:i/>
          <w:color w:val="000000" w:themeColor="text1"/>
          <w:lang w:val="en-US"/>
        </w:rPr>
        <w:t xml:space="preserve"> for in vitro Eye Irritation testing strategy − </w:t>
      </w:r>
      <w:proofErr w:type="spellStart"/>
      <w:r w:rsidRPr="004C2A3C">
        <w:rPr>
          <w:i/>
          <w:color w:val="000000" w:themeColor="text1"/>
          <w:lang w:val="en-US"/>
        </w:rPr>
        <w:t>EpiOcular</w:t>
      </w:r>
      <w:proofErr w:type="spellEnd"/>
      <w:r w:rsidRPr="004C2A3C">
        <w:rPr>
          <w:i/>
          <w:color w:val="000000" w:themeColor="text1"/>
          <w:lang w:val="en-US"/>
        </w:rPr>
        <w:t>™ time-to-toxicity (</w:t>
      </w:r>
      <w:proofErr w:type="spellStart"/>
      <w:r w:rsidRPr="004C2A3C">
        <w:rPr>
          <w:i/>
          <w:color w:val="000000" w:themeColor="text1"/>
          <w:lang w:val="en-US"/>
        </w:rPr>
        <w:t>EpiOcular</w:t>
      </w:r>
      <w:proofErr w:type="spellEnd"/>
      <w:r w:rsidRPr="004C2A3C">
        <w:rPr>
          <w:i/>
          <w:color w:val="000000" w:themeColor="text1"/>
          <w:lang w:val="en-US"/>
        </w:rPr>
        <w:t xml:space="preserve"> ET-50) protocols for hazard identification and labelling of eye irritating chemicals. </w:t>
      </w:r>
      <w:proofErr w:type="spellStart"/>
      <w:r w:rsidRPr="004C2A3C">
        <w:rPr>
          <w:i/>
          <w:color w:val="000000" w:themeColor="text1"/>
          <w:lang w:val="en-US"/>
        </w:rPr>
        <w:t>Toxicol</w:t>
      </w:r>
      <w:proofErr w:type="spellEnd"/>
      <w:r w:rsidRPr="004C2A3C">
        <w:rPr>
          <w:i/>
          <w:color w:val="000000" w:themeColor="text1"/>
          <w:lang w:val="en-US"/>
        </w:rPr>
        <w:t xml:space="preserve">. In vitro, 49: 34-52. </w:t>
      </w:r>
      <w:proofErr w:type="spellStart"/>
      <w:r w:rsidRPr="004C2A3C">
        <w:rPr>
          <w:i/>
          <w:color w:val="000000" w:themeColor="text1"/>
          <w:lang w:val="en-US"/>
        </w:rPr>
        <w:t>doi</w:t>
      </w:r>
      <w:proofErr w:type="spellEnd"/>
      <w:r w:rsidRPr="004C2A3C">
        <w:rPr>
          <w:i/>
          <w:color w:val="000000" w:themeColor="text1"/>
          <w:lang w:val="en-US"/>
        </w:rPr>
        <w:t>: 10.1016</w:t>
      </w:r>
      <w:r w:rsidRPr="004C2A3C">
        <w:rPr>
          <w:color w:val="000000" w:themeColor="text1"/>
          <w:lang w:val="en-US"/>
        </w:rPr>
        <w:t>/</w:t>
      </w:r>
      <w:r w:rsidRPr="004C2A3C">
        <w:rPr>
          <w:i/>
          <w:color w:val="000000" w:themeColor="text1"/>
          <w:lang w:val="en-US"/>
        </w:rPr>
        <w:t>j.tiv.2017.08.019.</w:t>
      </w:r>
    </w:p>
    <w:p w14:paraId="5A6C231D" w14:textId="77777777" w:rsidR="00233091" w:rsidRPr="004C2A3C" w:rsidRDefault="00233091" w:rsidP="00233091">
      <w:pPr>
        <w:tabs>
          <w:tab w:val="left" w:pos="1560"/>
          <w:tab w:val="left" w:pos="2835"/>
        </w:tabs>
        <w:spacing w:after="240"/>
        <w:ind w:left="2268" w:right="1134"/>
        <w:jc w:val="both"/>
        <w:rPr>
          <w:i/>
          <w:color w:val="000000" w:themeColor="text1"/>
          <w:lang w:val="en-US"/>
        </w:rPr>
      </w:pPr>
      <w:r w:rsidRPr="004C2A3C">
        <w:rPr>
          <w:i/>
          <w:color w:val="000000" w:themeColor="text1"/>
          <w:lang w:val="en-US"/>
        </w:rPr>
        <w:t xml:space="preserve">Nash, J.R., G. Mun, H.A. Raabe et R. </w:t>
      </w:r>
      <w:proofErr w:type="spellStart"/>
      <w:r w:rsidRPr="004C2A3C">
        <w:rPr>
          <w:i/>
          <w:color w:val="000000" w:themeColor="text1"/>
          <w:lang w:val="en-US"/>
        </w:rPr>
        <w:t>Curren</w:t>
      </w:r>
      <w:proofErr w:type="spellEnd"/>
      <w:r w:rsidRPr="004C2A3C">
        <w:rPr>
          <w:i/>
          <w:color w:val="000000" w:themeColor="text1"/>
          <w:lang w:val="en-US"/>
        </w:rPr>
        <w:t xml:space="preserve">. 2014. Using the </w:t>
      </w:r>
      <w:proofErr w:type="spellStart"/>
      <w:r w:rsidRPr="004C2A3C">
        <w:rPr>
          <w:i/>
          <w:color w:val="000000" w:themeColor="text1"/>
          <w:lang w:val="en-US"/>
        </w:rPr>
        <w:t>cytosensor</w:t>
      </w:r>
      <w:proofErr w:type="spellEnd"/>
      <w:r w:rsidRPr="004C2A3C">
        <w:rPr>
          <w:i/>
          <w:color w:val="000000" w:themeColor="text1"/>
          <w:lang w:val="en-US"/>
        </w:rPr>
        <w:t xml:space="preserve"> </w:t>
      </w:r>
      <w:proofErr w:type="spellStart"/>
      <w:r w:rsidRPr="004C2A3C">
        <w:rPr>
          <w:i/>
          <w:color w:val="000000" w:themeColor="text1"/>
          <w:lang w:val="en-US"/>
        </w:rPr>
        <w:t>microphysiometer</w:t>
      </w:r>
      <w:proofErr w:type="spellEnd"/>
      <w:r w:rsidRPr="004C2A3C">
        <w:rPr>
          <w:i/>
          <w:color w:val="000000" w:themeColor="text1"/>
          <w:lang w:val="en-US"/>
        </w:rPr>
        <w:t xml:space="preserve"> to assess ocular toxicity. </w:t>
      </w:r>
      <w:proofErr w:type="spellStart"/>
      <w:r w:rsidRPr="004C2A3C">
        <w:rPr>
          <w:i/>
          <w:color w:val="000000" w:themeColor="text1"/>
          <w:lang w:val="en-US"/>
        </w:rPr>
        <w:t>Curr</w:t>
      </w:r>
      <w:proofErr w:type="spellEnd"/>
      <w:r w:rsidRPr="004C2A3C">
        <w:rPr>
          <w:i/>
          <w:color w:val="000000" w:themeColor="text1"/>
          <w:lang w:val="en-US"/>
        </w:rPr>
        <w:t xml:space="preserve">. </w:t>
      </w:r>
      <w:proofErr w:type="spellStart"/>
      <w:r w:rsidRPr="004C2A3C">
        <w:rPr>
          <w:i/>
          <w:color w:val="000000" w:themeColor="text1"/>
          <w:lang w:val="en-US"/>
        </w:rPr>
        <w:t>Protoc</w:t>
      </w:r>
      <w:proofErr w:type="spellEnd"/>
      <w:r w:rsidRPr="004C2A3C">
        <w:rPr>
          <w:i/>
          <w:color w:val="000000" w:themeColor="text1"/>
          <w:lang w:val="en-US"/>
        </w:rPr>
        <w:t xml:space="preserve">. </w:t>
      </w:r>
      <w:proofErr w:type="spellStart"/>
      <w:r w:rsidRPr="004C2A3C">
        <w:rPr>
          <w:i/>
          <w:color w:val="000000" w:themeColor="text1"/>
          <w:lang w:val="en-US"/>
        </w:rPr>
        <w:t>Toxicol</w:t>
      </w:r>
      <w:proofErr w:type="spellEnd"/>
      <w:r w:rsidRPr="004C2A3C">
        <w:rPr>
          <w:i/>
          <w:color w:val="000000" w:themeColor="text1"/>
          <w:lang w:val="en-US"/>
        </w:rPr>
        <w:t xml:space="preserve">. 61: 1.13.1-11. </w:t>
      </w:r>
      <w:proofErr w:type="spellStart"/>
      <w:r w:rsidRPr="004C2A3C">
        <w:rPr>
          <w:i/>
          <w:color w:val="000000" w:themeColor="text1"/>
          <w:lang w:val="en-US"/>
        </w:rPr>
        <w:t>doi</w:t>
      </w:r>
      <w:proofErr w:type="spellEnd"/>
      <w:r w:rsidRPr="004C2A3C">
        <w:rPr>
          <w:i/>
          <w:color w:val="000000" w:themeColor="text1"/>
          <w:lang w:val="en-US"/>
        </w:rPr>
        <w:t>: 10.1002</w:t>
      </w:r>
      <w:r w:rsidRPr="004C2A3C">
        <w:rPr>
          <w:color w:val="000000" w:themeColor="text1"/>
          <w:lang w:val="en-US"/>
        </w:rPr>
        <w:t xml:space="preserve">/ </w:t>
      </w:r>
      <w:r w:rsidRPr="004C2A3C">
        <w:rPr>
          <w:i/>
          <w:color w:val="000000" w:themeColor="text1"/>
          <w:lang w:val="en-US"/>
        </w:rPr>
        <w:t>0471140856.tx0113s61.</w:t>
      </w:r>
    </w:p>
    <w:p w14:paraId="018BFDFC" w14:textId="77777777" w:rsidR="00233091" w:rsidRPr="004C2A3C" w:rsidRDefault="00233091" w:rsidP="00233091">
      <w:pPr>
        <w:tabs>
          <w:tab w:val="left" w:pos="1560"/>
          <w:tab w:val="left" w:pos="2835"/>
        </w:tabs>
        <w:spacing w:after="240"/>
        <w:ind w:left="2268" w:right="1134"/>
        <w:jc w:val="both"/>
        <w:rPr>
          <w:i/>
          <w:color w:val="000000" w:themeColor="text1"/>
          <w:lang w:val="en-US"/>
        </w:rPr>
      </w:pPr>
      <w:proofErr w:type="spellStart"/>
      <w:r w:rsidRPr="004C2A3C">
        <w:rPr>
          <w:i/>
          <w:color w:val="000000" w:themeColor="text1"/>
          <w:lang w:val="en-US"/>
        </w:rPr>
        <w:t>Piehl</w:t>
      </w:r>
      <w:proofErr w:type="spellEnd"/>
      <w:r w:rsidRPr="004C2A3C">
        <w:rPr>
          <w:i/>
          <w:color w:val="000000" w:themeColor="text1"/>
          <w:lang w:val="en-US"/>
        </w:rPr>
        <w:t xml:space="preserve">, M., A. </w:t>
      </w:r>
      <w:proofErr w:type="spellStart"/>
      <w:r w:rsidRPr="004C2A3C">
        <w:rPr>
          <w:i/>
          <w:color w:val="000000" w:themeColor="text1"/>
          <w:lang w:val="en-US"/>
        </w:rPr>
        <w:t>Gilotti</w:t>
      </w:r>
      <w:proofErr w:type="spellEnd"/>
      <w:r w:rsidRPr="004C2A3C">
        <w:rPr>
          <w:i/>
          <w:color w:val="000000" w:themeColor="text1"/>
          <w:lang w:val="en-US"/>
        </w:rPr>
        <w:t xml:space="preserve">, A. Donovan, G. </w:t>
      </w:r>
      <w:proofErr w:type="spellStart"/>
      <w:r w:rsidRPr="004C2A3C">
        <w:rPr>
          <w:i/>
          <w:color w:val="000000" w:themeColor="text1"/>
          <w:lang w:val="en-US"/>
        </w:rPr>
        <w:t>DeGeorge</w:t>
      </w:r>
      <w:proofErr w:type="spellEnd"/>
      <w:r w:rsidRPr="004C2A3C">
        <w:rPr>
          <w:i/>
          <w:color w:val="000000" w:themeColor="text1"/>
          <w:lang w:val="en-US"/>
        </w:rPr>
        <w:t xml:space="preserve"> et D. </w:t>
      </w:r>
      <w:proofErr w:type="spellStart"/>
      <w:r w:rsidRPr="004C2A3C">
        <w:rPr>
          <w:i/>
          <w:color w:val="000000" w:themeColor="text1"/>
          <w:lang w:val="en-US"/>
        </w:rPr>
        <w:t>Cerven</w:t>
      </w:r>
      <w:proofErr w:type="spellEnd"/>
      <w:r w:rsidRPr="004C2A3C">
        <w:rPr>
          <w:i/>
          <w:color w:val="000000" w:themeColor="text1"/>
          <w:lang w:val="en-US"/>
        </w:rPr>
        <w:t xml:space="preserve">. 2010. Novel cultured porcine corneal irritancy assay with reversibility endpoint. </w:t>
      </w:r>
      <w:proofErr w:type="spellStart"/>
      <w:r w:rsidRPr="004C2A3C">
        <w:rPr>
          <w:i/>
          <w:color w:val="000000" w:themeColor="text1"/>
          <w:lang w:val="en-US"/>
        </w:rPr>
        <w:t>Toxicol</w:t>
      </w:r>
      <w:proofErr w:type="spellEnd"/>
      <w:r w:rsidRPr="004C2A3C">
        <w:rPr>
          <w:i/>
          <w:color w:val="000000" w:themeColor="text1"/>
          <w:lang w:val="en-US"/>
        </w:rPr>
        <w:t xml:space="preserve">. In vitro 24: 231-239. </w:t>
      </w:r>
      <w:proofErr w:type="gramStart"/>
      <w:r w:rsidRPr="004C2A3C">
        <w:rPr>
          <w:i/>
          <w:color w:val="000000" w:themeColor="text1"/>
          <w:lang w:val="en-US"/>
        </w:rPr>
        <w:t>doi:10.1016</w:t>
      </w:r>
      <w:r w:rsidRPr="004C2A3C">
        <w:rPr>
          <w:color w:val="000000" w:themeColor="text1"/>
          <w:lang w:val="en-US"/>
        </w:rPr>
        <w:t>/</w:t>
      </w:r>
      <w:r w:rsidRPr="004C2A3C">
        <w:rPr>
          <w:i/>
          <w:color w:val="000000" w:themeColor="text1"/>
          <w:lang w:val="en-US"/>
        </w:rPr>
        <w:t>j.tiv</w:t>
      </w:r>
      <w:proofErr w:type="gramEnd"/>
      <w:r w:rsidRPr="004C2A3C">
        <w:rPr>
          <w:i/>
          <w:color w:val="000000" w:themeColor="text1"/>
          <w:lang w:val="en-US"/>
        </w:rPr>
        <w:t>.2009.08.033.</w:t>
      </w:r>
    </w:p>
    <w:p w14:paraId="729B55FB" w14:textId="77777777" w:rsidR="00233091" w:rsidRPr="004C2A3C" w:rsidRDefault="00233091" w:rsidP="00233091">
      <w:pPr>
        <w:tabs>
          <w:tab w:val="left" w:pos="1560"/>
          <w:tab w:val="left" w:pos="2835"/>
        </w:tabs>
        <w:spacing w:after="240"/>
        <w:ind w:left="2268" w:right="1134"/>
        <w:jc w:val="both"/>
        <w:rPr>
          <w:i/>
          <w:color w:val="000000" w:themeColor="text1"/>
          <w:lang w:val="en-US"/>
        </w:rPr>
      </w:pPr>
      <w:proofErr w:type="spellStart"/>
      <w:r w:rsidRPr="004C2A3C">
        <w:rPr>
          <w:i/>
          <w:color w:val="000000" w:themeColor="text1"/>
          <w:lang w:val="en-US"/>
        </w:rPr>
        <w:t>Piehl</w:t>
      </w:r>
      <w:proofErr w:type="spellEnd"/>
      <w:r w:rsidRPr="004C2A3C">
        <w:rPr>
          <w:i/>
          <w:color w:val="000000" w:themeColor="text1"/>
          <w:lang w:val="en-US"/>
        </w:rPr>
        <w:t xml:space="preserve">, M., M. </w:t>
      </w:r>
      <w:proofErr w:type="spellStart"/>
      <w:r w:rsidRPr="004C2A3C">
        <w:rPr>
          <w:i/>
          <w:color w:val="000000" w:themeColor="text1"/>
          <w:lang w:val="en-US"/>
        </w:rPr>
        <w:t>Carathers</w:t>
      </w:r>
      <w:proofErr w:type="spellEnd"/>
      <w:r w:rsidRPr="004C2A3C">
        <w:rPr>
          <w:i/>
          <w:color w:val="000000" w:themeColor="text1"/>
          <w:lang w:val="en-US"/>
        </w:rPr>
        <w:t xml:space="preserve">, R. Soda, D. </w:t>
      </w:r>
      <w:proofErr w:type="spellStart"/>
      <w:r w:rsidRPr="004C2A3C">
        <w:rPr>
          <w:i/>
          <w:color w:val="000000" w:themeColor="text1"/>
          <w:lang w:val="en-US"/>
        </w:rPr>
        <w:t>Cerven</w:t>
      </w:r>
      <w:proofErr w:type="spellEnd"/>
      <w:r w:rsidRPr="004C2A3C">
        <w:rPr>
          <w:i/>
          <w:color w:val="000000" w:themeColor="text1"/>
          <w:lang w:val="en-US"/>
        </w:rPr>
        <w:t xml:space="preserve"> et G. </w:t>
      </w:r>
      <w:proofErr w:type="spellStart"/>
      <w:r w:rsidRPr="004C2A3C">
        <w:rPr>
          <w:i/>
          <w:color w:val="000000" w:themeColor="text1"/>
          <w:lang w:val="en-US"/>
        </w:rPr>
        <w:t>DeGeorge</w:t>
      </w:r>
      <w:proofErr w:type="spellEnd"/>
      <w:r w:rsidRPr="004C2A3C">
        <w:rPr>
          <w:i/>
          <w:color w:val="000000" w:themeColor="text1"/>
          <w:lang w:val="en-US"/>
        </w:rPr>
        <w:t>. 2011. Porcine corneal ocular reversibility assay (</w:t>
      </w:r>
      <w:proofErr w:type="spellStart"/>
      <w:r w:rsidRPr="004C2A3C">
        <w:rPr>
          <w:i/>
          <w:color w:val="000000" w:themeColor="text1"/>
          <w:lang w:val="en-US"/>
        </w:rPr>
        <w:t>PorCORA</w:t>
      </w:r>
      <w:proofErr w:type="spellEnd"/>
      <w:r w:rsidRPr="004C2A3C">
        <w:rPr>
          <w:i/>
          <w:color w:val="000000" w:themeColor="text1"/>
          <w:lang w:val="en-US"/>
        </w:rPr>
        <w:t xml:space="preserve">) predicts ocular damage and recovery for global regulatory agency hazard categories. </w:t>
      </w:r>
      <w:proofErr w:type="spellStart"/>
      <w:r w:rsidRPr="004C2A3C">
        <w:rPr>
          <w:i/>
          <w:color w:val="000000" w:themeColor="text1"/>
          <w:lang w:val="en-US"/>
        </w:rPr>
        <w:t>Toxicol</w:t>
      </w:r>
      <w:proofErr w:type="spellEnd"/>
      <w:r w:rsidRPr="004C2A3C">
        <w:rPr>
          <w:i/>
          <w:color w:val="000000" w:themeColor="text1"/>
          <w:lang w:val="en-US"/>
        </w:rPr>
        <w:t xml:space="preserve">. In vitro, 25: 1912-1918. </w:t>
      </w:r>
      <w:proofErr w:type="gramStart"/>
      <w:r w:rsidRPr="004C2A3C">
        <w:rPr>
          <w:i/>
          <w:color w:val="000000" w:themeColor="text1"/>
          <w:lang w:val="en-US"/>
        </w:rPr>
        <w:t>doi:10.1016</w:t>
      </w:r>
      <w:r w:rsidRPr="004C2A3C">
        <w:rPr>
          <w:color w:val="000000" w:themeColor="text1"/>
          <w:lang w:val="en-US"/>
        </w:rPr>
        <w:t>/</w:t>
      </w:r>
      <w:r w:rsidRPr="004C2A3C">
        <w:rPr>
          <w:i/>
          <w:color w:val="000000" w:themeColor="text1"/>
          <w:lang w:val="en-US"/>
        </w:rPr>
        <w:t>j.tiv</w:t>
      </w:r>
      <w:proofErr w:type="gramEnd"/>
      <w:r w:rsidRPr="004C2A3C">
        <w:rPr>
          <w:i/>
          <w:color w:val="000000" w:themeColor="text1"/>
          <w:lang w:val="en-US"/>
        </w:rPr>
        <w:t>.2011.06.008.</w:t>
      </w:r>
    </w:p>
    <w:p w14:paraId="4C3E692F" w14:textId="77777777" w:rsidR="00233091" w:rsidRPr="004C2A3C" w:rsidRDefault="00233091" w:rsidP="00233091">
      <w:pPr>
        <w:tabs>
          <w:tab w:val="left" w:pos="1560"/>
          <w:tab w:val="left" w:pos="2835"/>
        </w:tabs>
        <w:spacing w:after="240"/>
        <w:ind w:left="2268" w:right="1134"/>
        <w:jc w:val="both"/>
        <w:rPr>
          <w:i/>
          <w:color w:val="000000" w:themeColor="text1"/>
          <w:lang w:val="en-US"/>
        </w:rPr>
      </w:pPr>
      <w:r w:rsidRPr="004C2A3C">
        <w:rPr>
          <w:i/>
          <w:color w:val="000000" w:themeColor="text1"/>
          <w:lang w:val="en-US"/>
        </w:rPr>
        <w:t>Reader, S.J., V. Blackwell, R. O</w:t>
      </w:r>
      <w:r>
        <w:rPr>
          <w:i/>
          <w:color w:val="000000" w:themeColor="text1"/>
          <w:lang w:val="en-US"/>
        </w:rPr>
        <w:t>’</w:t>
      </w:r>
      <w:r w:rsidRPr="004C2A3C">
        <w:rPr>
          <w:i/>
          <w:color w:val="000000" w:themeColor="text1"/>
          <w:lang w:val="en-US"/>
        </w:rPr>
        <w:t xml:space="preserve">Hara, R.H. Clothier, G. Griffin et M. Balls. 1989. A vital dye release method for assessing the short-term cytotoxic effects of chemicals and formulations. Altern. Lab. Anim., 17: 28-33. </w:t>
      </w:r>
      <w:proofErr w:type="spellStart"/>
      <w:r w:rsidRPr="004C2A3C">
        <w:rPr>
          <w:i/>
          <w:color w:val="000000" w:themeColor="text1"/>
          <w:lang w:val="en-US"/>
        </w:rPr>
        <w:t>doi</w:t>
      </w:r>
      <w:proofErr w:type="spellEnd"/>
      <w:r w:rsidRPr="004C2A3C">
        <w:rPr>
          <w:i/>
          <w:color w:val="000000" w:themeColor="text1"/>
          <w:lang w:val="en-US"/>
        </w:rPr>
        <w:t>: 10.1177</w:t>
      </w:r>
      <w:r w:rsidRPr="004C2A3C">
        <w:rPr>
          <w:color w:val="000000" w:themeColor="text1"/>
          <w:lang w:val="en-US"/>
        </w:rPr>
        <w:t>/</w:t>
      </w:r>
      <w:r w:rsidRPr="004C2A3C">
        <w:rPr>
          <w:i/>
          <w:color w:val="000000" w:themeColor="text1"/>
          <w:lang w:val="en-US"/>
        </w:rPr>
        <w:t>026119298901700106.</w:t>
      </w:r>
    </w:p>
    <w:p w14:paraId="1155FDC7" w14:textId="77777777" w:rsidR="00233091" w:rsidRPr="004C2A3C" w:rsidRDefault="00233091" w:rsidP="00233091">
      <w:pPr>
        <w:tabs>
          <w:tab w:val="left" w:pos="1560"/>
          <w:tab w:val="left" w:pos="2835"/>
        </w:tabs>
        <w:spacing w:after="240"/>
        <w:ind w:left="2268" w:right="1134"/>
        <w:jc w:val="both"/>
        <w:rPr>
          <w:i/>
          <w:color w:val="000000" w:themeColor="text1"/>
          <w:lang w:val="en-US"/>
        </w:rPr>
      </w:pPr>
      <w:r w:rsidRPr="004C2A3C">
        <w:rPr>
          <w:i/>
          <w:color w:val="000000" w:themeColor="text1"/>
          <w:lang w:val="en-US"/>
        </w:rPr>
        <w:t>Reader, S.J., V. Blackwell, R. O</w:t>
      </w:r>
      <w:r>
        <w:rPr>
          <w:i/>
          <w:color w:val="000000" w:themeColor="text1"/>
          <w:lang w:val="en-US"/>
        </w:rPr>
        <w:t>’</w:t>
      </w:r>
      <w:r w:rsidRPr="004C2A3C">
        <w:rPr>
          <w:i/>
          <w:color w:val="000000" w:themeColor="text1"/>
          <w:lang w:val="en-US"/>
        </w:rPr>
        <w:t xml:space="preserve">Hara, R.H. Clothier, G. Griffin et M. Balls. 1990. Neutral red release from pre-loaded cells as an in vitro approach to testing for eye irritancy potential. </w:t>
      </w:r>
      <w:proofErr w:type="spellStart"/>
      <w:r w:rsidRPr="004C2A3C">
        <w:rPr>
          <w:i/>
          <w:color w:val="000000" w:themeColor="text1"/>
          <w:lang w:val="en-US"/>
        </w:rPr>
        <w:t>Toxicol</w:t>
      </w:r>
      <w:proofErr w:type="spellEnd"/>
      <w:r w:rsidRPr="004C2A3C">
        <w:rPr>
          <w:i/>
          <w:color w:val="000000" w:themeColor="text1"/>
          <w:lang w:val="en-US"/>
        </w:rPr>
        <w:t xml:space="preserve">. In vitro, 4(4-5): 264-266. </w:t>
      </w:r>
      <w:proofErr w:type="spellStart"/>
      <w:r w:rsidRPr="004C2A3C">
        <w:rPr>
          <w:i/>
          <w:color w:val="000000" w:themeColor="text1"/>
          <w:lang w:val="en-US"/>
        </w:rPr>
        <w:t>doi</w:t>
      </w:r>
      <w:proofErr w:type="spellEnd"/>
      <w:r w:rsidRPr="004C2A3C">
        <w:rPr>
          <w:i/>
          <w:color w:val="000000" w:themeColor="text1"/>
          <w:lang w:val="en-US"/>
        </w:rPr>
        <w:t>: 10.1016</w:t>
      </w:r>
      <w:r w:rsidRPr="004C2A3C">
        <w:rPr>
          <w:color w:val="000000" w:themeColor="text1"/>
          <w:lang w:val="en-US"/>
        </w:rPr>
        <w:t>/</w:t>
      </w:r>
      <w:r w:rsidRPr="004C2A3C">
        <w:rPr>
          <w:i/>
          <w:color w:val="000000" w:themeColor="text1"/>
          <w:lang w:val="en-US"/>
        </w:rPr>
        <w:t>0887-2333(90)90060-7.</w:t>
      </w:r>
    </w:p>
    <w:p w14:paraId="2AF57CA2" w14:textId="77777777" w:rsidR="00233091" w:rsidRPr="004C2A3C" w:rsidRDefault="00233091" w:rsidP="00233091">
      <w:pPr>
        <w:tabs>
          <w:tab w:val="left" w:pos="1560"/>
          <w:tab w:val="left" w:pos="2835"/>
        </w:tabs>
        <w:spacing w:after="240"/>
        <w:ind w:left="2268" w:right="1134"/>
        <w:jc w:val="both"/>
        <w:rPr>
          <w:i/>
          <w:color w:val="000000" w:themeColor="text1"/>
          <w:lang w:val="en-US"/>
        </w:rPr>
      </w:pPr>
      <w:proofErr w:type="spellStart"/>
      <w:r w:rsidRPr="004C2A3C">
        <w:rPr>
          <w:i/>
          <w:color w:val="000000" w:themeColor="text1"/>
          <w:lang w:val="en-US"/>
        </w:rPr>
        <w:t>Settivari</w:t>
      </w:r>
      <w:proofErr w:type="spellEnd"/>
      <w:r w:rsidRPr="004C2A3C">
        <w:rPr>
          <w:i/>
          <w:color w:val="000000" w:themeColor="text1"/>
          <w:lang w:val="en-US"/>
        </w:rPr>
        <w:t xml:space="preserve">, R.S., R.A. Amado, M. </w:t>
      </w:r>
      <w:proofErr w:type="spellStart"/>
      <w:r w:rsidRPr="004C2A3C">
        <w:rPr>
          <w:i/>
          <w:color w:val="000000" w:themeColor="text1"/>
          <w:lang w:val="en-US"/>
        </w:rPr>
        <w:t>Corvaro</w:t>
      </w:r>
      <w:proofErr w:type="spellEnd"/>
      <w:r w:rsidRPr="004C2A3C">
        <w:rPr>
          <w:i/>
          <w:color w:val="000000" w:themeColor="text1"/>
          <w:lang w:val="en-US"/>
        </w:rPr>
        <w:t xml:space="preserve">, N.R. Visconti, L. Kan, E.W. Carney, D.R. </w:t>
      </w:r>
      <w:proofErr w:type="spellStart"/>
      <w:r w:rsidRPr="004C2A3C">
        <w:rPr>
          <w:i/>
          <w:color w:val="000000" w:themeColor="text1"/>
          <w:lang w:val="en-US"/>
        </w:rPr>
        <w:t>Boverhof</w:t>
      </w:r>
      <w:proofErr w:type="spellEnd"/>
      <w:r w:rsidRPr="004C2A3C">
        <w:rPr>
          <w:i/>
          <w:color w:val="000000" w:themeColor="text1"/>
          <w:lang w:val="en-US"/>
        </w:rPr>
        <w:t xml:space="preserve"> et S.C. </w:t>
      </w:r>
      <w:proofErr w:type="spellStart"/>
      <w:r w:rsidRPr="004C2A3C">
        <w:rPr>
          <w:i/>
          <w:color w:val="000000" w:themeColor="text1"/>
          <w:lang w:val="en-US"/>
        </w:rPr>
        <w:t>Gehen</w:t>
      </w:r>
      <w:proofErr w:type="spellEnd"/>
      <w:r w:rsidRPr="004C2A3C">
        <w:rPr>
          <w:i/>
          <w:color w:val="000000" w:themeColor="text1"/>
          <w:lang w:val="en-US"/>
        </w:rPr>
        <w:t xml:space="preserve">. 2016. Tiered application of the neutral red release and </w:t>
      </w:r>
      <w:proofErr w:type="spellStart"/>
      <w:r w:rsidRPr="004C2A3C">
        <w:rPr>
          <w:i/>
          <w:color w:val="000000" w:themeColor="text1"/>
          <w:lang w:val="en-US"/>
        </w:rPr>
        <w:t>EpiOcular</w:t>
      </w:r>
      <w:proofErr w:type="spellEnd"/>
      <w:r w:rsidRPr="004C2A3C">
        <w:rPr>
          <w:i/>
          <w:color w:val="000000" w:themeColor="text1"/>
          <w:lang w:val="en-US"/>
        </w:rPr>
        <w:t xml:space="preserve">™ assays for evaluating the eye irritation potential of agrochemical formulations. </w:t>
      </w:r>
      <w:proofErr w:type="spellStart"/>
      <w:r w:rsidRPr="004C2A3C">
        <w:rPr>
          <w:i/>
          <w:color w:val="000000" w:themeColor="text1"/>
          <w:lang w:val="en-US"/>
        </w:rPr>
        <w:t>Regul</w:t>
      </w:r>
      <w:proofErr w:type="spellEnd"/>
      <w:r w:rsidRPr="004C2A3C">
        <w:rPr>
          <w:i/>
          <w:color w:val="000000" w:themeColor="text1"/>
          <w:lang w:val="en-US"/>
        </w:rPr>
        <w:t xml:space="preserve">. </w:t>
      </w:r>
      <w:proofErr w:type="spellStart"/>
      <w:r w:rsidRPr="004C2A3C">
        <w:rPr>
          <w:i/>
          <w:color w:val="000000" w:themeColor="text1"/>
          <w:lang w:val="en-US"/>
        </w:rPr>
        <w:t>Toxicol</w:t>
      </w:r>
      <w:proofErr w:type="spellEnd"/>
      <w:r w:rsidRPr="004C2A3C">
        <w:rPr>
          <w:i/>
          <w:color w:val="000000" w:themeColor="text1"/>
          <w:lang w:val="en-US"/>
        </w:rPr>
        <w:t xml:space="preserve">. </w:t>
      </w:r>
      <w:proofErr w:type="spellStart"/>
      <w:r w:rsidRPr="004C2A3C">
        <w:rPr>
          <w:i/>
          <w:color w:val="000000" w:themeColor="text1"/>
          <w:lang w:val="en-US"/>
        </w:rPr>
        <w:t>Pharmacol</w:t>
      </w:r>
      <w:proofErr w:type="spellEnd"/>
      <w:r w:rsidRPr="004C2A3C">
        <w:rPr>
          <w:i/>
          <w:color w:val="000000" w:themeColor="text1"/>
          <w:lang w:val="en-US"/>
        </w:rPr>
        <w:t xml:space="preserve">., 81: 407-420. </w:t>
      </w:r>
      <w:proofErr w:type="spellStart"/>
      <w:r w:rsidRPr="004C2A3C">
        <w:rPr>
          <w:i/>
          <w:color w:val="000000" w:themeColor="text1"/>
          <w:lang w:val="en-US"/>
        </w:rPr>
        <w:t>doi</w:t>
      </w:r>
      <w:proofErr w:type="spellEnd"/>
      <w:r w:rsidRPr="004C2A3C">
        <w:rPr>
          <w:i/>
          <w:color w:val="000000" w:themeColor="text1"/>
          <w:lang w:val="en-US"/>
        </w:rPr>
        <w:t>: 10.1016</w:t>
      </w:r>
      <w:r w:rsidRPr="004C2A3C">
        <w:rPr>
          <w:color w:val="000000" w:themeColor="text1"/>
          <w:lang w:val="en-US"/>
        </w:rPr>
        <w:t>/</w:t>
      </w:r>
      <w:r w:rsidRPr="004C2A3C">
        <w:rPr>
          <w:i/>
          <w:color w:val="000000" w:themeColor="text1"/>
          <w:lang w:val="en-US"/>
        </w:rPr>
        <w:t>j.yrtph.2016.09.028.</w:t>
      </w:r>
    </w:p>
    <w:p w14:paraId="26BB1551" w14:textId="77777777" w:rsidR="00233091" w:rsidRPr="004C2A3C" w:rsidRDefault="00233091" w:rsidP="00233091">
      <w:pPr>
        <w:tabs>
          <w:tab w:val="left" w:pos="1560"/>
          <w:tab w:val="left" w:pos="2835"/>
        </w:tabs>
        <w:spacing w:after="240"/>
        <w:ind w:left="2268" w:right="1134"/>
        <w:jc w:val="both"/>
        <w:rPr>
          <w:i/>
          <w:color w:val="000000" w:themeColor="text1"/>
          <w:lang w:val="en-US"/>
        </w:rPr>
      </w:pPr>
      <w:proofErr w:type="spellStart"/>
      <w:r w:rsidRPr="004C2A3C">
        <w:rPr>
          <w:i/>
          <w:color w:val="000000" w:themeColor="text1"/>
          <w:lang w:val="en-US"/>
        </w:rPr>
        <w:t>Spielmann</w:t>
      </w:r>
      <w:proofErr w:type="spellEnd"/>
      <w:r w:rsidRPr="004C2A3C">
        <w:rPr>
          <w:i/>
          <w:color w:val="000000" w:themeColor="text1"/>
          <w:lang w:val="en-US"/>
        </w:rPr>
        <w:t xml:space="preserve">, H., S. </w:t>
      </w:r>
      <w:proofErr w:type="spellStart"/>
      <w:r w:rsidRPr="004C2A3C">
        <w:rPr>
          <w:i/>
          <w:color w:val="000000" w:themeColor="text1"/>
          <w:lang w:val="en-US"/>
        </w:rPr>
        <w:t>Kalweit</w:t>
      </w:r>
      <w:proofErr w:type="spellEnd"/>
      <w:r w:rsidRPr="004C2A3C">
        <w:rPr>
          <w:i/>
          <w:color w:val="000000" w:themeColor="text1"/>
          <w:lang w:val="en-US"/>
        </w:rPr>
        <w:t xml:space="preserve">, M. </w:t>
      </w:r>
      <w:proofErr w:type="spellStart"/>
      <w:r w:rsidRPr="004C2A3C">
        <w:rPr>
          <w:i/>
          <w:color w:val="000000" w:themeColor="text1"/>
          <w:lang w:val="en-US"/>
        </w:rPr>
        <w:t>Liebsch</w:t>
      </w:r>
      <w:proofErr w:type="spellEnd"/>
      <w:r w:rsidRPr="004C2A3C">
        <w:rPr>
          <w:i/>
          <w:color w:val="000000" w:themeColor="text1"/>
          <w:lang w:val="en-US"/>
        </w:rPr>
        <w:t xml:space="preserve">, T. </w:t>
      </w:r>
      <w:proofErr w:type="spellStart"/>
      <w:r w:rsidRPr="004C2A3C">
        <w:rPr>
          <w:i/>
          <w:color w:val="000000" w:themeColor="text1"/>
          <w:lang w:val="en-US"/>
        </w:rPr>
        <w:t>Wirnsberger</w:t>
      </w:r>
      <w:proofErr w:type="spellEnd"/>
      <w:r w:rsidRPr="004C2A3C">
        <w:rPr>
          <w:i/>
          <w:color w:val="000000" w:themeColor="text1"/>
          <w:lang w:val="en-US"/>
        </w:rPr>
        <w:t xml:space="preserve">, I. </w:t>
      </w:r>
      <w:proofErr w:type="spellStart"/>
      <w:r w:rsidRPr="004C2A3C">
        <w:rPr>
          <w:i/>
          <w:color w:val="000000" w:themeColor="text1"/>
          <w:lang w:val="en-US"/>
        </w:rPr>
        <w:t>Gerner</w:t>
      </w:r>
      <w:proofErr w:type="spellEnd"/>
      <w:r w:rsidRPr="004C2A3C">
        <w:rPr>
          <w:i/>
          <w:color w:val="000000" w:themeColor="text1"/>
          <w:lang w:val="en-US"/>
        </w:rPr>
        <w:t>, E. Bertram-</w:t>
      </w:r>
      <w:proofErr w:type="spellStart"/>
      <w:r w:rsidRPr="004C2A3C">
        <w:rPr>
          <w:i/>
          <w:color w:val="000000" w:themeColor="text1"/>
          <w:lang w:val="en-US"/>
        </w:rPr>
        <w:t>Neis</w:t>
      </w:r>
      <w:proofErr w:type="spellEnd"/>
      <w:r w:rsidRPr="004C2A3C">
        <w:rPr>
          <w:i/>
          <w:color w:val="000000" w:themeColor="text1"/>
          <w:lang w:val="en-US"/>
        </w:rPr>
        <w:t xml:space="preserve">, K. </w:t>
      </w:r>
      <w:proofErr w:type="spellStart"/>
      <w:r w:rsidRPr="004C2A3C">
        <w:rPr>
          <w:i/>
          <w:color w:val="000000" w:themeColor="text1"/>
          <w:lang w:val="en-US"/>
        </w:rPr>
        <w:t>Krauser</w:t>
      </w:r>
      <w:proofErr w:type="spellEnd"/>
      <w:r w:rsidRPr="004C2A3C">
        <w:rPr>
          <w:i/>
          <w:color w:val="000000" w:themeColor="text1"/>
          <w:lang w:val="en-US"/>
        </w:rPr>
        <w:t xml:space="preserve">, R. </w:t>
      </w:r>
      <w:proofErr w:type="spellStart"/>
      <w:r w:rsidRPr="004C2A3C">
        <w:rPr>
          <w:i/>
          <w:color w:val="000000" w:themeColor="text1"/>
          <w:lang w:val="en-US"/>
        </w:rPr>
        <w:t>Kreiling</w:t>
      </w:r>
      <w:proofErr w:type="spellEnd"/>
      <w:r w:rsidRPr="004C2A3C">
        <w:rPr>
          <w:i/>
          <w:color w:val="000000" w:themeColor="text1"/>
          <w:lang w:val="en-US"/>
        </w:rPr>
        <w:t xml:space="preserve">, H.G. </w:t>
      </w:r>
      <w:proofErr w:type="spellStart"/>
      <w:r w:rsidRPr="004C2A3C">
        <w:rPr>
          <w:i/>
          <w:color w:val="000000" w:themeColor="text1"/>
          <w:lang w:val="en-US"/>
        </w:rPr>
        <w:t>Miltenburger</w:t>
      </w:r>
      <w:proofErr w:type="spellEnd"/>
      <w:r w:rsidRPr="004C2A3C">
        <w:rPr>
          <w:i/>
          <w:color w:val="000000" w:themeColor="text1"/>
          <w:lang w:val="en-US"/>
        </w:rPr>
        <w:t xml:space="preserve">, W. Pape et W. </w:t>
      </w:r>
      <w:proofErr w:type="spellStart"/>
      <w:r w:rsidRPr="004C2A3C">
        <w:rPr>
          <w:i/>
          <w:color w:val="000000" w:themeColor="text1"/>
          <w:lang w:val="en-US"/>
        </w:rPr>
        <w:t>Steiling</w:t>
      </w:r>
      <w:proofErr w:type="spellEnd"/>
      <w:r w:rsidRPr="004C2A3C">
        <w:rPr>
          <w:i/>
          <w:color w:val="000000" w:themeColor="text1"/>
          <w:lang w:val="en-US"/>
        </w:rPr>
        <w:t xml:space="preserve">. 1993. Validation study of alternatives to the Draize eye irritation test in Germany: Cytotoxicity testing and HET-CAM test with 136 industrial chemicals. </w:t>
      </w:r>
      <w:proofErr w:type="spellStart"/>
      <w:r w:rsidRPr="004C2A3C">
        <w:rPr>
          <w:i/>
          <w:color w:val="000000" w:themeColor="text1"/>
          <w:lang w:val="en-US"/>
        </w:rPr>
        <w:t>Toxicol</w:t>
      </w:r>
      <w:proofErr w:type="spellEnd"/>
      <w:r w:rsidRPr="004C2A3C">
        <w:rPr>
          <w:i/>
          <w:color w:val="000000" w:themeColor="text1"/>
          <w:lang w:val="en-US"/>
        </w:rPr>
        <w:t xml:space="preserve">. In vitro, 7(4): 505-510. </w:t>
      </w:r>
      <w:proofErr w:type="spellStart"/>
      <w:r w:rsidRPr="004C2A3C">
        <w:rPr>
          <w:i/>
          <w:color w:val="000000" w:themeColor="text1"/>
          <w:lang w:val="en-US"/>
        </w:rPr>
        <w:t>doi</w:t>
      </w:r>
      <w:proofErr w:type="spellEnd"/>
      <w:r w:rsidRPr="004C2A3C">
        <w:rPr>
          <w:i/>
          <w:color w:val="000000" w:themeColor="text1"/>
          <w:lang w:val="en-US"/>
        </w:rPr>
        <w:t>: 10.1016</w:t>
      </w:r>
      <w:r w:rsidRPr="004C2A3C">
        <w:rPr>
          <w:color w:val="000000" w:themeColor="text1"/>
          <w:lang w:val="en-US"/>
        </w:rPr>
        <w:t>/</w:t>
      </w:r>
      <w:r w:rsidRPr="004C2A3C">
        <w:rPr>
          <w:i/>
          <w:color w:val="000000" w:themeColor="text1"/>
          <w:lang w:val="en-US"/>
        </w:rPr>
        <w:t>0887-2333(93)90055-a.</w:t>
      </w:r>
    </w:p>
    <w:p w14:paraId="722D7C52" w14:textId="77777777" w:rsidR="00233091" w:rsidRPr="004C2A3C" w:rsidRDefault="00233091" w:rsidP="00233091">
      <w:pPr>
        <w:tabs>
          <w:tab w:val="left" w:pos="1560"/>
          <w:tab w:val="left" w:pos="2835"/>
        </w:tabs>
        <w:spacing w:after="240"/>
        <w:ind w:left="2268" w:right="1134"/>
        <w:jc w:val="both"/>
        <w:rPr>
          <w:i/>
          <w:color w:val="000000" w:themeColor="text1"/>
          <w:lang w:val="en-US"/>
        </w:rPr>
      </w:pPr>
      <w:proofErr w:type="spellStart"/>
      <w:r w:rsidRPr="004C2A3C">
        <w:rPr>
          <w:i/>
          <w:color w:val="000000" w:themeColor="text1"/>
          <w:lang w:val="en-US"/>
        </w:rPr>
        <w:t>Spielmann</w:t>
      </w:r>
      <w:proofErr w:type="spellEnd"/>
      <w:r w:rsidRPr="004C2A3C">
        <w:rPr>
          <w:i/>
          <w:color w:val="000000" w:themeColor="text1"/>
          <w:lang w:val="en-US"/>
        </w:rPr>
        <w:t xml:space="preserve">, H., M. </w:t>
      </w:r>
      <w:proofErr w:type="spellStart"/>
      <w:r w:rsidRPr="004C2A3C">
        <w:rPr>
          <w:i/>
          <w:color w:val="000000" w:themeColor="text1"/>
          <w:lang w:val="en-US"/>
        </w:rPr>
        <w:t>Liebsch</w:t>
      </w:r>
      <w:proofErr w:type="spellEnd"/>
      <w:r w:rsidRPr="004C2A3C">
        <w:rPr>
          <w:i/>
          <w:color w:val="000000" w:themeColor="text1"/>
          <w:lang w:val="en-US"/>
        </w:rPr>
        <w:t xml:space="preserve">, S. </w:t>
      </w:r>
      <w:proofErr w:type="spellStart"/>
      <w:r w:rsidRPr="004C2A3C">
        <w:rPr>
          <w:i/>
          <w:color w:val="000000" w:themeColor="text1"/>
          <w:lang w:val="en-US"/>
        </w:rPr>
        <w:t>Kalweit</w:t>
      </w:r>
      <w:proofErr w:type="spellEnd"/>
      <w:r w:rsidRPr="004C2A3C">
        <w:rPr>
          <w:i/>
          <w:color w:val="000000" w:themeColor="text1"/>
          <w:lang w:val="en-US"/>
        </w:rPr>
        <w:t xml:space="preserve">, F. Moldenhauer, T. </w:t>
      </w:r>
      <w:proofErr w:type="spellStart"/>
      <w:r w:rsidRPr="004C2A3C">
        <w:rPr>
          <w:i/>
          <w:color w:val="000000" w:themeColor="text1"/>
          <w:lang w:val="en-US"/>
        </w:rPr>
        <w:t>Wirnsberger</w:t>
      </w:r>
      <w:proofErr w:type="spellEnd"/>
      <w:r w:rsidRPr="004C2A3C">
        <w:rPr>
          <w:i/>
          <w:color w:val="000000" w:themeColor="text1"/>
          <w:lang w:val="en-US"/>
        </w:rPr>
        <w:t xml:space="preserve">, H.-G. </w:t>
      </w:r>
      <w:proofErr w:type="spellStart"/>
      <w:r w:rsidRPr="004C2A3C">
        <w:rPr>
          <w:i/>
          <w:color w:val="000000" w:themeColor="text1"/>
          <w:lang w:val="en-US"/>
        </w:rPr>
        <w:t>Holzhütter</w:t>
      </w:r>
      <w:proofErr w:type="spellEnd"/>
      <w:r w:rsidRPr="004C2A3C">
        <w:rPr>
          <w:i/>
          <w:color w:val="000000" w:themeColor="text1"/>
          <w:lang w:val="en-US"/>
        </w:rPr>
        <w:t xml:space="preserve">, B. Schneider, S. Glaser, I. </w:t>
      </w:r>
      <w:proofErr w:type="spellStart"/>
      <w:r w:rsidRPr="004C2A3C">
        <w:rPr>
          <w:i/>
          <w:color w:val="000000" w:themeColor="text1"/>
          <w:lang w:val="en-US"/>
        </w:rPr>
        <w:t>Gerner</w:t>
      </w:r>
      <w:proofErr w:type="spellEnd"/>
      <w:r w:rsidRPr="004C2A3C">
        <w:rPr>
          <w:i/>
          <w:color w:val="000000" w:themeColor="text1"/>
          <w:lang w:val="en-US"/>
        </w:rPr>
        <w:t xml:space="preserve">, W.J.W. Pape, R. </w:t>
      </w:r>
      <w:proofErr w:type="spellStart"/>
      <w:r w:rsidRPr="004C2A3C">
        <w:rPr>
          <w:i/>
          <w:color w:val="000000" w:themeColor="text1"/>
          <w:lang w:val="en-US"/>
        </w:rPr>
        <w:t>Kreiling</w:t>
      </w:r>
      <w:proofErr w:type="spellEnd"/>
      <w:r w:rsidRPr="004C2A3C">
        <w:rPr>
          <w:i/>
          <w:color w:val="000000" w:themeColor="text1"/>
          <w:lang w:val="en-US"/>
        </w:rPr>
        <w:t xml:space="preserve">, K. </w:t>
      </w:r>
      <w:proofErr w:type="spellStart"/>
      <w:r w:rsidRPr="004C2A3C">
        <w:rPr>
          <w:i/>
          <w:color w:val="000000" w:themeColor="text1"/>
          <w:lang w:val="en-US"/>
        </w:rPr>
        <w:t>Krauser</w:t>
      </w:r>
      <w:proofErr w:type="spellEnd"/>
      <w:r w:rsidRPr="004C2A3C">
        <w:rPr>
          <w:i/>
          <w:color w:val="000000" w:themeColor="text1"/>
          <w:lang w:val="en-US"/>
        </w:rPr>
        <w:t xml:space="preserve">, H.G. </w:t>
      </w:r>
      <w:proofErr w:type="spellStart"/>
      <w:r w:rsidRPr="004C2A3C">
        <w:rPr>
          <w:i/>
          <w:color w:val="000000" w:themeColor="text1"/>
          <w:lang w:val="en-US"/>
        </w:rPr>
        <w:t>Miltenburger</w:t>
      </w:r>
      <w:proofErr w:type="spellEnd"/>
      <w:r w:rsidRPr="004C2A3C">
        <w:rPr>
          <w:i/>
          <w:color w:val="000000" w:themeColor="text1"/>
          <w:lang w:val="en-US"/>
        </w:rPr>
        <w:t xml:space="preserve">, W. </w:t>
      </w:r>
      <w:proofErr w:type="spellStart"/>
      <w:r w:rsidRPr="004C2A3C">
        <w:rPr>
          <w:i/>
          <w:color w:val="000000" w:themeColor="text1"/>
          <w:lang w:val="en-US"/>
        </w:rPr>
        <w:t>Steiling</w:t>
      </w:r>
      <w:proofErr w:type="spellEnd"/>
      <w:r w:rsidRPr="004C2A3C">
        <w:rPr>
          <w:i/>
          <w:color w:val="000000" w:themeColor="text1"/>
          <w:lang w:val="en-US"/>
        </w:rPr>
        <w:t xml:space="preserve">, N.P. Luepke, N. Müller, H. Kreuzer, P. </w:t>
      </w:r>
      <w:proofErr w:type="spellStart"/>
      <w:r w:rsidRPr="004C2A3C">
        <w:rPr>
          <w:i/>
          <w:color w:val="000000" w:themeColor="text1"/>
          <w:lang w:val="en-US"/>
        </w:rPr>
        <w:t>Mürmann</w:t>
      </w:r>
      <w:proofErr w:type="spellEnd"/>
      <w:r w:rsidRPr="004C2A3C">
        <w:rPr>
          <w:i/>
          <w:color w:val="000000" w:themeColor="text1"/>
          <w:lang w:val="en-US"/>
        </w:rPr>
        <w:t>, J. Spengler, E. Bertram-</w:t>
      </w:r>
      <w:proofErr w:type="spellStart"/>
      <w:r w:rsidRPr="004C2A3C">
        <w:rPr>
          <w:i/>
          <w:color w:val="000000" w:themeColor="text1"/>
          <w:lang w:val="en-US"/>
        </w:rPr>
        <w:t>Neis</w:t>
      </w:r>
      <w:proofErr w:type="spellEnd"/>
      <w:r w:rsidRPr="004C2A3C">
        <w:rPr>
          <w:i/>
          <w:color w:val="000000" w:themeColor="text1"/>
          <w:lang w:val="en-US"/>
        </w:rPr>
        <w:t xml:space="preserve">, B. </w:t>
      </w:r>
      <w:proofErr w:type="spellStart"/>
      <w:r w:rsidRPr="004C2A3C">
        <w:rPr>
          <w:i/>
          <w:color w:val="000000" w:themeColor="text1"/>
          <w:lang w:val="en-US"/>
        </w:rPr>
        <w:t>Siegemund</w:t>
      </w:r>
      <w:proofErr w:type="spellEnd"/>
      <w:r w:rsidRPr="004C2A3C">
        <w:rPr>
          <w:i/>
          <w:color w:val="000000" w:themeColor="text1"/>
          <w:lang w:val="en-US"/>
        </w:rPr>
        <w:t xml:space="preserve"> et F.J. </w:t>
      </w:r>
      <w:proofErr w:type="spellStart"/>
      <w:r w:rsidRPr="004C2A3C">
        <w:rPr>
          <w:i/>
          <w:color w:val="000000" w:themeColor="text1"/>
          <w:lang w:val="en-US"/>
        </w:rPr>
        <w:t>Wiebel</w:t>
      </w:r>
      <w:proofErr w:type="spellEnd"/>
      <w:r w:rsidRPr="004C2A3C">
        <w:rPr>
          <w:i/>
          <w:color w:val="000000" w:themeColor="text1"/>
          <w:lang w:val="en-US"/>
        </w:rPr>
        <w:t>. 1996. Results of a validation study in Germany on two in vitro alternatives to the Draize eye irritation test, HET-CAM test and the 3T3 NRU cytotoxicity test. Altern. Lab. Anim., 24: 741-858.</w:t>
      </w:r>
    </w:p>
    <w:p w14:paraId="560742F5" w14:textId="77777777" w:rsidR="00233091" w:rsidRPr="004C2A3C" w:rsidRDefault="00233091" w:rsidP="00233091">
      <w:pPr>
        <w:tabs>
          <w:tab w:val="left" w:pos="1560"/>
          <w:tab w:val="left" w:pos="2835"/>
        </w:tabs>
        <w:spacing w:after="240"/>
        <w:ind w:left="2268" w:right="1134"/>
        <w:jc w:val="both"/>
        <w:rPr>
          <w:i/>
          <w:color w:val="000000" w:themeColor="text1"/>
          <w:lang w:val="en-US"/>
        </w:rPr>
      </w:pPr>
      <w:proofErr w:type="spellStart"/>
      <w:r w:rsidRPr="004C2A3C">
        <w:rPr>
          <w:i/>
          <w:color w:val="000000" w:themeColor="text1"/>
          <w:lang w:val="en-US"/>
        </w:rPr>
        <w:t>Spöler</w:t>
      </w:r>
      <w:proofErr w:type="spellEnd"/>
      <w:r w:rsidRPr="004C2A3C">
        <w:rPr>
          <w:i/>
          <w:color w:val="000000" w:themeColor="text1"/>
          <w:lang w:val="en-US"/>
        </w:rPr>
        <w:t xml:space="preserve">, F., M. </w:t>
      </w:r>
      <w:proofErr w:type="spellStart"/>
      <w:r w:rsidRPr="004C2A3C">
        <w:rPr>
          <w:i/>
          <w:color w:val="000000" w:themeColor="text1"/>
          <w:lang w:val="en-US"/>
        </w:rPr>
        <w:t>Först</w:t>
      </w:r>
      <w:proofErr w:type="spellEnd"/>
      <w:r w:rsidRPr="004C2A3C">
        <w:rPr>
          <w:i/>
          <w:color w:val="000000" w:themeColor="text1"/>
          <w:lang w:val="en-US"/>
        </w:rPr>
        <w:t xml:space="preserve">, H. Kurz, M. </w:t>
      </w:r>
      <w:proofErr w:type="spellStart"/>
      <w:r w:rsidRPr="004C2A3C">
        <w:rPr>
          <w:i/>
          <w:color w:val="000000" w:themeColor="text1"/>
          <w:lang w:val="en-US"/>
        </w:rPr>
        <w:t>Frentz</w:t>
      </w:r>
      <w:proofErr w:type="spellEnd"/>
      <w:r w:rsidRPr="004C2A3C">
        <w:rPr>
          <w:i/>
          <w:color w:val="000000" w:themeColor="text1"/>
          <w:lang w:val="en-US"/>
        </w:rPr>
        <w:t xml:space="preserve"> et N.F. Schrage. 2007. Dynamic analysis of chemical eye burns using high-resolution optical coherence tomography. J. Biomed. Opt., 12: 041203. doi:10.1117</w:t>
      </w:r>
      <w:r w:rsidRPr="004C2A3C">
        <w:rPr>
          <w:color w:val="000000" w:themeColor="text1"/>
          <w:lang w:val="en-US"/>
        </w:rPr>
        <w:t>/</w:t>
      </w:r>
      <w:r w:rsidRPr="004C2A3C">
        <w:rPr>
          <w:i/>
          <w:color w:val="000000" w:themeColor="text1"/>
          <w:lang w:val="en-US"/>
        </w:rPr>
        <w:t>1.2768018.</w:t>
      </w:r>
    </w:p>
    <w:p w14:paraId="6FA0A3DE" w14:textId="77777777" w:rsidR="00233091" w:rsidRPr="004C2A3C" w:rsidRDefault="00233091" w:rsidP="00233091">
      <w:pPr>
        <w:tabs>
          <w:tab w:val="left" w:pos="1560"/>
          <w:tab w:val="left" w:pos="2835"/>
        </w:tabs>
        <w:spacing w:after="240"/>
        <w:ind w:left="2268" w:right="1134"/>
        <w:jc w:val="both"/>
        <w:rPr>
          <w:i/>
          <w:color w:val="000000" w:themeColor="text1"/>
          <w:lang w:val="en-US"/>
        </w:rPr>
      </w:pPr>
      <w:proofErr w:type="spellStart"/>
      <w:r w:rsidRPr="004C2A3C">
        <w:rPr>
          <w:i/>
          <w:color w:val="000000" w:themeColor="text1"/>
          <w:lang w:val="en-US"/>
        </w:rPr>
        <w:t>Spöler</w:t>
      </w:r>
      <w:proofErr w:type="spellEnd"/>
      <w:r w:rsidRPr="004C2A3C">
        <w:rPr>
          <w:i/>
          <w:color w:val="000000" w:themeColor="text1"/>
          <w:lang w:val="en-US"/>
        </w:rPr>
        <w:t>, F., O. Kray, S. Kray, C. Panfil et N.F. Schrage. 2015. The Ex vivo Eye Irritation Test as an alternative test method for serious eye damage</w:t>
      </w:r>
      <w:r w:rsidRPr="004C2A3C">
        <w:rPr>
          <w:color w:val="000000" w:themeColor="text1"/>
          <w:lang w:val="en-US"/>
        </w:rPr>
        <w:t>/</w:t>
      </w:r>
      <w:r w:rsidRPr="004C2A3C">
        <w:rPr>
          <w:i/>
          <w:color w:val="000000" w:themeColor="text1"/>
          <w:lang w:val="en-US"/>
        </w:rPr>
        <w:t xml:space="preserve">eye irritation. Altern. Lab. Anim., 43(3): 163-179. </w:t>
      </w:r>
      <w:proofErr w:type="spellStart"/>
      <w:r w:rsidRPr="004C2A3C">
        <w:rPr>
          <w:i/>
          <w:color w:val="000000" w:themeColor="text1"/>
          <w:lang w:val="en-US"/>
        </w:rPr>
        <w:t>doi</w:t>
      </w:r>
      <w:proofErr w:type="spellEnd"/>
      <w:r w:rsidRPr="004C2A3C">
        <w:rPr>
          <w:i/>
          <w:color w:val="000000" w:themeColor="text1"/>
          <w:lang w:val="en-US"/>
        </w:rPr>
        <w:t>: 10.1177</w:t>
      </w:r>
      <w:r w:rsidRPr="004C2A3C">
        <w:rPr>
          <w:color w:val="000000" w:themeColor="text1"/>
          <w:lang w:val="en-US"/>
        </w:rPr>
        <w:t>/</w:t>
      </w:r>
      <w:r w:rsidRPr="004C2A3C">
        <w:rPr>
          <w:i/>
          <w:color w:val="000000" w:themeColor="text1"/>
          <w:lang w:val="en-US"/>
        </w:rPr>
        <w:t>026119291504300306.</w:t>
      </w:r>
    </w:p>
    <w:p w14:paraId="00BB66F3" w14:textId="77777777" w:rsidR="00233091" w:rsidRPr="004C2A3C" w:rsidRDefault="00233091" w:rsidP="00233091">
      <w:pPr>
        <w:tabs>
          <w:tab w:val="left" w:pos="1560"/>
          <w:tab w:val="left" w:pos="2835"/>
        </w:tabs>
        <w:spacing w:after="240"/>
        <w:ind w:left="2268" w:right="1134"/>
        <w:jc w:val="both"/>
        <w:rPr>
          <w:i/>
          <w:color w:val="000000" w:themeColor="text1"/>
          <w:lang w:val="en-US"/>
        </w:rPr>
      </w:pPr>
      <w:r w:rsidRPr="004C2A3C">
        <w:rPr>
          <w:i/>
          <w:color w:val="000000" w:themeColor="text1"/>
          <w:lang w:val="en-US"/>
        </w:rPr>
        <w:t xml:space="preserve">Whittle, E., D. </w:t>
      </w:r>
      <w:proofErr w:type="spellStart"/>
      <w:r w:rsidRPr="004C2A3C">
        <w:rPr>
          <w:i/>
          <w:color w:val="000000" w:themeColor="text1"/>
          <w:lang w:val="en-US"/>
        </w:rPr>
        <w:t>Basketter</w:t>
      </w:r>
      <w:proofErr w:type="spellEnd"/>
      <w:r w:rsidRPr="004C2A3C">
        <w:rPr>
          <w:i/>
          <w:color w:val="000000" w:themeColor="text1"/>
          <w:lang w:val="en-US"/>
        </w:rPr>
        <w:t xml:space="preserve">, M. York, L. Kelly, T. Hall, J. McCall, P. Botham, D. Esdaile et J. Gardner. 1992. Findings of an interlaboratory trial of the enucleated eye method as an alternative eye irritation test. </w:t>
      </w:r>
      <w:proofErr w:type="spellStart"/>
      <w:r w:rsidRPr="004C2A3C">
        <w:rPr>
          <w:i/>
          <w:color w:val="000000" w:themeColor="text1"/>
          <w:lang w:val="en-US"/>
        </w:rPr>
        <w:t>Toxicol</w:t>
      </w:r>
      <w:proofErr w:type="spellEnd"/>
      <w:r w:rsidRPr="004C2A3C">
        <w:rPr>
          <w:i/>
          <w:color w:val="000000" w:themeColor="text1"/>
          <w:lang w:val="en-US"/>
        </w:rPr>
        <w:t>. Mech. Methods., 2: 30-41.</w:t>
      </w:r>
    </w:p>
    <w:p w14:paraId="30692FF3" w14:textId="77777777" w:rsidR="00233091" w:rsidRPr="004C2A3C" w:rsidRDefault="00233091" w:rsidP="00233091">
      <w:pPr>
        <w:tabs>
          <w:tab w:val="left" w:pos="1560"/>
          <w:tab w:val="left" w:pos="2835"/>
        </w:tabs>
        <w:spacing w:after="240"/>
        <w:ind w:left="2268" w:right="1134"/>
        <w:jc w:val="both"/>
        <w:rPr>
          <w:i/>
          <w:color w:val="000000" w:themeColor="text1"/>
          <w:lang w:val="en-US"/>
        </w:rPr>
      </w:pPr>
      <w:r w:rsidRPr="004C2A3C">
        <w:rPr>
          <w:i/>
          <w:color w:val="000000" w:themeColor="text1"/>
          <w:lang w:val="en-US"/>
        </w:rPr>
        <w:t xml:space="preserve">Young, J.R., M.J. How, A.P. Walker et W.M. Worth. 1988. Classification as corrosive or irritant to skin of preparations containing acidic or alkaline substances, without testing on animals. </w:t>
      </w:r>
      <w:proofErr w:type="spellStart"/>
      <w:r w:rsidRPr="004C2A3C">
        <w:rPr>
          <w:i/>
          <w:color w:val="000000" w:themeColor="text1"/>
          <w:lang w:val="en-US"/>
        </w:rPr>
        <w:t>Toxicol</w:t>
      </w:r>
      <w:proofErr w:type="spellEnd"/>
      <w:r w:rsidRPr="004C2A3C">
        <w:rPr>
          <w:i/>
          <w:color w:val="000000" w:themeColor="text1"/>
          <w:lang w:val="en-US"/>
        </w:rPr>
        <w:t xml:space="preserve">. In vitro, 2(1): 19-26. </w:t>
      </w:r>
      <w:proofErr w:type="spellStart"/>
      <w:r w:rsidRPr="004C2A3C">
        <w:rPr>
          <w:i/>
          <w:color w:val="000000" w:themeColor="text1"/>
          <w:lang w:val="en-US"/>
        </w:rPr>
        <w:t>doi</w:t>
      </w:r>
      <w:proofErr w:type="spellEnd"/>
      <w:r w:rsidRPr="004C2A3C">
        <w:rPr>
          <w:i/>
          <w:color w:val="000000" w:themeColor="text1"/>
          <w:lang w:val="en-US"/>
        </w:rPr>
        <w:t>: 10.1016</w:t>
      </w:r>
      <w:r w:rsidRPr="004C2A3C">
        <w:rPr>
          <w:color w:val="000000" w:themeColor="text1"/>
          <w:lang w:val="en-US"/>
        </w:rPr>
        <w:t>/</w:t>
      </w:r>
      <w:r w:rsidRPr="004C2A3C">
        <w:rPr>
          <w:i/>
          <w:color w:val="000000" w:themeColor="text1"/>
          <w:lang w:val="en-US"/>
        </w:rPr>
        <w:t>0887-2333(88)90032-x.</w:t>
      </w:r>
    </w:p>
    <w:p w14:paraId="4E61558B" w14:textId="77777777" w:rsidR="00233091" w:rsidRPr="004C2A3C" w:rsidRDefault="00233091" w:rsidP="00233091">
      <w:pPr>
        <w:tabs>
          <w:tab w:val="left" w:pos="1560"/>
          <w:tab w:val="left" w:pos="2835"/>
        </w:tabs>
        <w:spacing w:after="240"/>
        <w:ind w:left="2268" w:right="1134"/>
        <w:jc w:val="both"/>
        <w:rPr>
          <w:iCs/>
          <w:color w:val="000000" w:themeColor="text1"/>
          <w:lang w:val="fr-FR"/>
        </w:rPr>
      </w:pPr>
      <w:proofErr w:type="spellStart"/>
      <w:r w:rsidRPr="004C2A3C">
        <w:rPr>
          <w:i/>
          <w:color w:val="000000" w:themeColor="text1"/>
          <w:lang w:val="en-US"/>
        </w:rPr>
        <w:t>Zuang</w:t>
      </w:r>
      <w:proofErr w:type="spellEnd"/>
      <w:r w:rsidRPr="004C2A3C">
        <w:rPr>
          <w:i/>
          <w:color w:val="000000" w:themeColor="text1"/>
          <w:lang w:val="en-US"/>
        </w:rPr>
        <w:t xml:space="preserve">, V. 2001. The neutral red release assay: a review. </w:t>
      </w:r>
      <w:proofErr w:type="spellStart"/>
      <w:r w:rsidRPr="004C2A3C">
        <w:rPr>
          <w:i/>
          <w:color w:val="000000" w:themeColor="text1"/>
          <w:lang w:val="fr-FR"/>
        </w:rPr>
        <w:t>Altern</w:t>
      </w:r>
      <w:proofErr w:type="spellEnd"/>
      <w:r w:rsidRPr="004C2A3C">
        <w:rPr>
          <w:i/>
          <w:color w:val="000000" w:themeColor="text1"/>
          <w:lang w:val="fr-FR"/>
        </w:rPr>
        <w:t>. Lab. Anim., 29(5</w:t>
      </w:r>
      <w:proofErr w:type="gramStart"/>
      <w:r w:rsidRPr="004C2A3C">
        <w:rPr>
          <w:i/>
          <w:color w:val="000000" w:themeColor="text1"/>
          <w:lang w:val="fr-FR"/>
        </w:rPr>
        <w:t>):</w:t>
      </w:r>
      <w:proofErr w:type="gramEnd"/>
      <w:r w:rsidRPr="004C2A3C">
        <w:rPr>
          <w:i/>
          <w:color w:val="000000" w:themeColor="text1"/>
          <w:lang w:val="fr-FR"/>
        </w:rPr>
        <w:t xml:space="preserve"> 575-599. </w:t>
      </w:r>
      <w:proofErr w:type="spellStart"/>
      <w:proofErr w:type="gramStart"/>
      <w:r w:rsidRPr="004C2A3C">
        <w:rPr>
          <w:i/>
          <w:color w:val="000000" w:themeColor="text1"/>
          <w:lang w:val="fr-FR"/>
        </w:rPr>
        <w:t>doi</w:t>
      </w:r>
      <w:proofErr w:type="spellEnd"/>
      <w:r w:rsidRPr="004C2A3C">
        <w:rPr>
          <w:i/>
          <w:color w:val="000000" w:themeColor="text1"/>
          <w:lang w:val="fr-FR"/>
        </w:rPr>
        <w:t>:</w:t>
      </w:r>
      <w:proofErr w:type="gramEnd"/>
      <w:r w:rsidRPr="004C2A3C">
        <w:rPr>
          <w:i/>
          <w:color w:val="000000" w:themeColor="text1"/>
          <w:lang w:val="fr-FR"/>
        </w:rPr>
        <w:t xml:space="preserve"> 10.1177</w:t>
      </w:r>
      <w:r w:rsidRPr="004C2A3C">
        <w:rPr>
          <w:color w:val="000000" w:themeColor="text1"/>
          <w:lang w:val="fr-FR"/>
        </w:rPr>
        <w:t>/</w:t>
      </w:r>
      <w:r w:rsidRPr="004C2A3C">
        <w:rPr>
          <w:i/>
          <w:color w:val="000000" w:themeColor="text1"/>
          <w:lang w:val="fr-FR"/>
        </w:rPr>
        <w:t>026119290102900513. </w:t>
      </w:r>
      <w:r w:rsidRPr="004C2A3C">
        <w:rPr>
          <w:iCs/>
          <w:color w:val="000000" w:themeColor="text1"/>
          <w:lang w:val="fr-FR"/>
        </w:rPr>
        <w:t>».</w:t>
      </w:r>
    </w:p>
    <w:p w14:paraId="48E7A5E9" w14:textId="77777777" w:rsidR="00233091" w:rsidRDefault="00233091" w:rsidP="00233091">
      <w:pPr>
        <w:pStyle w:val="HChG"/>
        <w:rPr>
          <w:lang w:val="fr-FR"/>
        </w:rPr>
      </w:pPr>
      <w:r w:rsidRPr="004C2A3C">
        <w:rPr>
          <w:lang w:val="fr-FR"/>
        </w:rPr>
        <w:tab/>
      </w:r>
      <w:r w:rsidRPr="004C2A3C">
        <w:rPr>
          <w:lang w:val="fr-FR"/>
        </w:rPr>
        <w:tab/>
        <w:t>Annexe 3</w:t>
      </w:r>
    </w:p>
    <w:p w14:paraId="79D4B914" w14:textId="77777777" w:rsidR="00233091" w:rsidRDefault="00233091" w:rsidP="00E91EB7">
      <w:pPr>
        <w:pStyle w:val="H1G"/>
        <w:rPr>
          <w:lang w:val="fr-FR"/>
        </w:rPr>
      </w:pPr>
      <w:r>
        <w:rPr>
          <w:lang w:val="fr-FR"/>
        </w:rPr>
        <w:tab/>
      </w:r>
      <w:r>
        <w:rPr>
          <w:lang w:val="fr-FR"/>
        </w:rPr>
        <w:tab/>
        <w:t>Section 1</w:t>
      </w:r>
    </w:p>
    <w:p w14:paraId="70CD2182" w14:textId="77777777" w:rsidR="00233091" w:rsidRDefault="00233091" w:rsidP="00233091">
      <w:pPr>
        <w:pStyle w:val="SingleTxtG"/>
        <w:spacing w:before="120"/>
      </w:pPr>
      <w:r>
        <w:t>A3.1.2.3</w:t>
      </w:r>
      <w:r>
        <w:tab/>
        <w:t>Remplacer la dernière phrase par :</w:t>
      </w:r>
    </w:p>
    <w:p w14:paraId="088B7223" w14:textId="77777777" w:rsidR="00233091" w:rsidRDefault="00233091" w:rsidP="00233091">
      <w:pPr>
        <w:pStyle w:val="SingleTxtG"/>
        <w:ind w:left="1701"/>
      </w:pPr>
      <w:r>
        <w:t>« Ainsi, par exemple, H300 + H310 + H330 indique que le texte qui doit figurer sur l’étiquette est “</w:t>
      </w:r>
      <w:r>
        <w:rPr>
          <w:b/>
          <w:bCs/>
        </w:rPr>
        <w:t>Mortel en cas d’ingestion, par contact cutané ou par inhalation</w:t>
      </w:r>
      <w:r>
        <w:t>”. ».</w:t>
      </w:r>
    </w:p>
    <w:p w14:paraId="5439724C" w14:textId="77777777" w:rsidR="00233091" w:rsidRDefault="00233091" w:rsidP="00233091">
      <w:pPr>
        <w:pStyle w:val="SingleTxtG"/>
        <w:spacing w:before="120"/>
        <w:ind w:left="1701" w:hanging="567"/>
      </w:pPr>
      <w:r>
        <w:t>A3.1.2.4</w:t>
      </w:r>
      <w:r>
        <w:tab/>
        <w:t>Remplacer la dernière phrase par :</w:t>
      </w:r>
    </w:p>
    <w:p w14:paraId="3AE29E9C" w14:textId="77777777" w:rsidR="00233091" w:rsidRDefault="00233091" w:rsidP="00233091">
      <w:pPr>
        <w:pStyle w:val="SingleTxtG"/>
        <w:ind w:left="1701"/>
      </w:pPr>
      <w:r>
        <w:t>« De même, lorsqu’une mention de danger combinée est autorisée pour deux ou plus de deux mentions de danger (voir A3.1.2.5), l’autorité compétente peut prescrire si la mention de danger combinée ou les mentions individuelles correspondantes doivent figurer sur l’étiquette, ou laisser le choix sur ce point au fabricant/fournisseur. ».</w:t>
      </w:r>
    </w:p>
    <w:p w14:paraId="40C21E12" w14:textId="77777777" w:rsidR="00233091" w:rsidRDefault="00233091" w:rsidP="00233091">
      <w:pPr>
        <w:pStyle w:val="SingleTxtG"/>
      </w:pPr>
      <w:r>
        <w:t>A3.1.2.5</w:t>
      </w:r>
      <w:r>
        <w:tab/>
        <w:t>Ajouter un nouveau paragraphe ainsi libellé :</w:t>
      </w:r>
    </w:p>
    <w:p w14:paraId="720860EB" w14:textId="77777777" w:rsidR="00233091" w:rsidRDefault="00233091" w:rsidP="00233091">
      <w:pPr>
        <w:pStyle w:val="SingleTxtG"/>
        <w:spacing w:after="240"/>
        <w:ind w:left="1701"/>
      </w:pPr>
      <w:r>
        <w:t>« A3.1.2.5</w:t>
      </w:r>
      <w:r>
        <w:tab/>
        <w:t>En complément de l’utilisation des combinaisons figurant dans le tableau A3.1.2, il est également permis de combiner plusieurs mentions de danger pour la santé de gravité équivalente si, par exemple, l’espace sur l’étiquette est insuffisant. Les mentions de danger combinées doivent indiquer clairement tous les dangers, seules les répétitions peuvent être supprimées. Les mentions peuvent être combinées en utilisant la conjonction “et”, des signes de ponctuation supplémentaires et en changeant la casse de la première lettre du mot au début d’une mention. Par exemple, les mentions H317 “Peut provoquer une allergie cutanée” + H340 “Peut induire des anomalies génétiques” + H350 “Peut provoquer le cancer” peuvent être combinées, car elles concernent toutes des dangers pour la santé de catégorie 1 (et constituent donc bien des mentions de danger pour la santé de gravité équivalente) et comportent des répétitions (elles commencent par “peut provoquer” ou “peut induire”, qui ont le même sens). Ces déclarations peuvent être combinées sous la forme “Peut provoquer une allergie cutanée, des anomalies génétiques et le cancer”. L’autorité compétente peut restreindre les types de combinaisons autorisées afin de garantir la compréhensibilité des mentions combinées (par exemple, limiter le nombre de mentions de danger qui peuvent être combinées). ».</w:t>
      </w:r>
    </w:p>
    <w:p w14:paraId="78309795" w14:textId="77777777" w:rsidR="00233091" w:rsidRPr="005D1585" w:rsidRDefault="00233091" w:rsidP="00233091">
      <w:pPr>
        <w:pStyle w:val="SingleTxtG"/>
        <w:rPr>
          <w:b/>
          <w:bCs/>
        </w:rPr>
      </w:pPr>
      <w:r w:rsidRPr="005D1585">
        <w:rPr>
          <w:b/>
          <w:bCs/>
        </w:rPr>
        <w:tab/>
        <w:t xml:space="preserve">Tableau A3.1.2 : </w:t>
      </w:r>
    </w:p>
    <w:p w14:paraId="19C11BCE" w14:textId="3F8603AF" w:rsidR="00233091" w:rsidRPr="005D1585" w:rsidRDefault="00233091" w:rsidP="00233091">
      <w:pPr>
        <w:pStyle w:val="Bullet1G"/>
        <w:numPr>
          <w:ilvl w:val="0"/>
          <w:numId w:val="1"/>
        </w:numPr>
        <w:tabs>
          <w:tab w:val="clear" w:pos="1701"/>
          <w:tab w:val="num" w:pos="1304"/>
        </w:tabs>
        <w:ind w:left="1276"/>
        <w:rPr>
          <w:lang w:val="fr-FR"/>
        </w:rPr>
      </w:pPr>
      <w:r w:rsidRPr="00831FBF">
        <w:t>Code H317, colonne (3)</w:t>
      </w:r>
      <w:r w:rsidR="005D1585">
        <w:t xml:space="preserve"> : </w:t>
      </w:r>
      <w:r w:rsidRPr="005D1585">
        <w:rPr>
          <w:lang w:val="fr-FR"/>
        </w:rPr>
        <w:t>Modification sans objet en français.</w:t>
      </w:r>
    </w:p>
    <w:p w14:paraId="6ED5C813" w14:textId="0041051F" w:rsidR="00233091" w:rsidRPr="005D1585" w:rsidRDefault="00233091" w:rsidP="00233091">
      <w:pPr>
        <w:pStyle w:val="Bullet1G"/>
        <w:numPr>
          <w:ilvl w:val="0"/>
          <w:numId w:val="1"/>
        </w:numPr>
        <w:tabs>
          <w:tab w:val="clear" w:pos="1701"/>
          <w:tab w:val="num" w:pos="1304"/>
        </w:tabs>
        <w:spacing w:line="240" w:lineRule="auto"/>
        <w:ind w:left="1276" w:right="992"/>
        <w:rPr>
          <w:lang w:val="fr-FR"/>
        </w:rPr>
      </w:pPr>
      <w:r w:rsidRPr="005D1585">
        <w:rPr>
          <w:lang w:val="fr-FR"/>
        </w:rPr>
        <w:t>Code H334, colonne (3)</w:t>
      </w:r>
      <w:r w:rsidR="005D1585" w:rsidRPr="005D1585">
        <w:rPr>
          <w:lang w:val="fr-FR"/>
        </w:rPr>
        <w:t xml:space="preserve"> : </w:t>
      </w:r>
      <w:r w:rsidRPr="005D1585">
        <w:rPr>
          <w:lang w:val="fr-FR"/>
        </w:rPr>
        <w:t>Modification sans objet en français.</w:t>
      </w:r>
    </w:p>
    <w:p w14:paraId="5AB62F8F" w14:textId="77777777" w:rsidR="00233091" w:rsidRDefault="00233091" w:rsidP="00233091">
      <w:pPr>
        <w:pStyle w:val="Bullet1G"/>
        <w:numPr>
          <w:ilvl w:val="0"/>
          <w:numId w:val="1"/>
        </w:numPr>
        <w:tabs>
          <w:tab w:val="clear" w:pos="1701"/>
          <w:tab w:val="num" w:pos="1304"/>
        </w:tabs>
        <w:ind w:left="1304"/>
        <w:rPr>
          <w:rFonts w:asciiTheme="majorBidi" w:hAnsiTheme="majorBidi" w:cstheme="majorBidi"/>
        </w:rPr>
      </w:pPr>
      <w:r>
        <w:t>Après « H303 + H313 + H333 » insérer la nouvelle rubrique suivante </w:t>
      </w:r>
      <w:r>
        <w:rPr>
          <w:rFonts w:asciiTheme="majorBidi" w:hAnsiTheme="majorBidi"/>
        </w:rPr>
        <w:t>:</w:t>
      </w:r>
    </w:p>
    <w:tbl>
      <w:tblPr>
        <w:tblStyle w:val="TableGrid"/>
        <w:tblW w:w="0" w:type="auto"/>
        <w:tblInd w:w="1134" w:type="dxa"/>
        <w:tblLook w:val="04A0" w:firstRow="1" w:lastRow="0" w:firstColumn="1" w:lastColumn="0" w:noHBand="0" w:noVBand="1"/>
      </w:tblPr>
      <w:tblGrid>
        <w:gridCol w:w="703"/>
        <w:gridCol w:w="2268"/>
        <w:gridCol w:w="3120"/>
        <w:gridCol w:w="1417"/>
      </w:tblGrid>
      <w:tr w:rsidR="00233091" w14:paraId="31D73AB5" w14:textId="77777777" w:rsidTr="000654E6">
        <w:trPr>
          <w:trHeight w:val="311"/>
        </w:trPr>
        <w:tc>
          <w:tcPr>
            <w:tcW w:w="703" w:type="dxa"/>
            <w:tcBorders>
              <w:top w:val="single" w:sz="4" w:space="0" w:color="auto"/>
              <w:left w:val="single" w:sz="4" w:space="0" w:color="auto"/>
              <w:bottom w:val="single" w:sz="4" w:space="0" w:color="auto"/>
              <w:right w:val="single" w:sz="4" w:space="0" w:color="auto"/>
            </w:tcBorders>
            <w:hideMark/>
          </w:tcPr>
          <w:p w14:paraId="1A4B6DE6" w14:textId="77777777" w:rsidR="00233091" w:rsidRDefault="00233091" w:rsidP="000654E6">
            <w:pPr>
              <w:pStyle w:val="SingleTxtG"/>
              <w:spacing w:before="40" w:after="40"/>
              <w:ind w:left="0" w:right="0"/>
              <w:jc w:val="center"/>
              <w:rPr>
                <w:rFonts w:asciiTheme="majorBidi" w:hAnsiTheme="majorBidi" w:cstheme="majorBidi"/>
              </w:rPr>
            </w:pPr>
            <w:r>
              <w:t xml:space="preserve">H315 </w:t>
            </w:r>
            <w:r>
              <w:br/>
              <w:t>+</w:t>
            </w:r>
            <w:r>
              <w:br/>
              <w:t>H319</w:t>
            </w:r>
          </w:p>
        </w:tc>
        <w:tc>
          <w:tcPr>
            <w:tcW w:w="2268" w:type="dxa"/>
            <w:tcBorders>
              <w:top w:val="single" w:sz="4" w:space="0" w:color="auto"/>
              <w:left w:val="single" w:sz="4" w:space="0" w:color="auto"/>
              <w:bottom w:val="single" w:sz="4" w:space="0" w:color="auto"/>
              <w:right w:val="single" w:sz="4" w:space="0" w:color="auto"/>
            </w:tcBorders>
            <w:hideMark/>
          </w:tcPr>
          <w:p w14:paraId="5AC3C813" w14:textId="77777777" w:rsidR="00233091" w:rsidRDefault="00233091" w:rsidP="000654E6">
            <w:pPr>
              <w:pStyle w:val="SingleTxtG"/>
              <w:spacing w:before="40" w:after="40"/>
              <w:ind w:left="142" w:right="0"/>
              <w:jc w:val="left"/>
              <w:rPr>
                <w:rFonts w:asciiTheme="majorBidi" w:hAnsiTheme="majorBidi" w:cstheme="majorBidi"/>
              </w:rPr>
            </w:pPr>
            <w:r>
              <w:t>Provoque une irritation de la peau et une sévère irritation des yeux</w:t>
            </w:r>
            <w:r>
              <w:rPr>
                <w:b/>
                <w:bCs/>
                <w:vertAlign w:val="superscript"/>
              </w:rPr>
              <w:t xml:space="preserve"> a</w:t>
            </w:r>
          </w:p>
        </w:tc>
        <w:tc>
          <w:tcPr>
            <w:tcW w:w="3120" w:type="dxa"/>
            <w:tcBorders>
              <w:top w:val="single" w:sz="4" w:space="0" w:color="auto"/>
              <w:left w:val="single" w:sz="4" w:space="0" w:color="auto"/>
              <w:bottom w:val="single" w:sz="4" w:space="0" w:color="auto"/>
              <w:right w:val="single" w:sz="4" w:space="0" w:color="auto"/>
            </w:tcBorders>
            <w:hideMark/>
          </w:tcPr>
          <w:p w14:paraId="23DF7199" w14:textId="77777777" w:rsidR="00233091" w:rsidRDefault="00233091" w:rsidP="000654E6">
            <w:pPr>
              <w:pStyle w:val="SingleTxtG"/>
              <w:spacing w:before="40" w:after="40"/>
              <w:ind w:left="137" w:right="0"/>
              <w:jc w:val="left"/>
              <w:rPr>
                <w:rFonts w:asciiTheme="majorBidi" w:hAnsiTheme="majorBidi" w:cstheme="majorBidi"/>
              </w:rPr>
            </w:pPr>
            <w:r>
              <w:rPr>
                <w:rFonts w:asciiTheme="majorBidi" w:hAnsiTheme="majorBidi"/>
              </w:rPr>
              <w:t>Corrosion cutanée/irritation cutanée (chap. 3.2) et lésions oculaires graves/irritation oculaire (chap. 3.3)</w:t>
            </w:r>
          </w:p>
        </w:tc>
        <w:tc>
          <w:tcPr>
            <w:tcW w:w="1417" w:type="dxa"/>
            <w:tcBorders>
              <w:top w:val="single" w:sz="4" w:space="0" w:color="auto"/>
              <w:left w:val="single" w:sz="4" w:space="0" w:color="auto"/>
              <w:bottom w:val="single" w:sz="4" w:space="0" w:color="auto"/>
              <w:right w:val="single" w:sz="4" w:space="0" w:color="auto"/>
            </w:tcBorders>
            <w:hideMark/>
          </w:tcPr>
          <w:p w14:paraId="4E15B540" w14:textId="77777777" w:rsidR="00233091" w:rsidRDefault="00233091" w:rsidP="000654E6">
            <w:pPr>
              <w:pStyle w:val="SingleTxtG"/>
              <w:spacing w:before="40" w:after="40"/>
              <w:ind w:left="0" w:right="0"/>
              <w:jc w:val="center"/>
              <w:rPr>
                <w:rFonts w:asciiTheme="majorBidi" w:hAnsiTheme="majorBidi" w:cstheme="majorBidi"/>
              </w:rPr>
            </w:pPr>
            <w:r>
              <w:t>2 (peau) +</w:t>
            </w:r>
            <w:r>
              <w:br/>
              <w:t>2/2A (yeux)</w:t>
            </w:r>
          </w:p>
        </w:tc>
      </w:tr>
    </w:tbl>
    <w:p w14:paraId="33906D5C" w14:textId="77777777" w:rsidR="00233091" w:rsidRDefault="00233091" w:rsidP="002250B7">
      <w:pPr>
        <w:pStyle w:val="Bullet1G"/>
        <w:numPr>
          <w:ilvl w:val="0"/>
          <w:numId w:val="1"/>
        </w:numPr>
        <w:tabs>
          <w:tab w:val="clear" w:pos="1701"/>
          <w:tab w:val="num" w:pos="1304"/>
        </w:tabs>
        <w:spacing w:before="240"/>
        <w:ind w:left="1304"/>
      </w:pPr>
      <w:bookmarkStart w:id="15" w:name="_Hlk103081688"/>
      <w:r>
        <w:t>Code « H315 + H320 » :</w:t>
      </w:r>
    </w:p>
    <w:p w14:paraId="46C0355E" w14:textId="77777777" w:rsidR="00233091" w:rsidRDefault="00233091" w:rsidP="00233091">
      <w:pPr>
        <w:pStyle w:val="SingleTxtG"/>
        <w:ind w:left="1276"/>
      </w:pPr>
      <w:r>
        <w:t>Dans la colonne (2) ajouter une référence à la note « </w:t>
      </w:r>
      <w:r>
        <w:rPr>
          <w:b/>
          <w:bCs/>
          <w:vertAlign w:val="superscript"/>
        </w:rPr>
        <w:t>a</w:t>
      </w:r>
      <w:r>
        <w:t xml:space="preserve"> » à la fin de la mention de danger comme </w:t>
      </w:r>
      <w:proofErr w:type="gramStart"/>
      <w:r>
        <w:t>suit:</w:t>
      </w:r>
      <w:proofErr w:type="gramEnd"/>
      <w:r>
        <w:t xml:space="preserve"> </w:t>
      </w:r>
      <w:r>
        <w:rPr>
          <w:rFonts w:asciiTheme="majorBidi" w:hAnsiTheme="majorBidi"/>
        </w:rPr>
        <w:t>« Provoque une irritation de la peau et des yeux </w:t>
      </w:r>
      <w:r>
        <w:rPr>
          <w:rFonts w:asciiTheme="majorBidi" w:hAnsiTheme="majorBidi"/>
          <w:b/>
          <w:bCs/>
          <w:vertAlign w:val="superscript"/>
        </w:rPr>
        <w:t>a</w:t>
      </w:r>
      <w:r>
        <w:rPr>
          <w:rFonts w:asciiTheme="majorBidi" w:hAnsiTheme="majorBidi"/>
        </w:rPr>
        <w:t> </w:t>
      </w:r>
      <w:r>
        <w:t>».</w:t>
      </w:r>
    </w:p>
    <w:p w14:paraId="56CC33E9" w14:textId="77777777" w:rsidR="00233091" w:rsidRDefault="00233091" w:rsidP="00233091">
      <w:pPr>
        <w:pStyle w:val="SingleTxtG"/>
        <w:ind w:left="1276"/>
      </w:pPr>
      <w:r>
        <w:t>Dans la colonne (4), remplacer « 2 (peau)/2B (yeux) » par « 2 (peau) + 2B (yeux) ».</w:t>
      </w:r>
    </w:p>
    <w:bookmarkEnd w:id="15"/>
    <w:p w14:paraId="06CEEE42" w14:textId="18F456D4" w:rsidR="00233091" w:rsidRDefault="00233091" w:rsidP="00233091">
      <w:pPr>
        <w:pStyle w:val="Bullet1G"/>
        <w:numPr>
          <w:ilvl w:val="0"/>
          <w:numId w:val="1"/>
        </w:numPr>
        <w:tabs>
          <w:tab w:val="clear" w:pos="1701"/>
          <w:tab w:val="num" w:pos="1304"/>
        </w:tabs>
        <w:ind w:left="1304"/>
      </w:pPr>
      <w:r>
        <w:t xml:space="preserve">Ajouter la note </w:t>
      </w:r>
      <w:r w:rsidR="006E2F62">
        <w:t xml:space="preserve">« a » </w:t>
      </w:r>
      <w:r>
        <w:t xml:space="preserve">suivante sous le tableau A3.1.2 : </w:t>
      </w:r>
    </w:p>
    <w:p w14:paraId="4B971073" w14:textId="4678DA4E" w:rsidR="00233091" w:rsidRDefault="00233091" w:rsidP="00233091">
      <w:pPr>
        <w:pStyle w:val="SingleTxtG"/>
        <w:spacing w:before="120"/>
        <w:ind w:left="1276"/>
        <w:rPr>
          <w:iCs/>
        </w:rPr>
      </w:pPr>
      <w:r>
        <w:rPr>
          <w:iCs/>
        </w:rPr>
        <w:t>«</w:t>
      </w:r>
      <w:r>
        <w:rPr>
          <w:i/>
        </w:rPr>
        <w:t> </w:t>
      </w:r>
      <w:proofErr w:type="gramStart"/>
      <w:r>
        <w:rPr>
          <w:b/>
          <w:bCs/>
          <w:i/>
          <w:sz w:val="18"/>
          <w:szCs w:val="18"/>
          <w:vertAlign w:val="superscript"/>
        </w:rPr>
        <w:t>a</w:t>
      </w:r>
      <w:proofErr w:type="gramEnd"/>
      <w:r>
        <w:rPr>
          <w:b/>
          <w:bCs/>
          <w:i/>
        </w:rPr>
        <w:t xml:space="preserve"> </w:t>
      </w:r>
      <w:r>
        <w:rPr>
          <w:i/>
        </w:rPr>
        <w:tab/>
        <w:t>Les autorités compétentes peuvent choisir la ou les mentions de danger applicables en fonction des catégories de danger (2/2A ou 2A/2B) qu’elles ont adoptées pour la classe de danger lésions oculaires graves/irritation oculaire. </w:t>
      </w:r>
      <w:r>
        <w:rPr>
          <w:iCs/>
        </w:rPr>
        <w:t>».</w:t>
      </w:r>
    </w:p>
    <w:p w14:paraId="3CE94C94" w14:textId="77777777" w:rsidR="00233091" w:rsidRDefault="00233091" w:rsidP="006E2F62">
      <w:pPr>
        <w:pStyle w:val="H1G"/>
      </w:pPr>
      <w:r w:rsidRPr="004C2A3C">
        <w:tab/>
      </w:r>
      <w:r w:rsidRPr="004C2A3C">
        <w:tab/>
        <w:t>Section 2</w:t>
      </w:r>
    </w:p>
    <w:p w14:paraId="5D2BA70D" w14:textId="77777777" w:rsidR="00233091" w:rsidRDefault="00233091" w:rsidP="00233091">
      <w:pPr>
        <w:pStyle w:val="SingleTxtG"/>
      </w:pPr>
      <w:r>
        <w:t>A3.2.5.2.2 </w:t>
      </w:r>
      <w:r>
        <w:tab/>
        <w:t>Ajouter le texte suivant après la première phrase :</w:t>
      </w:r>
    </w:p>
    <w:p w14:paraId="6EB47D07" w14:textId="77777777" w:rsidR="00233091" w:rsidRDefault="00233091" w:rsidP="00233091">
      <w:pPr>
        <w:pStyle w:val="SingleTxtG"/>
        <w:ind w:left="1701"/>
      </w:pPr>
      <w:r>
        <w:t>« Les conseils de prudence peuvent être combinés en utilisant la conjonction “et”, des signes de ponctuation supplémentaires et en changeant la casse de la première lettre du mot au début d’une mention. Par exemple : P302 + P335 + P334 “</w:t>
      </w:r>
      <w:r>
        <w:rPr>
          <w:b/>
          <w:bCs/>
        </w:rPr>
        <w:t>EN CAS DE CONTACT AVEC LA PEAU : Enlever avec précaution les particules déposées sur la peau et rincer à l’eau fraîche [ou poser une compresse humide]</w:t>
      </w:r>
      <w:r>
        <w:t>” ».</w:t>
      </w:r>
    </w:p>
    <w:p w14:paraId="744FEF07" w14:textId="77777777" w:rsidR="00233091" w:rsidRDefault="00233091" w:rsidP="00233091">
      <w:pPr>
        <w:pStyle w:val="SingleTxtG"/>
      </w:pPr>
      <w:r>
        <w:t>A3.2.2.4</w:t>
      </w:r>
      <w:r>
        <w:tab/>
        <w:t>Ajouter un nouveau paragraphe ainsi libellé :</w:t>
      </w:r>
    </w:p>
    <w:p w14:paraId="3991D016" w14:textId="77777777" w:rsidR="00233091" w:rsidRDefault="00233091" w:rsidP="00233091">
      <w:pPr>
        <w:pStyle w:val="SingleTxtG"/>
        <w:spacing w:after="240"/>
        <w:ind w:left="1701"/>
      </w:pPr>
      <w:r>
        <w:t>« A3.2.2.4</w:t>
      </w:r>
      <w:r>
        <w:tab/>
        <w:t>Lorsqu’un code de conseil de prudence est placé entre crochets […], cela veut dire que le conseil de prudence ne convient pas toujours et ne doit être utilisé que dans certains cas. Les conditions de son utilisation, qui précisent quand le texte doit être appliqué, sont données dans la colonne (5) des tableaux. ».</w:t>
      </w:r>
    </w:p>
    <w:p w14:paraId="5E97896E" w14:textId="77777777" w:rsidR="00233091" w:rsidRPr="00D70AED" w:rsidRDefault="00233091" w:rsidP="00233091">
      <w:pPr>
        <w:pStyle w:val="SingleTxtG"/>
        <w:rPr>
          <w:b/>
          <w:bCs/>
        </w:rPr>
      </w:pPr>
      <w:r w:rsidRPr="00D70AED">
        <w:rPr>
          <w:b/>
          <w:bCs/>
        </w:rPr>
        <w:t>Tableau A3.2.2</w:t>
      </w:r>
    </w:p>
    <w:p w14:paraId="2E1A9EEB" w14:textId="17BE53B4" w:rsidR="00233091" w:rsidRPr="006B7710" w:rsidRDefault="00233091" w:rsidP="00EF3B2C">
      <w:pPr>
        <w:pStyle w:val="Bullet1G"/>
        <w:numPr>
          <w:ilvl w:val="0"/>
          <w:numId w:val="1"/>
        </w:numPr>
        <w:tabs>
          <w:tab w:val="clear" w:pos="1701"/>
          <w:tab w:val="num" w:pos="1304"/>
          <w:tab w:val="num" w:pos="1418"/>
        </w:tabs>
        <w:ind w:left="1304"/>
      </w:pPr>
      <w:r w:rsidRPr="006B7710">
        <w:t>Conseil P262, colonne (4)</w:t>
      </w:r>
      <w:r w:rsidR="006B7710" w:rsidRPr="006B7710">
        <w:t xml:space="preserve"> : </w:t>
      </w:r>
      <w:r w:rsidRPr="006B7710">
        <w:t xml:space="preserve">Ajouter « 3 » après « 1, 2 » </w:t>
      </w:r>
    </w:p>
    <w:p w14:paraId="3BD0CC74" w14:textId="1529BDC0" w:rsidR="00233091" w:rsidRPr="006B7710" w:rsidRDefault="00233091" w:rsidP="00EF3B2C">
      <w:pPr>
        <w:pStyle w:val="Bullet1G"/>
        <w:numPr>
          <w:ilvl w:val="0"/>
          <w:numId w:val="1"/>
        </w:numPr>
        <w:tabs>
          <w:tab w:val="clear" w:pos="1701"/>
          <w:tab w:val="num" w:pos="1304"/>
          <w:tab w:val="num" w:pos="1418"/>
        </w:tabs>
        <w:ind w:left="1304"/>
      </w:pPr>
      <w:r w:rsidRPr="006B7710">
        <w:t>Conseils P264 et P270, colonne (4)</w:t>
      </w:r>
      <w:r w:rsidR="006B7710" w:rsidRPr="006B7710">
        <w:t xml:space="preserve"> : </w:t>
      </w:r>
      <w:r w:rsidRPr="006B7710">
        <w:t xml:space="preserve">Pour la classe de danger « Toxicité aiguë, cutanée » ajouter « 3 » après « 1, 2 » </w:t>
      </w:r>
    </w:p>
    <w:p w14:paraId="44EED92C" w14:textId="77777777" w:rsidR="00233091" w:rsidRPr="0060037C" w:rsidRDefault="00233091" w:rsidP="0060037C">
      <w:pPr>
        <w:pStyle w:val="SingleTxtG"/>
        <w:rPr>
          <w:b/>
          <w:bCs/>
        </w:rPr>
      </w:pPr>
      <w:r w:rsidRPr="0060037C">
        <w:rPr>
          <w:b/>
          <w:bCs/>
        </w:rPr>
        <w:t>Tableau A3.2.3 :</w:t>
      </w:r>
    </w:p>
    <w:p w14:paraId="1A0E4BD9" w14:textId="77777777" w:rsidR="00233091" w:rsidRDefault="00233091" w:rsidP="00233091">
      <w:pPr>
        <w:pStyle w:val="SingleTxtG"/>
        <w:keepNext/>
        <w:keepLines/>
      </w:pPr>
      <w:r>
        <w:t>Conseil « P302 + P335 + P334 », modifier le texte dans la colonne (2) pour lire comme suit : « </w:t>
      </w:r>
      <w:r>
        <w:rPr>
          <w:b/>
          <w:bCs/>
        </w:rPr>
        <w:t>EN CAS DE CONTACT AVEC LA PEAU : Enlever avec précaution les particules déposées sur la peau et rincer à l’eau fraîche [ou poser une compresse humide]</w:t>
      </w:r>
      <w:r>
        <w:t>. ».</w:t>
      </w:r>
    </w:p>
    <w:p w14:paraId="282EA638" w14:textId="77777777" w:rsidR="00233091" w:rsidRPr="004C2A3C" w:rsidRDefault="00233091" w:rsidP="00640E2E">
      <w:pPr>
        <w:pStyle w:val="H1G"/>
      </w:pPr>
      <w:r w:rsidRPr="004C2A3C">
        <w:tab/>
      </w:r>
      <w:r w:rsidRPr="004C2A3C">
        <w:tab/>
      </w:r>
      <w:r w:rsidRPr="004C2A3C">
        <w:tab/>
        <w:t>Section 3</w:t>
      </w:r>
    </w:p>
    <w:p w14:paraId="20AB734F" w14:textId="77777777" w:rsidR="00233091" w:rsidRPr="004C2A3C" w:rsidRDefault="00233091" w:rsidP="00233091">
      <w:pPr>
        <w:pStyle w:val="Bullet1G"/>
        <w:numPr>
          <w:ilvl w:val="0"/>
          <w:numId w:val="1"/>
        </w:numPr>
        <w:tabs>
          <w:tab w:val="clear" w:pos="1701"/>
          <w:tab w:val="num" w:pos="1304"/>
        </w:tabs>
        <w:ind w:left="1304"/>
      </w:pPr>
      <w:r w:rsidRPr="004C2A3C">
        <w:t>Tableaux relatifs aux gaz inflammables (</w:t>
      </w:r>
      <w:r>
        <w:t>c</w:t>
      </w:r>
      <w:r w:rsidRPr="004C2A3C">
        <w:t xml:space="preserve">hapitre 2.2) </w:t>
      </w:r>
    </w:p>
    <w:p w14:paraId="6C7363AE" w14:textId="77777777" w:rsidR="00233091" w:rsidRPr="004C2A3C" w:rsidRDefault="00233091" w:rsidP="00A04BDA">
      <w:pPr>
        <w:tabs>
          <w:tab w:val="left" w:pos="1276"/>
        </w:tabs>
        <w:spacing w:after="120"/>
        <w:ind w:left="1276" w:right="1134"/>
        <w:jc w:val="both"/>
      </w:pPr>
      <w:r w:rsidRPr="004C2A3C">
        <w:t>Supprimer les notes sous les tableaux pour les gaz pyrophoriques et gaz chimiquement instables</w:t>
      </w:r>
    </w:p>
    <w:p w14:paraId="05C00DDC" w14:textId="4D3489ED" w:rsidR="0060037C" w:rsidRDefault="00233091" w:rsidP="00A04BDA">
      <w:pPr>
        <w:pStyle w:val="Bullet1G"/>
        <w:keepNext/>
        <w:keepLines/>
        <w:numPr>
          <w:ilvl w:val="0"/>
          <w:numId w:val="1"/>
        </w:numPr>
        <w:tabs>
          <w:tab w:val="clear" w:pos="1701"/>
          <w:tab w:val="num" w:pos="1304"/>
        </w:tabs>
        <w:ind w:left="1304"/>
      </w:pPr>
      <w:r>
        <w:t>Tableau relatif aux matières solides pyrophoriques (chap. 2.10), catégorie de danger 1, colonne « Intervention »</w:t>
      </w:r>
    </w:p>
    <w:p w14:paraId="76D0AD46" w14:textId="33E06440" w:rsidR="00233091" w:rsidRPr="004E10C8" w:rsidRDefault="0060037C" w:rsidP="00A04BDA">
      <w:pPr>
        <w:pStyle w:val="Bullet1G"/>
        <w:keepNext/>
        <w:keepLines/>
        <w:numPr>
          <w:ilvl w:val="0"/>
          <w:numId w:val="0"/>
        </w:numPr>
        <w:ind w:left="1134" w:firstLine="170"/>
      </w:pPr>
      <w:r>
        <w:t>R</w:t>
      </w:r>
      <w:r w:rsidR="00233091">
        <w:t>emplacer la rubrique P302 + P335 + P334 par :</w:t>
      </w:r>
    </w:p>
    <w:p w14:paraId="3E943B6F" w14:textId="77777777" w:rsidR="00233091" w:rsidRDefault="00233091" w:rsidP="00A04BDA">
      <w:pPr>
        <w:keepNext/>
        <w:keepLines/>
        <w:spacing w:line="240" w:lineRule="auto"/>
        <w:ind w:left="1701"/>
        <w:jc w:val="both"/>
      </w:pPr>
      <w:r>
        <w:t>« P302 + P335 + P334</w:t>
      </w:r>
    </w:p>
    <w:p w14:paraId="57B8E578" w14:textId="77777777" w:rsidR="00233091" w:rsidRDefault="00233091" w:rsidP="00A04BDA">
      <w:pPr>
        <w:keepNext/>
        <w:keepLines/>
        <w:spacing w:line="240" w:lineRule="auto"/>
        <w:ind w:left="1701" w:right="1134"/>
        <w:jc w:val="both"/>
      </w:pPr>
      <w:r>
        <w:rPr>
          <w:b/>
          <w:bCs/>
        </w:rPr>
        <w:t>EN CAS DE CONTACT AVEC LA PEAU : Enlever avec précaution les particules déposées sur la peau et rincer à l’eau fraîche ou poser une compresse humide</w:t>
      </w:r>
      <w:r>
        <w:t>. ».</w:t>
      </w:r>
    </w:p>
    <w:p w14:paraId="4511C329" w14:textId="77777777" w:rsidR="00233091" w:rsidRPr="00165917" w:rsidRDefault="00233091" w:rsidP="00EB72C7">
      <w:pPr>
        <w:pStyle w:val="Bullet1G"/>
        <w:numPr>
          <w:ilvl w:val="0"/>
          <w:numId w:val="1"/>
        </w:numPr>
        <w:tabs>
          <w:tab w:val="clear" w:pos="1701"/>
          <w:tab w:val="num" w:pos="1304"/>
        </w:tabs>
        <w:spacing w:before="240"/>
        <w:ind w:left="1304"/>
      </w:pPr>
      <w:r w:rsidRPr="00165917">
        <w:t>Tableau relatif à la « Toxicité aiguë − par contact cutané (chapitre 3.1) », catégorie de danger 3, colonne « Prévention »</w:t>
      </w:r>
    </w:p>
    <w:p w14:paraId="5578D416" w14:textId="77777777" w:rsidR="00233091" w:rsidRPr="004C2A3C" w:rsidRDefault="00233091" w:rsidP="00233091">
      <w:pPr>
        <w:spacing w:after="120"/>
        <w:ind w:left="1276" w:right="1134"/>
        <w:jc w:val="both"/>
        <w:rPr>
          <w:lang w:val="fr-FR"/>
        </w:rPr>
      </w:pPr>
      <w:r w:rsidRPr="004C2A3C">
        <w:rPr>
          <w:lang w:val="fr-FR"/>
        </w:rPr>
        <w:t>Ajouter les rubriques suivantes :</w:t>
      </w:r>
    </w:p>
    <w:p w14:paraId="176D21D1" w14:textId="77777777" w:rsidR="00233091" w:rsidRPr="004C2A3C" w:rsidRDefault="00233091" w:rsidP="00233091">
      <w:pPr>
        <w:spacing w:line="240" w:lineRule="auto"/>
        <w:ind w:left="1985" w:hanging="284"/>
        <w:jc w:val="both"/>
        <w:rPr>
          <w:b/>
          <w:bCs/>
          <w:lang w:val="fr-FR"/>
        </w:rPr>
      </w:pPr>
      <w:r w:rsidRPr="004C2A3C">
        <w:rPr>
          <w:lang w:val="fr-FR"/>
        </w:rPr>
        <w:t>« P262</w:t>
      </w:r>
    </w:p>
    <w:p w14:paraId="50B70FE3" w14:textId="77777777" w:rsidR="00233091" w:rsidRPr="004C2A3C" w:rsidRDefault="00233091" w:rsidP="00233091">
      <w:pPr>
        <w:spacing w:after="120"/>
        <w:ind w:left="1985" w:hanging="284"/>
        <w:jc w:val="both"/>
        <w:rPr>
          <w:b/>
          <w:bCs/>
          <w:lang w:val="fr-FR"/>
        </w:rPr>
      </w:pPr>
      <w:r w:rsidRPr="004C2A3C">
        <w:rPr>
          <w:b/>
          <w:bCs/>
          <w:lang w:val="fr-FR"/>
        </w:rPr>
        <w:t>Éviter tout contact avec les yeux, la peau ou les vêtements.</w:t>
      </w:r>
    </w:p>
    <w:p w14:paraId="19E963D0" w14:textId="77777777" w:rsidR="00233091" w:rsidRPr="004C2A3C" w:rsidRDefault="00233091" w:rsidP="00233091">
      <w:pPr>
        <w:spacing w:line="240" w:lineRule="auto"/>
        <w:ind w:left="1985" w:hanging="284"/>
        <w:jc w:val="both"/>
        <w:rPr>
          <w:lang w:val="fr-FR"/>
        </w:rPr>
      </w:pPr>
      <w:r w:rsidRPr="004C2A3C">
        <w:rPr>
          <w:lang w:val="fr-FR"/>
        </w:rPr>
        <w:t>P264</w:t>
      </w:r>
    </w:p>
    <w:p w14:paraId="29A6EF11" w14:textId="77777777" w:rsidR="00233091" w:rsidRPr="004C2A3C" w:rsidRDefault="00233091" w:rsidP="00233091">
      <w:pPr>
        <w:suppressAutoHyphens w:val="0"/>
        <w:kinsoku/>
        <w:overflowPunct/>
        <w:autoSpaceDE/>
        <w:autoSpaceDN/>
        <w:adjustRightInd/>
        <w:snapToGrid/>
        <w:spacing w:line="240" w:lineRule="auto"/>
        <w:ind w:left="1701"/>
        <w:jc w:val="both"/>
        <w:rPr>
          <w:b/>
          <w:bCs/>
          <w:lang w:val="fr-FR"/>
        </w:rPr>
      </w:pPr>
      <w:r w:rsidRPr="004C2A3C">
        <w:rPr>
          <w:b/>
          <w:bCs/>
          <w:lang w:val="fr-FR"/>
        </w:rPr>
        <w:t>Se laver les mains [et...] soigneusement après manipulation.</w:t>
      </w:r>
    </w:p>
    <w:p w14:paraId="042E241D" w14:textId="77777777" w:rsidR="00233091" w:rsidRPr="004C2A3C" w:rsidRDefault="00233091" w:rsidP="00233091">
      <w:pPr>
        <w:spacing w:after="120"/>
        <w:ind w:left="1701" w:right="1134"/>
        <w:jc w:val="both"/>
        <w:rPr>
          <w:lang w:val="fr-FR"/>
        </w:rPr>
      </w:pPr>
      <w:r w:rsidRPr="004C2A3C">
        <w:rPr>
          <w:lang w:val="fr-FR"/>
        </w:rPr>
        <w:t>− Le texte entre crochets doit être utilisé lorsque le fabriquant/fournisseur ou l</w:t>
      </w:r>
      <w:r>
        <w:rPr>
          <w:lang w:val="fr-FR"/>
        </w:rPr>
        <w:t>’</w:t>
      </w:r>
      <w:r w:rsidRPr="004C2A3C">
        <w:rPr>
          <w:lang w:val="fr-FR"/>
        </w:rPr>
        <w:t>autorité compétente précise que d</w:t>
      </w:r>
      <w:r>
        <w:rPr>
          <w:lang w:val="fr-FR"/>
        </w:rPr>
        <w:t>’</w:t>
      </w:r>
      <w:r w:rsidRPr="004C2A3C">
        <w:rPr>
          <w:lang w:val="fr-FR"/>
        </w:rPr>
        <w:t>autres parties du corps doivent être lavées après manipulation.</w:t>
      </w:r>
    </w:p>
    <w:p w14:paraId="792C2434" w14:textId="77777777" w:rsidR="00233091" w:rsidRPr="004C2A3C" w:rsidRDefault="00233091" w:rsidP="00233091">
      <w:pPr>
        <w:spacing w:line="240" w:lineRule="auto"/>
        <w:ind w:left="1701"/>
        <w:jc w:val="both"/>
        <w:rPr>
          <w:lang w:val="fr-FR"/>
        </w:rPr>
      </w:pPr>
      <w:r w:rsidRPr="004C2A3C">
        <w:rPr>
          <w:lang w:val="fr-FR"/>
        </w:rPr>
        <w:t>P270</w:t>
      </w:r>
    </w:p>
    <w:p w14:paraId="2D75DD85" w14:textId="77777777" w:rsidR="00233091" w:rsidRPr="004C2A3C" w:rsidRDefault="00233091" w:rsidP="00233091">
      <w:pPr>
        <w:spacing w:after="120"/>
        <w:ind w:left="1701"/>
        <w:jc w:val="both"/>
        <w:rPr>
          <w:lang w:val="fr-FR"/>
        </w:rPr>
      </w:pPr>
      <w:r w:rsidRPr="004C2A3C">
        <w:rPr>
          <w:b/>
          <w:bCs/>
          <w:lang w:val="fr-FR"/>
        </w:rPr>
        <w:t>Ne pas manger, boire ou fumer en manipulant ce produit.</w:t>
      </w:r>
      <w:r w:rsidRPr="004C2A3C">
        <w:rPr>
          <w:lang w:val="fr-FR"/>
        </w:rPr>
        <w:t> ».</w:t>
      </w:r>
    </w:p>
    <w:p w14:paraId="6C3C7EC1" w14:textId="7BE2C770" w:rsidR="00233091" w:rsidRPr="007F3814" w:rsidRDefault="00233091" w:rsidP="007F3814">
      <w:pPr>
        <w:pStyle w:val="Bullet1G"/>
        <w:numPr>
          <w:ilvl w:val="0"/>
          <w:numId w:val="1"/>
        </w:numPr>
        <w:tabs>
          <w:tab w:val="clear" w:pos="1701"/>
          <w:tab w:val="num" w:pos="1304"/>
        </w:tabs>
        <w:ind w:left="1304"/>
      </w:pPr>
      <w:r w:rsidRPr="007F3814">
        <w:t>Tableaux relatifs à la sensibilisation respiratoire et à la sensibilisation cutanée (</w:t>
      </w:r>
      <w:r w:rsidR="001E2E61">
        <w:t>c</w:t>
      </w:r>
      <w:r w:rsidRPr="007F3814">
        <w:t>hapitre</w:t>
      </w:r>
      <w:r w:rsidR="001E2E61">
        <w:t> </w:t>
      </w:r>
      <w:r w:rsidRPr="007F3814">
        <w:t xml:space="preserve">3.4) </w:t>
      </w:r>
    </w:p>
    <w:p w14:paraId="67D79697" w14:textId="77777777" w:rsidR="00233091" w:rsidRPr="004C2A3C" w:rsidRDefault="00233091" w:rsidP="00F62CD9">
      <w:pPr>
        <w:spacing w:after="120"/>
        <w:ind w:left="1276" w:right="1134"/>
        <w:jc w:val="both"/>
        <w:rPr>
          <w:lang w:val="fr-FR"/>
        </w:rPr>
      </w:pPr>
      <w:r w:rsidRPr="004C2A3C">
        <w:rPr>
          <w:lang w:val="fr-FR"/>
        </w:rPr>
        <w:t>Modification sans objet en français.</w:t>
      </w:r>
    </w:p>
    <w:p w14:paraId="40965644" w14:textId="627854C1" w:rsidR="00F62CD9" w:rsidRPr="00F62CD9" w:rsidRDefault="00F62CD9" w:rsidP="00F62CD9">
      <w:pPr>
        <w:spacing w:before="240"/>
        <w:jc w:val="center"/>
        <w:rPr>
          <w:u w:val="single"/>
        </w:rPr>
      </w:pPr>
      <w:r>
        <w:rPr>
          <w:u w:val="single"/>
        </w:rPr>
        <w:tab/>
      </w:r>
      <w:r>
        <w:rPr>
          <w:u w:val="single"/>
        </w:rPr>
        <w:tab/>
      </w:r>
      <w:r>
        <w:rPr>
          <w:u w:val="single"/>
        </w:rPr>
        <w:tab/>
      </w:r>
    </w:p>
    <w:sectPr w:rsidR="00F62CD9" w:rsidRPr="00F62CD9" w:rsidSect="00074113">
      <w:headerReference w:type="even" r:id="rId39"/>
      <w:headerReference w:type="default" r:id="rId40"/>
      <w:footerReference w:type="even" r:id="rId41"/>
      <w:footerReference w:type="default" r:id="rId42"/>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3C9C3" w14:textId="77777777" w:rsidR="00084C6C" w:rsidRDefault="00084C6C" w:rsidP="00F95C08">
      <w:pPr>
        <w:spacing w:line="240" w:lineRule="auto"/>
      </w:pPr>
    </w:p>
  </w:endnote>
  <w:endnote w:type="continuationSeparator" w:id="0">
    <w:p w14:paraId="1D9779E1" w14:textId="77777777" w:rsidR="00084C6C" w:rsidRPr="00AC3823" w:rsidRDefault="00084C6C" w:rsidP="00AC3823">
      <w:pPr>
        <w:pStyle w:val="Footer"/>
      </w:pPr>
    </w:p>
  </w:endnote>
  <w:endnote w:type="continuationNotice" w:id="1">
    <w:p w14:paraId="396F891D" w14:textId="77777777" w:rsidR="00084C6C" w:rsidRDefault="00084C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5801" w14:textId="77777777" w:rsidR="00A31DD6" w:rsidRPr="00A31DD6" w:rsidRDefault="00A31DD6" w:rsidP="00A31DD6">
    <w:pPr>
      <w:pStyle w:val="Footer"/>
      <w:tabs>
        <w:tab w:val="right" w:pos="9638"/>
      </w:tabs>
      <w:rPr>
        <w:sz w:val="18"/>
      </w:rPr>
    </w:pPr>
    <w:r w:rsidRPr="00A31DD6">
      <w:rPr>
        <w:b/>
        <w:sz w:val="18"/>
      </w:rPr>
      <w:fldChar w:fldCharType="begin"/>
    </w:r>
    <w:r w:rsidRPr="00A31DD6">
      <w:rPr>
        <w:b/>
        <w:sz w:val="18"/>
      </w:rPr>
      <w:instrText xml:space="preserve"> PAGE  \* MERGEFORMAT </w:instrText>
    </w:r>
    <w:r w:rsidRPr="00A31DD6">
      <w:rPr>
        <w:b/>
        <w:sz w:val="18"/>
      </w:rPr>
      <w:fldChar w:fldCharType="separate"/>
    </w:r>
    <w:r w:rsidRPr="00A31DD6">
      <w:rPr>
        <w:b/>
        <w:noProof/>
        <w:sz w:val="18"/>
      </w:rPr>
      <w:t>2</w:t>
    </w:r>
    <w:r w:rsidRPr="00A31DD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A72B" w14:textId="77777777" w:rsidR="00A31DD6" w:rsidRPr="00A31DD6" w:rsidRDefault="00A31DD6" w:rsidP="00A31DD6">
    <w:pPr>
      <w:pStyle w:val="Footer"/>
      <w:tabs>
        <w:tab w:val="right" w:pos="9638"/>
      </w:tabs>
      <w:rPr>
        <w:b/>
        <w:sz w:val="18"/>
      </w:rPr>
    </w:pPr>
    <w:r>
      <w:tab/>
    </w:r>
    <w:r w:rsidRPr="00A31DD6">
      <w:rPr>
        <w:b/>
        <w:sz w:val="18"/>
      </w:rPr>
      <w:fldChar w:fldCharType="begin"/>
    </w:r>
    <w:r w:rsidRPr="00A31DD6">
      <w:rPr>
        <w:b/>
        <w:sz w:val="18"/>
      </w:rPr>
      <w:instrText xml:space="preserve"> PAGE  \* MERGEFORMAT </w:instrText>
    </w:r>
    <w:r w:rsidRPr="00A31DD6">
      <w:rPr>
        <w:b/>
        <w:sz w:val="18"/>
      </w:rPr>
      <w:fldChar w:fldCharType="separate"/>
    </w:r>
    <w:r w:rsidRPr="00A31DD6">
      <w:rPr>
        <w:b/>
        <w:noProof/>
        <w:sz w:val="18"/>
      </w:rPr>
      <w:t>3</w:t>
    </w:r>
    <w:r w:rsidRPr="00A31D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ABCA" w14:textId="77777777" w:rsidR="0068456F" w:rsidRPr="00A31DD6" w:rsidRDefault="0068456F">
    <w:pPr>
      <w:pStyle w:val="Footer"/>
      <w:rPr>
        <w:sz w:val="20"/>
      </w:rPr>
    </w:pPr>
    <w:r>
      <w:rPr>
        <w:noProof/>
        <w:lang w:eastAsia="fr-CH"/>
      </w:rPr>
      <w:drawing>
        <wp:anchor distT="0" distB="0" distL="114300" distR="114300" simplePos="0" relativeHeight="251658240" behindDoc="0" locked="0" layoutInCell="1" allowOverlap="0" wp14:anchorId="2F68CBAB" wp14:editId="625A3284">
          <wp:simplePos x="0" y="0"/>
          <wp:positionH relativeFrom="margin">
            <wp:posOffset>5003800</wp:posOffset>
          </wp:positionH>
          <wp:positionV relativeFrom="margin">
            <wp:posOffset>9323705</wp:posOffset>
          </wp:positionV>
          <wp:extent cx="1105200" cy="234000"/>
          <wp:effectExtent l="0" t="0" r="0" b="0"/>
          <wp:wrapNone/>
          <wp:docPr id="6"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EC82" w14:textId="628E2AA2" w:rsidR="00F764BF" w:rsidRPr="00F764BF" w:rsidRDefault="00F764BF" w:rsidP="00F764BF">
    <w:pPr>
      <w:pStyle w:val="Footer"/>
    </w:pPr>
    <w:r>
      <w:rPr>
        <w:noProof/>
      </w:rPr>
      <mc:AlternateContent>
        <mc:Choice Requires="wps">
          <w:drawing>
            <wp:anchor distT="0" distB="0" distL="114300" distR="114300" simplePos="0" relativeHeight="251658244" behindDoc="0" locked="0" layoutInCell="1" allowOverlap="1" wp14:anchorId="03067FC4" wp14:editId="4F5F4C31">
              <wp:simplePos x="0" y="0"/>
              <wp:positionH relativeFrom="margin">
                <wp:posOffset>-431800</wp:posOffset>
              </wp:positionH>
              <wp:positionV relativeFrom="margin">
                <wp:posOffset>0</wp:posOffset>
              </wp:positionV>
              <wp:extent cx="215900" cy="61201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0F4F01" w14:textId="77777777" w:rsidR="00F764BF" w:rsidRPr="00A31DD6" w:rsidRDefault="00F764BF" w:rsidP="00F764BF">
                          <w:pPr>
                            <w:pStyle w:val="Footer"/>
                            <w:tabs>
                              <w:tab w:val="right" w:pos="9638"/>
                            </w:tabs>
                            <w:rPr>
                              <w:sz w:val="18"/>
                            </w:rPr>
                          </w:pPr>
                          <w:r w:rsidRPr="00A31DD6">
                            <w:rPr>
                              <w:b/>
                              <w:sz w:val="18"/>
                            </w:rPr>
                            <w:fldChar w:fldCharType="begin"/>
                          </w:r>
                          <w:r w:rsidRPr="00A31DD6">
                            <w:rPr>
                              <w:b/>
                              <w:sz w:val="18"/>
                            </w:rPr>
                            <w:instrText xml:space="preserve"> PAGE  \* MERGEFORMAT </w:instrText>
                          </w:r>
                          <w:r w:rsidRPr="00A31DD6">
                            <w:rPr>
                              <w:b/>
                              <w:sz w:val="18"/>
                            </w:rPr>
                            <w:fldChar w:fldCharType="separate"/>
                          </w:r>
                          <w:r>
                            <w:rPr>
                              <w:b/>
                              <w:sz w:val="18"/>
                            </w:rPr>
                            <w:t>4</w:t>
                          </w:r>
                          <w:r w:rsidRPr="00A31DD6">
                            <w:rPr>
                              <w:b/>
                              <w:sz w:val="18"/>
                            </w:rPr>
                            <w:fldChar w:fldCharType="end"/>
                          </w:r>
                          <w:r>
                            <w:rPr>
                              <w:sz w:val="18"/>
                            </w:rPr>
                            <w:tab/>
                          </w:r>
                        </w:p>
                        <w:p w14:paraId="05F416BD" w14:textId="77777777" w:rsidR="00F764BF" w:rsidRDefault="00F764B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3067FC4" id="_x0000_t202" coordsize="21600,21600" o:spt="202" path="m,l,21600r21600,l21600,xe">
              <v:stroke joinstyle="miter"/>
              <v:path gradientshapeok="t" o:connecttype="rect"/>
            </v:shapetype>
            <v:shape id="Text Box 10" o:spid="_x0000_s1028" type="#_x0000_t202" style="position:absolute;margin-left:-34pt;margin-top:0;width:17pt;height:481.9pt;z-index:2516582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A0F4F01" w14:textId="77777777" w:rsidR="00F764BF" w:rsidRPr="00A31DD6" w:rsidRDefault="00F764BF" w:rsidP="00F764BF">
                    <w:pPr>
                      <w:pStyle w:val="Footer"/>
                      <w:tabs>
                        <w:tab w:val="right" w:pos="9638"/>
                      </w:tabs>
                      <w:rPr>
                        <w:sz w:val="18"/>
                      </w:rPr>
                    </w:pPr>
                    <w:r w:rsidRPr="00A31DD6">
                      <w:rPr>
                        <w:b/>
                        <w:sz w:val="18"/>
                      </w:rPr>
                      <w:fldChar w:fldCharType="begin"/>
                    </w:r>
                    <w:r w:rsidRPr="00A31DD6">
                      <w:rPr>
                        <w:b/>
                        <w:sz w:val="18"/>
                      </w:rPr>
                      <w:instrText xml:space="preserve"> PAGE  \* MERGEFORMAT </w:instrText>
                    </w:r>
                    <w:r w:rsidRPr="00A31DD6">
                      <w:rPr>
                        <w:b/>
                        <w:sz w:val="18"/>
                      </w:rPr>
                      <w:fldChar w:fldCharType="separate"/>
                    </w:r>
                    <w:r>
                      <w:rPr>
                        <w:b/>
                        <w:sz w:val="18"/>
                      </w:rPr>
                      <w:t>4</w:t>
                    </w:r>
                    <w:r w:rsidRPr="00A31DD6">
                      <w:rPr>
                        <w:b/>
                        <w:sz w:val="18"/>
                      </w:rPr>
                      <w:fldChar w:fldCharType="end"/>
                    </w:r>
                    <w:r>
                      <w:rPr>
                        <w:sz w:val="18"/>
                      </w:rPr>
                      <w:tab/>
                    </w:r>
                  </w:p>
                  <w:p w14:paraId="05F416BD" w14:textId="77777777" w:rsidR="00F764BF" w:rsidRDefault="00F764B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F687" w14:textId="55E21ABD" w:rsidR="00F764BF" w:rsidRPr="00F764BF" w:rsidRDefault="00F764BF" w:rsidP="00F764BF">
    <w:pPr>
      <w:pStyle w:val="Footer"/>
    </w:pPr>
    <w:r>
      <w:rPr>
        <w:noProof/>
      </w:rPr>
      <mc:AlternateContent>
        <mc:Choice Requires="wps">
          <w:drawing>
            <wp:anchor distT="0" distB="0" distL="114300" distR="114300" simplePos="0" relativeHeight="251658242" behindDoc="0" locked="0" layoutInCell="1" allowOverlap="1" wp14:anchorId="5E289A27" wp14:editId="77F88007">
              <wp:simplePos x="0" y="0"/>
              <wp:positionH relativeFrom="margin">
                <wp:posOffset>-431800</wp:posOffset>
              </wp:positionH>
              <wp:positionV relativeFrom="margin">
                <wp:posOffset>0</wp:posOffset>
              </wp:positionV>
              <wp:extent cx="215900" cy="612013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AA1805D" w14:textId="77777777" w:rsidR="00F764BF" w:rsidRPr="00A31DD6" w:rsidRDefault="00F764BF" w:rsidP="00F764BF">
                          <w:pPr>
                            <w:pStyle w:val="Footer"/>
                            <w:tabs>
                              <w:tab w:val="right" w:pos="9638"/>
                            </w:tabs>
                            <w:rPr>
                              <w:b/>
                              <w:sz w:val="18"/>
                            </w:rPr>
                          </w:pPr>
                          <w:r>
                            <w:tab/>
                          </w:r>
                          <w:r w:rsidRPr="00A31DD6">
                            <w:rPr>
                              <w:b/>
                              <w:sz w:val="18"/>
                            </w:rPr>
                            <w:fldChar w:fldCharType="begin"/>
                          </w:r>
                          <w:r w:rsidRPr="00A31DD6">
                            <w:rPr>
                              <w:b/>
                              <w:sz w:val="18"/>
                            </w:rPr>
                            <w:instrText xml:space="preserve"> PAGE  \* MERGEFORMAT </w:instrText>
                          </w:r>
                          <w:r w:rsidRPr="00A31DD6">
                            <w:rPr>
                              <w:b/>
                              <w:sz w:val="18"/>
                            </w:rPr>
                            <w:fldChar w:fldCharType="separate"/>
                          </w:r>
                          <w:r>
                            <w:rPr>
                              <w:b/>
                              <w:sz w:val="18"/>
                            </w:rPr>
                            <w:t>3</w:t>
                          </w:r>
                          <w:r w:rsidRPr="00A31DD6">
                            <w:rPr>
                              <w:b/>
                              <w:sz w:val="18"/>
                            </w:rPr>
                            <w:fldChar w:fldCharType="end"/>
                          </w:r>
                        </w:p>
                        <w:p w14:paraId="4D022857" w14:textId="77777777" w:rsidR="00F764BF" w:rsidRDefault="00F764B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E289A27" id="_x0000_t202" coordsize="21600,21600" o:spt="202" path="m,l,21600r21600,l21600,xe">
              <v:stroke joinstyle="miter"/>
              <v:path gradientshapeok="t" o:connecttype="rect"/>
            </v:shapetype>
            <v:shape id="Text Box 8" o:spid="_x0000_s1029" type="#_x0000_t202" style="position:absolute;margin-left:-34pt;margin-top:0;width:17pt;height:481.9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5AA1805D" w14:textId="77777777" w:rsidR="00F764BF" w:rsidRPr="00A31DD6" w:rsidRDefault="00F764BF" w:rsidP="00F764BF">
                    <w:pPr>
                      <w:pStyle w:val="Footer"/>
                      <w:tabs>
                        <w:tab w:val="right" w:pos="9638"/>
                      </w:tabs>
                      <w:rPr>
                        <w:b/>
                        <w:sz w:val="18"/>
                      </w:rPr>
                    </w:pPr>
                    <w:r>
                      <w:tab/>
                    </w:r>
                    <w:r w:rsidRPr="00A31DD6">
                      <w:rPr>
                        <w:b/>
                        <w:sz w:val="18"/>
                      </w:rPr>
                      <w:fldChar w:fldCharType="begin"/>
                    </w:r>
                    <w:r w:rsidRPr="00A31DD6">
                      <w:rPr>
                        <w:b/>
                        <w:sz w:val="18"/>
                      </w:rPr>
                      <w:instrText xml:space="preserve"> PAGE  \* MERGEFORMAT </w:instrText>
                    </w:r>
                    <w:r w:rsidRPr="00A31DD6">
                      <w:rPr>
                        <w:b/>
                        <w:sz w:val="18"/>
                      </w:rPr>
                      <w:fldChar w:fldCharType="separate"/>
                    </w:r>
                    <w:r>
                      <w:rPr>
                        <w:b/>
                        <w:sz w:val="18"/>
                      </w:rPr>
                      <w:t>3</w:t>
                    </w:r>
                    <w:r w:rsidRPr="00A31DD6">
                      <w:rPr>
                        <w:b/>
                        <w:sz w:val="18"/>
                      </w:rPr>
                      <w:fldChar w:fldCharType="end"/>
                    </w:r>
                  </w:p>
                  <w:p w14:paraId="4D022857" w14:textId="77777777" w:rsidR="00F764BF" w:rsidRDefault="00F764BF"/>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314B" w14:textId="19C2AD29" w:rsidR="00074113" w:rsidRPr="00074113" w:rsidRDefault="00074113" w:rsidP="00074113">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30</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1FFE" w14:textId="35DB1758" w:rsidR="00074113" w:rsidRPr="00074113" w:rsidRDefault="00074113" w:rsidP="00074113">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8A501" w14:textId="77777777" w:rsidR="00084C6C" w:rsidRPr="00AC3823" w:rsidRDefault="00084C6C" w:rsidP="00AC3823">
      <w:pPr>
        <w:pStyle w:val="Footer"/>
        <w:tabs>
          <w:tab w:val="right" w:pos="2155"/>
        </w:tabs>
        <w:spacing w:after="80" w:line="240" w:lineRule="atLeast"/>
        <w:ind w:left="680"/>
        <w:rPr>
          <w:u w:val="single"/>
        </w:rPr>
      </w:pPr>
      <w:r>
        <w:rPr>
          <w:u w:val="single"/>
        </w:rPr>
        <w:tab/>
      </w:r>
    </w:p>
  </w:footnote>
  <w:footnote w:type="continuationSeparator" w:id="0">
    <w:p w14:paraId="720850D2" w14:textId="77777777" w:rsidR="00084C6C" w:rsidRPr="00AC3823" w:rsidRDefault="00084C6C" w:rsidP="00AC3823">
      <w:pPr>
        <w:pStyle w:val="Footer"/>
        <w:tabs>
          <w:tab w:val="right" w:pos="2155"/>
        </w:tabs>
        <w:spacing w:after="80" w:line="240" w:lineRule="atLeast"/>
        <w:ind w:left="680"/>
        <w:rPr>
          <w:u w:val="single"/>
        </w:rPr>
      </w:pPr>
      <w:r>
        <w:rPr>
          <w:u w:val="single"/>
        </w:rPr>
        <w:tab/>
      </w:r>
    </w:p>
  </w:footnote>
  <w:footnote w:type="continuationNotice" w:id="1">
    <w:p w14:paraId="6CABBE2D" w14:textId="77777777" w:rsidR="00084C6C" w:rsidRPr="00AC3823" w:rsidRDefault="00084C6C">
      <w:pPr>
        <w:spacing w:line="240" w:lineRule="auto"/>
        <w:rPr>
          <w:sz w:val="2"/>
          <w:szCs w:val="2"/>
        </w:rPr>
      </w:pPr>
    </w:p>
  </w:footnote>
  <w:footnote w:id="2">
    <w:p w14:paraId="2396E78E" w14:textId="79B5159B" w:rsidR="00E61560" w:rsidRPr="00E61560" w:rsidRDefault="00E61560" w:rsidP="00CC23D7">
      <w:pPr>
        <w:pStyle w:val="FootnoteText"/>
      </w:pPr>
      <w:r>
        <w:rPr>
          <w:rStyle w:val="FootnoteReference"/>
        </w:rPr>
        <w:tab/>
      </w:r>
      <w:r w:rsidRPr="00E61560">
        <w:rPr>
          <w:rStyle w:val="FootnoteReference"/>
          <w:sz w:val="20"/>
          <w:vertAlign w:val="baseline"/>
        </w:rPr>
        <w:t>*</w:t>
      </w:r>
      <w:r>
        <w:rPr>
          <w:rStyle w:val="FootnoteReference"/>
          <w:sz w:val="20"/>
          <w:vertAlign w:val="baseline"/>
        </w:rPr>
        <w:tab/>
      </w:r>
      <w:r w:rsidR="00CC23D7">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5E8A" w14:textId="39D20A0F" w:rsidR="00A31DD6" w:rsidRPr="00A31DD6" w:rsidRDefault="00A04BDA">
    <w:pPr>
      <w:pStyle w:val="Header"/>
    </w:pPr>
    <w:fldSimple w:instr=" TITLE  \* MERGEFORMAT ">
      <w:r w:rsidR="00CB1F52">
        <w:t>ST/SG/AC.10/C.4/2022/13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2AC6" w14:textId="184E51D0" w:rsidR="00A31DD6" w:rsidRPr="00A31DD6" w:rsidRDefault="00A04BDA" w:rsidP="00A31DD6">
    <w:pPr>
      <w:pStyle w:val="Header"/>
      <w:jc w:val="right"/>
    </w:pPr>
    <w:fldSimple w:instr=" TITLE  \* MERGEFORMAT ">
      <w:r w:rsidR="00CB1F52">
        <w:t>ST/SG/AC.10/C.4/2022/13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C062" w14:textId="46E31185" w:rsidR="00F764BF" w:rsidRPr="00F764BF" w:rsidRDefault="00F764BF" w:rsidP="00F764BF">
    <w:r>
      <w:rPr>
        <w:noProof/>
      </w:rPr>
      <mc:AlternateContent>
        <mc:Choice Requires="wps">
          <w:drawing>
            <wp:anchor distT="0" distB="0" distL="114300" distR="114300" simplePos="0" relativeHeight="251658243" behindDoc="0" locked="0" layoutInCell="1" allowOverlap="1" wp14:anchorId="10240664" wp14:editId="3E702E95">
              <wp:simplePos x="0" y="0"/>
              <wp:positionH relativeFrom="page">
                <wp:posOffset>9935845</wp:posOffset>
              </wp:positionH>
              <wp:positionV relativeFrom="margin">
                <wp:posOffset>0</wp:posOffset>
              </wp:positionV>
              <wp:extent cx="215900" cy="6120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19FFE01" w14:textId="44154116" w:rsidR="00F764BF" w:rsidRPr="00A31DD6" w:rsidRDefault="00BF4EB8" w:rsidP="00F764BF">
                          <w:pPr>
                            <w:pStyle w:val="Header"/>
                          </w:pPr>
                          <w:r>
                            <w:fldChar w:fldCharType="begin"/>
                          </w:r>
                          <w:r>
                            <w:instrText xml:space="preserve"> TITLE  \* MERGEFORMAT </w:instrText>
                          </w:r>
                          <w:r>
                            <w:fldChar w:fldCharType="separate"/>
                          </w:r>
                          <w:r w:rsidR="00CB1F52">
                            <w:t>ST/SG/AC.10/C.4/2022/13</w:t>
                          </w:r>
                          <w:r>
                            <w:fldChar w:fldCharType="end"/>
                          </w:r>
                        </w:p>
                        <w:p w14:paraId="24F05405" w14:textId="77777777" w:rsidR="00F764BF" w:rsidRDefault="00F764B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0240664" id="_x0000_t202" coordsize="21600,21600" o:spt="202" path="m,l,21600r21600,l21600,xe">
              <v:stroke joinstyle="miter"/>
              <v:path gradientshapeok="t" o:connecttype="rect"/>
            </v:shapetype>
            <v:shape id="Text Box 9" o:spid="_x0000_s1026" type="#_x0000_t202" style="position:absolute;margin-left:782.35pt;margin-top:0;width:17pt;height:481.9pt;z-index:25165824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319FFE01" w14:textId="44154116" w:rsidR="00F764BF" w:rsidRPr="00A31DD6" w:rsidRDefault="00BF4EB8" w:rsidP="00F764BF">
                    <w:pPr>
                      <w:pStyle w:val="Header"/>
                    </w:pPr>
                    <w:r>
                      <w:fldChar w:fldCharType="begin"/>
                    </w:r>
                    <w:r>
                      <w:instrText xml:space="preserve"> TITLE  \* MERGEFORMAT </w:instrText>
                    </w:r>
                    <w:r>
                      <w:fldChar w:fldCharType="separate"/>
                    </w:r>
                    <w:r w:rsidR="00CB1F52">
                      <w:t>ST/SG/AC.10/C.4/2022/13</w:t>
                    </w:r>
                    <w:r>
                      <w:fldChar w:fldCharType="end"/>
                    </w:r>
                  </w:p>
                  <w:p w14:paraId="24F05405" w14:textId="77777777" w:rsidR="00F764BF" w:rsidRDefault="00F764B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A027" w14:textId="616E3E17" w:rsidR="00F764BF" w:rsidRPr="00F764BF" w:rsidRDefault="00F764BF" w:rsidP="00F764BF">
    <w:r>
      <w:rPr>
        <w:noProof/>
      </w:rPr>
      <mc:AlternateContent>
        <mc:Choice Requires="wps">
          <w:drawing>
            <wp:anchor distT="0" distB="0" distL="114300" distR="114300" simplePos="0" relativeHeight="251658241" behindDoc="0" locked="0" layoutInCell="1" allowOverlap="1" wp14:anchorId="5D50D830" wp14:editId="439817E5">
              <wp:simplePos x="0" y="0"/>
              <wp:positionH relativeFrom="page">
                <wp:posOffset>9935845</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A4CFB08" w14:textId="7A88934C" w:rsidR="00F764BF" w:rsidRPr="00A31DD6" w:rsidRDefault="00BF4EB8" w:rsidP="00F764BF">
                          <w:pPr>
                            <w:pStyle w:val="Header"/>
                            <w:jc w:val="right"/>
                          </w:pPr>
                          <w:r>
                            <w:fldChar w:fldCharType="begin"/>
                          </w:r>
                          <w:r>
                            <w:instrText xml:space="preserve"> TITLE  \* MERGEFORMAT </w:instrText>
                          </w:r>
                          <w:r>
                            <w:fldChar w:fldCharType="separate"/>
                          </w:r>
                          <w:r w:rsidR="00CB1F52">
                            <w:t>ST/SG/AC.10/C.4/2022/13</w:t>
                          </w:r>
                          <w:r>
                            <w:fldChar w:fldCharType="end"/>
                          </w:r>
                        </w:p>
                        <w:p w14:paraId="75656089" w14:textId="77777777" w:rsidR="00F764BF" w:rsidRDefault="00F764B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D50D830" id="_x0000_t202" coordsize="21600,21600" o:spt="202" path="m,l,21600r21600,l21600,xe">
              <v:stroke joinstyle="miter"/>
              <v:path gradientshapeok="t" o:connecttype="rect"/>
            </v:shapetype>
            <v:shape id="Text Box 7" o:spid="_x0000_s1027"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3A4CFB08" w14:textId="7A88934C" w:rsidR="00F764BF" w:rsidRPr="00A31DD6" w:rsidRDefault="00BF4EB8" w:rsidP="00F764BF">
                    <w:pPr>
                      <w:pStyle w:val="Header"/>
                      <w:jc w:val="right"/>
                    </w:pPr>
                    <w:r>
                      <w:fldChar w:fldCharType="begin"/>
                    </w:r>
                    <w:r>
                      <w:instrText xml:space="preserve"> TITLE  \* MERGEFORMAT </w:instrText>
                    </w:r>
                    <w:r>
                      <w:fldChar w:fldCharType="separate"/>
                    </w:r>
                    <w:r w:rsidR="00CB1F52">
                      <w:t>ST/SG/AC.10/C.4/2022/13</w:t>
                    </w:r>
                    <w:r>
                      <w:fldChar w:fldCharType="end"/>
                    </w:r>
                  </w:p>
                  <w:p w14:paraId="75656089" w14:textId="77777777" w:rsidR="00F764BF" w:rsidRDefault="00F764BF"/>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D466" w14:textId="52351AE2" w:rsidR="00074113" w:rsidRPr="00074113" w:rsidRDefault="00A04BDA" w:rsidP="00074113">
    <w:pPr>
      <w:pStyle w:val="Header"/>
    </w:pPr>
    <w:fldSimple w:instr=" TITLE  \* MERGEFORMAT ">
      <w:r w:rsidR="00CB1F52">
        <w:t>ST/SG/AC.10/C.4/2022/13</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53BB" w14:textId="11C0A282" w:rsidR="00074113" w:rsidRPr="00074113" w:rsidRDefault="00A04BDA" w:rsidP="00074113">
    <w:pPr>
      <w:pStyle w:val="Header"/>
      <w:jc w:val="right"/>
    </w:pPr>
    <w:fldSimple w:instr=" TITLE  \* MERGEFORMAT ">
      <w:r w:rsidR="00CB1F52">
        <w:t>ST/SG/AC.10/C.4/2022/13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553F4E"/>
    <w:multiLevelType w:val="hybridMultilevel"/>
    <w:tmpl w:val="AB242CCA"/>
    <w:lvl w:ilvl="0" w:tplc="4A3A0E9E">
      <w:start w:val="1"/>
      <w:numFmt w:val="lowerLetter"/>
      <w:lvlText w:val="(%1)"/>
      <w:lvlJc w:val="left"/>
      <w:pPr>
        <w:ind w:left="1854"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3400D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C256B62"/>
    <w:multiLevelType w:val="hybridMultilevel"/>
    <w:tmpl w:val="A9943C50"/>
    <w:lvl w:ilvl="0" w:tplc="4A3A0E9E">
      <w:start w:val="1"/>
      <w:numFmt w:val="lowerLetter"/>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231F95"/>
    <w:multiLevelType w:val="hybridMultilevel"/>
    <w:tmpl w:val="1F8A4EEC"/>
    <w:lvl w:ilvl="0" w:tplc="D3001EE2">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535E01CE"/>
    <w:multiLevelType w:val="hybridMultilevel"/>
    <w:tmpl w:val="C2665ACE"/>
    <w:lvl w:ilvl="0" w:tplc="A42813B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BFC23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5CDD637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EB2E96"/>
    <w:multiLevelType w:val="hybridMultilevel"/>
    <w:tmpl w:val="3B7A0EBA"/>
    <w:lvl w:ilvl="0" w:tplc="AE7C7A4C">
      <w:start w:val="5"/>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B0913BF"/>
    <w:multiLevelType w:val="hybridMultilevel"/>
    <w:tmpl w:val="815E8066"/>
    <w:lvl w:ilvl="0" w:tplc="19ECF12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6C7E5D63"/>
    <w:multiLevelType w:val="hybridMultilevel"/>
    <w:tmpl w:val="852C89EC"/>
    <w:lvl w:ilvl="0" w:tplc="B3D8F3E0">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E4E552C"/>
    <w:multiLevelType w:val="hybridMultilevel"/>
    <w:tmpl w:val="87FC648A"/>
    <w:lvl w:ilvl="0" w:tplc="4DE48234">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1" w15:restartNumberingAfterBreak="0">
    <w:nsid w:val="7FD85E3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7"/>
  </w:num>
  <w:num w:numId="2">
    <w:abstractNumId w:val="2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20"/>
  </w:num>
  <w:num w:numId="16">
    <w:abstractNumId w:val="12"/>
  </w:num>
  <w:num w:numId="17">
    <w:abstractNumId w:val="19"/>
  </w:num>
  <w:num w:numId="18">
    <w:abstractNumId w:val="17"/>
  </w:num>
  <w:num w:numId="19">
    <w:abstractNumId w:val="10"/>
  </w:num>
  <w:num w:numId="20">
    <w:abstractNumId w:val="24"/>
  </w:num>
  <w:num w:numId="21">
    <w:abstractNumId w:val="22"/>
  </w:num>
  <w:num w:numId="22">
    <w:abstractNumId w:val="15"/>
  </w:num>
  <w:num w:numId="23">
    <w:abstractNumId w:val="14"/>
  </w:num>
  <w:num w:numId="24">
    <w:abstractNumId w:val="11"/>
  </w:num>
  <w:num w:numId="25">
    <w:abstractNumId w:val="2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1"/>
  </w:num>
  <w:num w:numId="30">
    <w:abstractNumId w:val="18"/>
  </w:num>
  <w:num w:numId="31">
    <w:abstractNumId w:val="28"/>
  </w:num>
  <w:num w:numId="32">
    <w:abstractNumId w:val="29"/>
  </w:num>
  <w:num w:numId="33">
    <w:abstractNumId w:val="25"/>
  </w:num>
  <w:num w:numId="34">
    <w:abstractNumId w:val="31"/>
  </w:num>
  <w:num w:numId="35">
    <w:abstractNumId w:val="23"/>
  </w:num>
  <w:num w:numId="36">
    <w:abstractNumId w:val="27"/>
  </w:num>
  <w:num w:numId="37">
    <w:abstractNumId w:val="2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savePreviewPicture/>
  <w:hdrShapeDefaults>
    <o:shapedefaults v:ext="edit" spidmax="2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DD6"/>
    <w:rsid w:val="00017F94"/>
    <w:rsid w:val="00023842"/>
    <w:rsid w:val="000305D3"/>
    <w:rsid w:val="000334F9"/>
    <w:rsid w:val="00074113"/>
    <w:rsid w:val="0007646C"/>
    <w:rsid w:val="0007796D"/>
    <w:rsid w:val="00084C6C"/>
    <w:rsid w:val="000B7790"/>
    <w:rsid w:val="00101A00"/>
    <w:rsid w:val="00104EF1"/>
    <w:rsid w:val="00111F2F"/>
    <w:rsid w:val="00132EA9"/>
    <w:rsid w:val="0014365E"/>
    <w:rsid w:val="00167865"/>
    <w:rsid w:val="00176178"/>
    <w:rsid w:val="00197BBD"/>
    <w:rsid w:val="001B24C5"/>
    <w:rsid w:val="001E2E61"/>
    <w:rsid w:val="001E32D4"/>
    <w:rsid w:val="001F525A"/>
    <w:rsid w:val="00223272"/>
    <w:rsid w:val="002250B7"/>
    <w:rsid w:val="00233091"/>
    <w:rsid w:val="0024779E"/>
    <w:rsid w:val="00281A18"/>
    <w:rsid w:val="00283190"/>
    <w:rsid w:val="002832AC"/>
    <w:rsid w:val="002A6322"/>
    <w:rsid w:val="002D7C93"/>
    <w:rsid w:val="003863FE"/>
    <w:rsid w:val="00387B16"/>
    <w:rsid w:val="003B107D"/>
    <w:rsid w:val="003E4D59"/>
    <w:rsid w:val="003F4C42"/>
    <w:rsid w:val="004049E1"/>
    <w:rsid w:val="00433765"/>
    <w:rsid w:val="00441C3B"/>
    <w:rsid w:val="00446FE5"/>
    <w:rsid w:val="00452396"/>
    <w:rsid w:val="00453306"/>
    <w:rsid w:val="00465CCD"/>
    <w:rsid w:val="004B0DC7"/>
    <w:rsid w:val="004D7701"/>
    <w:rsid w:val="004E468C"/>
    <w:rsid w:val="00503921"/>
    <w:rsid w:val="005505B7"/>
    <w:rsid w:val="00573BE5"/>
    <w:rsid w:val="00584DC4"/>
    <w:rsid w:val="00586ED3"/>
    <w:rsid w:val="00596AA9"/>
    <w:rsid w:val="005D1585"/>
    <w:rsid w:val="0060037C"/>
    <w:rsid w:val="006179B3"/>
    <w:rsid w:val="00637BC6"/>
    <w:rsid w:val="00640E2E"/>
    <w:rsid w:val="006468B2"/>
    <w:rsid w:val="00673F38"/>
    <w:rsid w:val="0068456F"/>
    <w:rsid w:val="0069525D"/>
    <w:rsid w:val="006A1444"/>
    <w:rsid w:val="006B7710"/>
    <w:rsid w:val="006D2189"/>
    <w:rsid w:val="006E2F62"/>
    <w:rsid w:val="0071586A"/>
    <w:rsid w:val="0071601D"/>
    <w:rsid w:val="00720BCE"/>
    <w:rsid w:val="00746C90"/>
    <w:rsid w:val="007513FE"/>
    <w:rsid w:val="00755D57"/>
    <w:rsid w:val="00770081"/>
    <w:rsid w:val="0078524F"/>
    <w:rsid w:val="007A0144"/>
    <w:rsid w:val="007A62E6"/>
    <w:rsid w:val="007B04C4"/>
    <w:rsid w:val="007F3814"/>
    <w:rsid w:val="0080684C"/>
    <w:rsid w:val="008350EA"/>
    <w:rsid w:val="008443E4"/>
    <w:rsid w:val="00871C75"/>
    <w:rsid w:val="008776DC"/>
    <w:rsid w:val="00895BDC"/>
    <w:rsid w:val="008A7CBC"/>
    <w:rsid w:val="008B1D89"/>
    <w:rsid w:val="008B40CD"/>
    <w:rsid w:val="008D1004"/>
    <w:rsid w:val="00906F92"/>
    <w:rsid w:val="00915CF4"/>
    <w:rsid w:val="00944898"/>
    <w:rsid w:val="009455CF"/>
    <w:rsid w:val="009615B3"/>
    <w:rsid w:val="009705C8"/>
    <w:rsid w:val="009744DF"/>
    <w:rsid w:val="009855C7"/>
    <w:rsid w:val="009973FD"/>
    <w:rsid w:val="009B4BB5"/>
    <w:rsid w:val="009C1CF4"/>
    <w:rsid w:val="009E1C59"/>
    <w:rsid w:val="009E3DD9"/>
    <w:rsid w:val="00A04BDA"/>
    <w:rsid w:val="00A30353"/>
    <w:rsid w:val="00A31DD6"/>
    <w:rsid w:val="00A76248"/>
    <w:rsid w:val="00A97F08"/>
    <w:rsid w:val="00AA38A8"/>
    <w:rsid w:val="00AB42D2"/>
    <w:rsid w:val="00AC3823"/>
    <w:rsid w:val="00AE323C"/>
    <w:rsid w:val="00AE340D"/>
    <w:rsid w:val="00AE67EE"/>
    <w:rsid w:val="00B00181"/>
    <w:rsid w:val="00B00B0D"/>
    <w:rsid w:val="00B765F7"/>
    <w:rsid w:val="00BA0CA9"/>
    <w:rsid w:val="00BE1327"/>
    <w:rsid w:val="00BF4EB8"/>
    <w:rsid w:val="00C02897"/>
    <w:rsid w:val="00C15B49"/>
    <w:rsid w:val="00C32514"/>
    <w:rsid w:val="00C37810"/>
    <w:rsid w:val="00C96CEE"/>
    <w:rsid w:val="00CB1F52"/>
    <w:rsid w:val="00CB5781"/>
    <w:rsid w:val="00CC23D7"/>
    <w:rsid w:val="00CF38D6"/>
    <w:rsid w:val="00CF59B1"/>
    <w:rsid w:val="00D3439C"/>
    <w:rsid w:val="00D70AED"/>
    <w:rsid w:val="00D73EFE"/>
    <w:rsid w:val="00D80E8C"/>
    <w:rsid w:val="00DB1831"/>
    <w:rsid w:val="00DC15EC"/>
    <w:rsid w:val="00DD3BFD"/>
    <w:rsid w:val="00DF6678"/>
    <w:rsid w:val="00E0574B"/>
    <w:rsid w:val="00E31191"/>
    <w:rsid w:val="00E37E11"/>
    <w:rsid w:val="00E423A3"/>
    <w:rsid w:val="00E42D92"/>
    <w:rsid w:val="00E61560"/>
    <w:rsid w:val="00E91EB7"/>
    <w:rsid w:val="00EB72C7"/>
    <w:rsid w:val="00EE41F8"/>
    <w:rsid w:val="00EF2E22"/>
    <w:rsid w:val="00EF3B2C"/>
    <w:rsid w:val="00EF4779"/>
    <w:rsid w:val="00F01738"/>
    <w:rsid w:val="00F3668A"/>
    <w:rsid w:val="00F470BC"/>
    <w:rsid w:val="00F62CD9"/>
    <w:rsid w:val="00F660DF"/>
    <w:rsid w:val="00F72C68"/>
    <w:rsid w:val="00F730C8"/>
    <w:rsid w:val="00F764BF"/>
    <w:rsid w:val="00F95C08"/>
    <w:rsid w:val="00FB4A18"/>
    <w:rsid w:val="00FB60F5"/>
    <w:rsid w:val="00FD197B"/>
    <w:rsid w:val="00FE5F8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3950D229"/>
  <w15:docId w15:val="{16FE2993-F2EA-4E15-8A7E-87404A1B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EE41F8"/>
    <w:rPr>
      <w:b/>
      <w:sz w:val="28"/>
    </w:rPr>
  </w:style>
  <w:style w:type="character" w:customStyle="1" w:styleId="SingleTxtGChar">
    <w:name w:val="_ Single Txt_G Char"/>
    <w:link w:val="SingleTxtG"/>
    <w:qFormat/>
    <w:locked/>
    <w:rsid w:val="00EE41F8"/>
  </w:style>
  <w:style w:type="character" w:customStyle="1" w:styleId="H1GChar">
    <w:name w:val="_ H_1_G Char"/>
    <w:link w:val="H1G"/>
    <w:uiPriority w:val="99"/>
    <w:locked/>
    <w:rsid w:val="00EE41F8"/>
    <w:rPr>
      <w:b/>
      <w:sz w:val="24"/>
    </w:rPr>
  </w:style>
  <w:style w:type="character" w:customStyle="1" w:styleId="H23GChar">
    <w:name w:val="_ H_2/3_G Char"/>
    <w:link w:val="H23G"/>
    <w:locked/>
    <w:rsid w:val="00EE41F8"/>
    <w:rPr>
      <w:b/>
    </w:rPr>
  </w:style>
  <w:style w:type="paragraph" w:styleId="Revision">
    <w:name w:val="Revision"/>
    <w:hidden/>
    <w:uiPriority w:val="99"/>
    <w:semiHidden/>
    <w:rsid w:val="00EE41F8"/>
    <w:pPr>
      <w:spacing w:after="0" w:line="240" w:lineRule="auto"/>
    </w:pPr>
    <w:rPr>
      <w:rFonts w:eastAsia="SimSun"/>
      <w:lang w:val="en-GB"/>
    </w:rPr>
  </w:style>
  <w:style w:type="character" w:customStyle="1" w:styleId="SingleTxtGCar">
    <w:name w:val="_ Single Txt_G Car"/>
    <w:uiPriority w:val="99"/>
    <w:rsid w:val="00EE41F8"/>
    <w:rPr>
      <w:lang w:eastAsia="en-US"/>
    </w:rPr>
  </w:style>
  <w:style w:type="character" w:styleId="UnresolvedMention">
    <w:name w:val="Unresolved Mention"/>
    <w:basedOn w:val="DefaultParagraphFont"/>
    <w:uiPriority w:val="99"/>
    <w:semiHidden/>
    <w:unhideWhenUsed/>
    <w:rsid w:val="00EE41F8"/>
    <w:rPr>
      <w:color w:val="605E5C"/>
      <w:shd w:val="clear" w:color="auto" w:fill="E1DFDD"/>
    </w:rPr>
  </w:style>
  <w:style w:type="character" w:styleId="CommentReference">
    <w:name w:val="annotation reference"/>
    <w:basedOn w:val="DefaultParagraphFont"/>
    <w:uiPriority w:val="99"/>
    <w:semiHidden/>
    <w:unhideWhenUsed/>
    <w:rsid w:val="00EE41F8"/>
    <w:rPr>
      <w:sz w:val="16"/>
      <w:szCs w:val="16"/>
    </w:rPr>
  </w:style>
  <w:style w:type="paragraph" w:styleId="CommentText">
    <w:name w:val="annotation text"/>
    <w:basedOn w:val="Normal"/>
    <w:link w:val="CommentTextChar"/>
    <w:uiPriority w:val="99"/>
    <w:semiHidden/>
    <w:unhideWhenUsed/>
    <w:rsid w:val="00EE41F8"/>
    <w:pPr>
      <w:spacing w:line="240" w:lineRule="auto"/>
    </w:pPr>
    <w:rPr>
      <w:rFonts w:eastAsiaTheme="minorEastAsia"/>
    </w:rPr>
  </w:style>
  <w:style w:type="character" w:customStyle="1" w:styleId="CommentTextChar">
    <w:name w:val="Comment Text Char"/>
    <w:basedOn w:val="DefaultParagraphFont"/>
    <w:link w:val="CommentText"/>
    <w:uiPriority w:val="99"/>
    <w:semiHidden/>
    <w:rsid w:val="00EE41F8"/>
    <w:rPr>
      <w:rFonts w:eastAsiaTheme="minorEastAsia"/>
    </w:rPr>
  </w:style>
  <w:style w:type="paragraph" w:styleId="CommentSubject">
    <w:name w:val="annotation subject"/>
    <w:basedOn w:val="CommentText"/>
    <w:next w:val="CommentText"/>
    <w:link w:val="CommentSubjectChar"/>
    <w:uiPriority w:val="99"/>
    <w:semiHidden/>
    <w:unhideWhenUsed/>
    <w:rsid w:val="00EE41F8"/>
    <w:rPr>
      <w:b/>
      <w:bCs/>
    </w:rPr>
  </w:style>
  <w:style w:type="character" w:customStyle="1" w:styleId="CommentSubjectChar">
    <w:name w:val="Comment Subject Char"/>
    <w:basedOn w:val="CommentTextChar"/>
    <w:link w:val="CommentSubject"/>
    <w:uiPriority w:val="99"/>
    <w:semiHidden/>
    <w:rsid w:val="00EE41F8"/>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8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5.emf"/><Relationship Id="rId26" Type="http://schemas.openxmlformats.org/officeDocument/2006/relationships/header" Target="header1.xm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package" Target="embeddings/Microsoft_Visio_Drawing4.vsdx"/><Relationship Id="rId34" Type="http://schemas.openxmlformats.org/officeDocument/2006/relationships/footer" Target="footer5.xml"/><Relationship Id="rId42"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package" Target="embeddings/Microsoft_Visio_Drawing2.vsdx"/><Relationship Id="rId25" Type="http://schemas.openxmlformats.org/officeDocument/2006/relationships/package" Target="embeddings/Microsoft_Visio_Drawing6.vsdx"/><Relationship Id="rId33" Type="http://schemas.openxmlformats.org/officeDocument/2006/relationships/footer" Target="footer4.xml"/><Relationship Id="rId38" Type="http://schemas.openxmlformats.org/officeDocument/2006/relationships/hyperlink" Target="https://tsar.jrc.ec.europa.eu/test-method/tm2004-03"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2.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8.emf"/><Relationship Id="rId32" Type="http://schemas.openxmlformats.org/officeDocument/2006/relationships/header" Target="header4.xml"/><Relationship Id="rId37" Type="http://schemas.openxmlformats.org/officeDocument/2006/relationships/hyperlink" Target="https://tsar.jrc.ec.europa.eu/test-method/tm2004-01" TargetMode="External"/><Relationship Id="rId40"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footer" Target="footer1.xml"/><Relationship Id="rId36" Type="http://schemas.openxmlformats.org/officeDocument/2006/relationships/hyperlink" Target="https://ec.europa.eu/jrc/sites/jrcsh/files/esac31_lvet_20090922.pdf" TargetMode="External"/><Relationship Id="rId10" Type="http://schemas.openxmlformats.org/officeDocument/2006/relationships/endnotes" Target="endnotes.xml"/><Relationship Id="rId19" Type="http://schemas.openxmlformats.org/officeDocument/2006/relationships/package" Target="embeddings/Microsoft_Visio_Drawing3.vsdx"/><Relationship Id="rId31" Type="http://schemas.openxmlformats.org/officeDocument/2006/relationships/header" Target="header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yperlink" Target="https://echa.europa.eu/guidance-documents/guidance-on-clp"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E8CF6-3136-4A49-A678-CCEB4649504B}">
  <ds:schemaRefs>
    <ds:schemaRef ds:uri="http://schemas.microsoft.com/sharepoint/v3/contenttype/forms"/>
  </ds:schemaRefs>
</ds:datastoreItem>
</file>

<file path=customXml/itemProps2.xml><?xml version="1.0" encoding="utf-8"?>
<ds:datastoreItem xmlns:ds="http://schemas.openxmlformats.org/officeDocument/2006/customXml" ds:itemID="{C60A3F70-FC97-40EC-96FF-57676F7692A3}">
  <ds:schemaRef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985ec44e-1bab-4c0b-9df0-6ba128686fc9"/>
    <ds:schemaRef ds:uri="http://schemas.microsoft.com/office/2006/documentManagement/types"/>
    <ds:schemaRef ds:uri="http://schemas.openxmlformats.org/package/2006/metadata/core-properti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DCFFADE9-2AEC-4624-85DE-CAAFC6EAAC12}">
  <ds:schemaRefs>
    <ds:schemaRef ds:uri="http://schemas.openxmlformats.org/officeDocument/2006/bibliography"/>
  </ds:schemaRefs>
</ds:datastoreItem>
</file>

<file path=customXml/itemProps4.xml><?xml version="1.0" encoding="utf-8"?>
<ds:datastoreItem xmlns:ds="http://schemas.openxmlformats.org/officeDocument/2006/customXml" ds:itemID="{7C963323-C649-4C6F-84B8-E6E4FF31C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SGAC10_F.dotm</Template>
  <TotalTime>482</TotalTime>
  <Pages>36</Pages>
  <Words>14251</Words>
  <Characters>78180</Characters>
  <Application>Microsoft Office Word</Application>
  <DocSecurity>0</DocSecurity>
  <Lines>1656</Lines>
  <Paragraphs>403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92172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ST/SG/AC.10/C.4/2022/13</dc:title>
  <dc:creator>Rosa Garcia-Couto</dc:creator>
  <cp:lastModifiedBy>Laurence Berthet</cp:lastModifiedBy>
  <cp:revision>94</cp:revision>
  <cp:lastPrinted>2022-09-21T14:50:00Z</cp:lastPrinted>
  <dcterms:created xsi:type="dcterms:W3CDTF">2022-09-19T08:27:00Z</dcterms:created>
  <dcterms:modified xsi:type="dcterms:W3CDTF">2022-09-21T14:52:00Z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