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C0B19F4" w14:textId="77777777" w:rsidTr="006476E1">
        <w:trPr>
          <w:trHeight w:val="851"/>
        </w:trPr>
        <w:tc>
          <w:tcPr>
            <w:tcW w:w="1259" w:type="dxa"/>
            <w:tcBorders>
              <w:top w:val="nil"/>
              <w:left w:val="nil"/>
              <w:bottom w:val="single" w:sz="4" w:space="0" w:color="auto"/>
              <w:right w:val="nil"/>
            </w:tcBorders>
          </w:tcPr>
          <w:p w14:paraId="290F3EEA" w14:textId="77777777" w:rsidR="00E52109" w:rsidRPr="002A32CB" w:rsidRDefault="00E52109" w:rsidP="004858F5"/>
        </w:tc>
        <w:tc>
          <w:tcPr>
            <w:tcW w:w="2236" w:type="dxa"/>
            <w:tcBorders>
              <w:top w:val="nil"/>
              <w:left w:val="nil"/>
              <w:bottom w:val="single" w:sz="4" w:space="0" w:color="auto"/>
              <w:right w:val="nil"/>
            </w:tcBorders>
            <w:vAlign w:val="bottom"/>
          </w:tcPr>
          <w:p w14:paraId="48ED68D4"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6DB7457" w14:textId="7FFAE754" w:rsidR="008D3E92" w:rsidRDefault="008D3E92" w:rsidP="008D3E92">
            <w:pPr>
              <w:suppressAutoHyphens w:val="0"/>
              <w:jc w:val="right"/>
            </w:pPr>
            <w:r w:rsidRPr="008D3E92">
              <w:rPr>
                <w:sz w:val="40"/>
              </w:rPr>
              <w:t>ST</w:t>
            </w:r>
            <w:r>
              <w:t>/SG/AC.10/C.3/2022/52−</w:t>
            </w:r>
            <w:r w:rsidRPr="008D3E92">
              <w:rPr>
                <w:sz w:val="40"/>
              </w:rPr>
              <w:t>ST</w:t>
            </w:r>
            <w:r>
              <w:t>/SG/AC.10/C.4/2022/11</w:t>
            </w:r>
          </w:p>
        </w:tc>
      </w:tr>
      <w:tr w:rsidR="00E52109" w14:paraId="51C40CE9" w14:textId="77777777" w:rsidTr="006476E1">
        <w:trPr>
          <w:trHeight w:val="2835"/>
        </w:trPr>
        <w:tc>
          <w:tcPr>
            <w:tcW w:w="1259" w:type="dxa"/>
            <w:tcBorders>
              <w:top w:val="single" w:sz="4" w:space="0" w:color="auto"/>
              <w:left w:val="nil"/>
              <w:bottom w:val="single" w:sz="12" w:space="0" w:color="auto"/>
              <w:right w:val="nil"/>
            </w:tcBorders>
          </w:tcPr>
          <w:p w14:paraId="10EF7225" w14:textId="77777777" w:rsidR="00E52109" w:rsidRDefault="00E52109" w:rsidP="006476E1">
            <w:pPr>
              <w:spacing w:before="120"/>
              <w:jc w:val="center"/>
            </w:pPr>
            <w:r>
              <w:rPr>
                <w:noProof/>
                <w:lang w:val="fr-CH" w:eastAsia="fr-CH"/>
              </w:rPr>
              <w:drawing>
                <wp:inline distT="0" distB="0" distL="0" distR="0" wp14:anchorId="7632C887" wp14:editId="1543CFC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CFABA60"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F1772E1" w14:textId="77777777" w:rsidR="00D94B05" w:rsidRDefault="008D3E92" w:rsidP="008D3E92">
            <w:pPr>
              <w:suppressAutoHyphens w:val="0"/>
              <w:spacing w:before="240" w:line="240" w:lineRule="exact"/>
            </w:pPr>
            <w:r>
              <w:t>Distr.: General</w:t>
            </w:r>
          </w:p>
          <w:p w14:paraId="5AF94905" w14:textId="5A63EB78" w:rsidR="008D3E92" w:rsidRDefault="008F1895" w:rsidP="008D3E92">
            <w:pPr>
              <w:suppressAutoHyphens w:val="0"/>
              <w:spacing w:line="240" w:lineRule="exact"/>
            </w:pPr>
            <w:r>
              <w:t>12</w:t>
            </w:r>
            <w:r w:rsidR="002C53B1">
              <w:t xml:space="preserve"> </w:t>
            </w:r>
            <w:r w:rsidR="008D3E92">
              <w:t>September 2022</w:t>
            </w:r>
          </w:p>
          <w:p w14:paraId="630A2919" w14:textId="77777777" w:rsidR="008D3E92" w:rsidRDefault="008D3E92" w:rsidP="008D3E92">
            <w:pPr>
              <w:suppressAutoHyphens w:val="0"/>
              <w:spacing w:line="240" w:lineRule="exact"/>
            </w:pPr>
          </w:p>
          <w:p w14:paraId="49CCD2E9" w14:textId="17D79680" w:rsidR="008D3E92" w:rsidRDefault="008D3E92" w:rsidP="008D3E92">
            <w:pPr>
              <w:suppressAutoHyphens w:val="0"/>
              <w:spacing w:line="240" w:lineRule="exact"/>
            </w:pPr>
            <w:r>
              <w:t>Original: English</w:t>
            </w:r>
          </w:p>
        </w:tc>
      </w:tr>
    </w:tbl>
    <w:p w14:paraId="041E2012" w14:textId="77777777" w:rsidR="008D3E92" w:rsidRPr="006500BA" w:rsidRDefault="008D3E92"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8D3E92" w:rsidRPr="00302456" w14:paraId="2783E635" w14:textId="77777777" w:rsidTr="008D3E92">
        <w:tc>
          <w:tcPr>
            <w:tcW w:w="4593" w:type="dxa"/>
            <w:shd w:val="clear" w:color="auto" w:fill="auto"/>
          </w:tcPr>
          <w:p w14:paraId="12C10E1C" w14:textId="77777777" w:rsidR="008D3E92" w:rsidRPr="00302456" w:rsidRDefault="008D3E92" w:rsidP="00846F7F">
            <w:pPr>
              <w:spacing w:before="120"/>
              <w:rPr>
                <w:b/>
              </w:rPr>
            </w:pPr>
            <w:r w:rsidRPr="00302456">
              <w:rPr>
                <w:b/>
              </w:rPr>
              <w:t xml:space="preserve">Sub-Committee of Experts on the Transport </w:t>
            </w:r>
            <w:r w:rsidRPr="00302456">
              <w:rPr>
                <w:b/>
              </w:rPr>
              <w:br/>
              <w:t xml:space="preserve">of Dangerous Goods </w:t>
            </w:r>
          </w:p>
        </w:tc>
        <w:tc>
          <w:tcPr>
            <w:tcW w:w="5046" w:type="dxa"/>
            <w:shd w:val="clear" w:color="auto" w:fill="auto"/>
          </w:tcPr>
          <w:p w14:paraId="13470B29" w14:textId="77777777" w:rsidR="008D3E92" w:rsidRPr="00302456" w:rsidRDefault="008D3E92" w:rsidP="00846F7F">
            <w:pPr>
              <w:spacing w:before="120"/>
              <w:rPr>
                <w:b/>
              </w:rPr>
            </w:pPr>
            <w:r w:rsidRPr="00302456">
              <w:rPr>
                <w:b/>
              </w:rPr>
              <w:t xml:space="preserve">Sub-Committee of Experts on the Globally Harmonized System of Classification and Labelling of Chemicals </w:t>
            </w:r>
          </w:p>
        </w:tc>
      </w:tr>
      <w:tr w:rsidR="008D3E92" w:rsidRPr="00302456" w14:paraId="2055B09B" w14:textId="77777777" w:rsidTr="008D3E92">
        <w:tc>
          <w:tcPr>
            <w:tcW w:w="4593" w:type="dxa"/>
            <w:shd w:val="clear" w:color="auto" w:fill="auto"/>
          </w:tcPr>
          <w:p w14:paraId="0A234F95" w14:textId="0674D4E8" w:rsidR="008D3E92" w:rsidRPr="00302456" w:rsidRDefault="008D3E92" w:rsidP="008D3E92">
            <w:pPr>
              <w:spacing w:before="120"/>
              <w:rPr>
                <w:b/>
              </w:rPr>
            </w:pPr>
            <w:r>
              <w:rPr>
                <w:b/>
              </w:rPr>
              <w:t>Sixty-first</w:t>
            </w:r>
            <w:r w:rsidRPr="00302456">
              <w:rPr>
                <w:b/>
              </w:rPr>
              <w:t xml:space="preserve"> session</w:t>
            </w:r>
          </w:p>
        </w:tc>
        <w:tc>
          <w:tcPr>
            <w:tcW w:w="5046" w:type="dxa"/>
            <w:shd w:val="clear" w:color="auto" w:fill="auto"/>
          </w:tcPr>
          <w:p w14:paraId="07B0AFD2" w14:textId="21A3FD62" w:rsidR="008D3E92" w:rsidRPr="00302456" w:rsidRDefault="008D3E92" w:rsidP="008D3E92">
            <w:pPr>
              <w:spacing w:before="120"/>
              <w:rPr>
                <w:b/>
              </w:rPr>
            </w:pPr>
            <w:r>
              <w:rPr>
                <w:b/>
              </w:rPr>
              <w:t>Forty-third</w:t>
            </w:r>
            <w:r w:rsidRPr="00302456">
              <w:rPr>
                <w:b/>
              </w:rPr>
              <w:t xml:space="preserve"> session</w:t>
            </w:r>
          </w:p>
        </w:tc>
      </w:tr>
      <w:tr w:rsidR="008D3E92" w:rsidRPr="00302456" w14:paraId="7117DF1A" w14:textId="77777777" w:rsidTr="008D3E92">
        <w:tc>
          <w:tcPr>
            <w:tcW w:w="4593" w:type="dxa"/>
            <w:shd w:val="clear" w:color="auto" w:fill="auto"/>
          </w:tcPr>
          <w:p w14:paraId="1264EF52" w14:textId="04595E46" w:rsidR="008D3E92" w:rsidRPr="00302456" w:rsidRDefault="008D3E92" w:rsidP="008D3E92">
            <w:pPr>
              <w:rPr>
                <w:b/>
              </w:rPr>
            </w:pPr>
            <w:r>
              <w:t xml:space="preserve">Geneva, 28 November-6 December 2022 </w:t>
            </w:r>
          </w:p>
        </w:tc>
        <w:tc>
          <w:tcPr>
            <w:tcW w:w="5046" w:type="dxa"/>
            <w:shd w:val="clear" w:color="auto" w:fill="auto"/>
          </w:tcPr>
          <w:p w14:paraId="453DDB6E" w14:textId="43538C08" w:rsidR="008D3E92" w:rsidRPr="00302456" w:rsidRDefault="008D3E92" w:rsidP="008D3E92">
            <w:pPr>
              <w:rPr>
                <w:b/>
              </w:rPr>
            </w:pPr>
            <w:r>
              <w:t>Geneva, 7-9 December 2022</w:t>
            </w:r>
          </w:p>
        </w:tc>
      </w:tr>
      <w:tr w:rsidR="008D3E92" w:rsidRPr="00302456" w14:paraId="6CB9CBEF" w14:textId="77777777" w:rsidTr="008D3E92">
        <w:tc>
          <w:tcPr>
            <w:tcW w:w="4593" w:type="dxa"/>
            <w:shd w:val="clear" w:color="auto" w:fill="auto"/>
          </w:tcPr>
          <w:p w14:paraId="3BD6E7F9" w14:textId="6B9A44F3" w:rsidR="008D3E92" w:rsidRDefault="008D3E92" w:rsidP="008D3E92">
            <w:r w:rsidRPr="006500BA">
              <w:t xml:space="preserve">Item </w:t>
            </w:r>
            <w:r>
              <w:t xml:space="preserve">10 (c) </w:t>
            </w:r>
            <w:r w:rsidRPr="006500BA">
              <w:t>of the provisional agenda</w:t>
            </w:r>
          </w:p>
        </w:tc>
        <w:tc>
          <w:tcPr>
            <w:tcW w:w="5046" w:type="dxa"/>
            <w:shd w:val="clear" w:color="auto" w:fill="auto"/>
          </w:tcPr>
          <w:p w14:paraId="3E8E1B4A" w14:textId="055C896A" w:rsidR="008D3E92" w:rsidRDefault="008D3E92" w:rsidP="008D3E92">
            <w:r w:rsidRPr="006500BA">
              <w:t xml:space="preserve">Item </w:t>
            </w:r>
            <w:r>
              <w:t>3 (</w:t>
            </w:r>
            <w:proofErr w:type="spellStart"/>
            <w:r>
              <w:t>i</w:t>
            </w:r>
            <w:proofErr w:type="spellEnd"/>
            <w:r>
              <w:t>)</w:t>
            </w:r>
            <w:r w:rsidRPr="006500BA">
              <w:t xml:space="preserve"> of the provisional agenda</w:t>
            </w:r>
          </w:p>
        </w:tc>
      </w:tr>
      <w:tr w:rsidR="008D3E92" w:rsidRPr="00E66746" w14:paraId="5EAB7322" w14:textId="77777777" w:rsidTr="008D3E92">
        <w:tc>
          <w:tcPr>
            <w:tcW w:w="4593" w:type="dxa"/>
            <w:shd w:val="clear" w:color="auto" w:fill="auto"/>
          </w:tcPr>
          <w:p w14:paraId="2ED178CD" w14:textId="6B704577" w:rsidR="008D3E92" w:rsidRPr="00E66746" w:rsidRDefault="008D3E92" w:rsidP="00846F7F">
            <w:pPr>
              <w:rPr>
                <w:b/>
              </w:rPr>
            </w:pPr>
            <w:r w:rsidRPr="00557894">
              <w:rPr>
                <w:b/>
                <w:bCs/>
              </w:rPr>
              <w:t>Issues relating to the Globally Harmonized System:</w:t>
            </w:r>
            <w:r w:rsidRPr="00557894">
              <w:rPr>
                <w:b/>
                <w:bCs/>
              </w:rPr>
              <w:br/>
              <w:t>miscellaneous</w:t>
            </w:r>
          </w:p>
        </w:tc>
        <w:tc>
          <w:tcPr>
            <w:tcW w:w="5046" w:type="dxa"/>
            <w:shd w:val="clear" w:color="auto" w:fill="auto"/>
          </w:tcPr>
          <w:p w14:paraId="35141662" w14:textId="7073C7BC" w:rsidR="008D3E92" w:rsidRPr="00E66746" w:rsidRDefault="008D3E92" w:rsidP="00846F7F">
            <w:pPr>
              <w:rPr>
                <w:b/>
              </w:rPr>
            </w:pPr>
            <w:r w:rsidRPr="00557894">
              <w:rPr>
                <w:b/>
                <w:bCs/>
              </w:rPr>
              <w:t>Work on the Globally Harmonized System of Classification and Labelling of Chemicals: other matters</w:t>
            </w:r>
          </w:p>
        </w:tc>
      </w:tr>
    </w:tbl>
    <w:p w14:paraId="68CB6DAD" w14:textId="77777777" w:rsidR="008D3E92" w:rsidRDefault="008D3E92" w:rsidP="008D3E92">
      <w:pPr>
        <w:pStyle w:val="HChG"/>
        <w:rPr>
          <w:rFonts w:eastAsia="MS Mincho"/>
          <w:lang w:val="en-US" w:eastAsia="ja-JP"/>
        </w:rPr>
      </w:pPr>
      <w:r>
        <w:rPr>
          <w:rFonts w:eastAsia="MS Mincho"/>
          <w:lang w:val="en-US" w:eastAsia="ja-JP"/>
        </w:rPr>
        <w:tab/>
      </w:r>
      <w:r>
        <w:rPr>
          <w:rFonts w:eastAsia="MS Mincho"/>
          <w:lang w:val="en-US" w:eastAsia="ja-JP"/>
        </w:rPr>
        <w:tab/>
        <w:t>Flammable liquids: Open-cup and closed-cup testing for the flash point</w:t>
      </w:r>
    </w:p>
    <w:p w14:paraId="5F3B835A" w14:textId="707EBC3F" w:rsidR="008D3E92" w:rsidRPr="0064778D" w:rsidRDefault="008D3E92" w:rsidP="008D3E92">
      <w:pPr>
        <w:pStyle w:val="H1G"/>
        <w:rPr>
          <w:lang w:val="en-US" w:eastAsia="ja-JP"/>
        </w:rPr>
      </w:pPr>
      <w:r>
        <w:rPr>
          <w:lang w:val="en-US" w:eastAsia="ja-JP"/>
        </w:rPr>
        <w:tab/>
      </w:r>
      <w:r>
        <w:rPr>
          <w:lang w:val="en-US" w:eastAsia="ja-JP"/>
        </w:rPr>
        <w:tab/>
        <w:t>Transmitted by the expert from Germany and the chair of the Working group on Explosives</w:t>
      </w:r>
      <w:r>
        <w:rPr>
          <w:rStyle w:val="FootnoteReference"/>
          <w:lang w:val="en-US" w:eastAsia="ja-JP"/>
        </w:rPr>
        <w:footnoteReference w:id="2"/>
      </w:r>
    </w:p>
    <w:p w14:paraId="092AF70E" w14:textId="77777777" w:rsidR="008D3E92" w:rsidRPr="007628D5" w:rsidRDefault="008D3E92" w:rsidP="008D3E92">
      <w:pPr>
        <w:pStyle w:val="HChG"/>
      </w:pPr>
      <w:r>
        <w:tab/>
      </w:r>
      <w:r>
        <w:tab/>
        <w:t>Background</w:t>
      </w:r>
    </w:p>
    <w:p w14:paraId="50548204" w14:textId="0F7B58A7" w:rsidR="008D3E92" w:rsidRDefault="008D3E92" w:rsidP="007B3A66">
      <w:pPr>
        <w:pStyle w:val="SingleTxtG"/>
        <w:tabs>
          <w:tab w:val="left" w:pos="1701"/>
        </w:tabs>
      </w:pPr>
      <w:r>
        <w:t>1.</w:t>
      </w:r>
      <w:r>
        <w:tab/>
        <w:t xml:space="preserve">Reference is made to document </w:t>
      </w:r>
      <w:r w:rsidRPr="00D346D4">
        <w:t>ST/SG/AC.10/C.4/2022/2, ST/SG/AC.10/C.3/2022/11</w:t>
      </w:r>
      <w:r>
        <w:t xml:space="preserve"> </w:t>
      </w:r>
      <w:r w:rsidR="00523C8D">
        <w:t xml:space="preserve">considered during the </w:t>
      </w:r>
      <w:r w:rsidR="007B3A66">
        <w:t xml:space="preserve">June-July sessions </w:t>
      </w:r>
      <w:r>
        <w:t xml:space="preserve">of the </w:t>
      </w:r>
      <w:r w:rsidR="007B3A66">
        <w:t>Sub-Committee of Experts on the Transport of Dangerous Goods (TDG) and the Sub-Committee of Experts on the Globally Harmonized System of Classification and Labelling of Chemicals (GHS)</w:t>
      </w:r>
      <w:r>
        <w:t xml:space="preserve">. The proposals in paragraphs 10 and 12 </w:t>
      </w:r>
      <w:r w:rsidR="007B3A66">
        <w:t xml:space="preserve">of </w:t>
      </w:r>
      <w:r w:rsidR="00B91F8D">
        <w:t xml:space="preserve">the </w:t>
      </w:r>
      <w:proofErr w:type="gramStart"/>
      <w:r w:rsidR="00B91F8D">
        <w:t>document</w:t>
      </w:r>
      <w:proofErr w:type="gramEnd"/>
      <w:r w:rsidR="00B91F8D">
        <w:t xml:space="preserve"> </w:t>
      </w:r>
      <w:r>
        <w:t xml:space="preserve">were not adopted because some delegations needed more time to evaluate the implications regarding the two options given in </w:t>
      </w:r>
      <w:r w:rsidR="00B16660">
        <w:t xml:space="preserve">its </w:t>
      </w:r>
      <w:r>
        <w:t>paragraph 11.</w:t>
      </w:r>
    </w:p>
    <w:p w14:paraId="550CBA8E" w14:textId="30CC101E" w:rsidR="008D3E92" w:rsidRDefault="008D3E92" w:rsidP="008D3E92">
      <w:pPr>
        <w:pStyle w:val="SingleTxtG"/>
        <w:tabs>
          <w:tab w:val="left" w:pos="1701"/>
        </w:tabs>
      </w:pPr>
      <w:r>
        <w:t>2.</w:t>
      </w:r>
      <w:r>
        <w:tab/>
        <w:t xml:space="preserve">The discussions and assessments of the working group on explosives </w:t>
      </w:r>
      <w:r w:rsidR="00B91F8D">
        <w:t xml:space="preserve">(EWG) </w:t>
      </w:r>
      <w:r>
        <w:t xml:space="preserve">are summarized in its report, see paragraph 17 of informal document </w:t>
      </w:r>
      <w:r w:rsidRPr="00020AF1">
        <w:t>INF</w:t>
      </w:r>
      <w:r w:rsidR="00B91F8D">
        <w:t>.</w:t>
      </w:r>
      <w:r w:rsidRPr="00020AF1">
        <w:t>44</w:t>
      </w:r>
      <w:r>
        <w:t xml:space="preserve"> (</w:t>
      </w:r>
      <w:r w:rsidR="00B91F8D">
        <w:t xml:space="preserve">TDG, </w:t>
      </w:r>
      <w:r w:rsidR="002E3241">
        <w:t>sixtieth</w:t>
      </w:r>
      <w:r>
        <w:t xml:space="preserve"> session). The EWG supported the amendments with the preference of </w:t>
      </w:r>
      <w:r w:rsidR="00B91F8D">
        <w:t>o</w:t>
      </w:r>
      <w:r>
        <w:t>ption 1 in paragraph</w:t>
      </w:r>
      <w:r w:rsidR="002E3241">
        <w:t> </w:t>
      </w:r>
      <w:r>
        <w:t xml:space="preserve">11 of the document </w:t>
      </w:r>
      <w:r w:rsidRPr="00D346D4">
        <w:t>ST/SG/AC.10/C.4/2022/2, ST/SG/AC.10/C.3/2022/11</w:t>
      </w:r>
      <w:r>
        <w:t>, i.e., to strongly recommend the use of closed-cup testing and to remove references to open-cup testing.</w:t>
      </w:r>
    </w:p>
    <w:p w14:paraId="645DB106" w14:textId="664ADFD4" w:rsidR="008D3E92" w:rsidRDefault="008D3E92" w:rsidP="008D3E92">
      <w:pPr>
        <w:pStyle w:val="SingleTxtG"/>
        <w:tabs>
          <w:tab w:val="left" w:pos="1701"/>
        </w:tabs>
      </w:pPr>
      <w:r>
        <w:t>3.</w:t>
      </w:r>
      <w:r>
        <w:tab/>
        <w:t xml:space="preserve">The </w:t>
      </w:r>
      <w:r w:rsidR="00B91F8D">
        <w:t xml:space="preserve">TDG </w:t>
      </w:r>
      <w:r>
        <w:t>Sub-Committee concluded that it would like to resume the discussions on the question of test methods for the flash point based on a further document (see paragraph</w:t>
      </w:r>
      <w:r w:rsidR="001B734C">
        <w:t> </w:t>
      </w:r>
      <w:r>
        <w:t>98 of the report</w:t>
      </w:r>
      <w:r w:rsidR="00F52CF2">
        <w:t xml:space="preserve"> of the TDG Sub-Committee</w:t>
      </w:r>
      <w:r w:rsidR="00851290">
        <w:t>, document</w:t>
      </w:r>
      <w:r>
        <w:t xml:space="preserve"> </w:t>
      </w:r>
      <w:r w:rsidRPr="001C618E">
        <w:t>ST/SG/AC.10/C.3/120</w:t>
      </w:r>
      <w:r>
        <w:t>).</w:t>
      </w:r>
    </w:p>
    <w:p w14:paraId="795D3268" w14:textId="031F4467" w:rsidR="008D3E92" w:rsidRDefault="008D3E92" w:rsidP="008D3E92">
      <w:pPr>
        <w:pStyle w:val="SingleTxtG"/>
        <w:tabs>
          <w:tab w:val="left" w:pos="1701"/>
        </w:tabs>
      </w:pPr>
      <w:r>
        <w:t>4.</w:t>
      </w:r>
      <w:r>
        <w:tab/>
        <w:t xml:space="preserve">Some GHS </w:t>
      </w:r>
      <w:r w:rsidR="00851290">
        <w:t xml:space="preserve">Sub-Committee experts </w:t>
      </w:r>
      <w:r>
        <w:t xml:space="preserve">stated that they </w:t>
      </w:r>
      <w:r w:rsidR="00F52CF2">
        <w:t xml:space="preserve">thought </w:t>
      </w:r>
      <w:r>
        <w:t xml:space="preserve">that the open-cup test method might be appropriate in some cases (especially for highly viscous flammable liquids) and preferred option 2 in which a reference to open-cup testing would be kept in the Manual. The experts were invited to </w:t>
      </w:r>
      <w:r w:rsidRPr="00226651">
        <w:t xml:space="preserve">provide information about cases where the open-cup test is used </w:t>
      </w:r>
      <w:r w:rsidRPr="00226651">
        <w:lastRenderedPageBreak/>
        <w:t>for flammable liquid’s classification purposes</w:t>
      </w:r>
      <w:r>
        <w:t xml:space="preserve"> (see paragraphs 10 to 12 of the report </w:t>
      </w:r>
      <w:r w:rsidR="00F52CF2">
        <w:t xml:space="preserve">of the GHS Sub-Committee, document </w:t>
      </w:r>
      <w:r w:rsidRPr="00363EA5">
        <w:t>ST/SG/AC.10/C.4/84</w:t>
      </w:r>
      <w:r>
        <w:t>).</w:t>
      </w:r>
    </w:p>
    <w:p w14:paraId="0763A9F5" w14:textId="77777777" w:rsidR="008D3E92" w:rsidRDefault="008D3E92" w:rsidP="008D3E92">
      <w:pPr>
        <w:pStyle w:val="HChG"/>
      </w:pPr>
      <w:r>
        <w:tab/>
      </w:r>
      <w:r>
        <w:tab/>
        <w:t>Responses to the concerns expressed</w:t>
      </w:r>
    </w:p>
    <w:p w14:paraId="157BDE52" w14:textId="522BF21F" w:rsidR="008D3E92" w:rsidRDefault="008D3E92" w:rsidP="008D3E92">
      <w:pPr>
        <w:pStyle w:val="SingleTxtG"/>
        <w:tabs>
          <w:tab w:val="left" w:pos="1701"/>
        </w:tabs>
      </w:pPr>
      <w:r>
        <w:t>5.</w:t>
      </w:r>
      <w:r>
        <w:tab/>
        <w:t xml:space="preserve">The authors of this document considered the remarks made </w:t>
      </w:r>
      <w:r w:rsidR="00914AD1">
        <w:t xml:space="preserve">at </w:t>
      </w:r>
      <w:r>
        <w:t xml:space="preserve">the last </w:t>
      </w:r>
      <w:r w:rsidR="00914AD1">
        <w:t xml:space="preserve">session </w:t>
      </w:r>
      <w:r>
        <w:t>and additionally contacted the delegations who expressed reservations about the removal of references to open-cup testing.</w:t>
      </w:r>
    </w:p>
    <w:p w14:paraId="4C0C99C0" w14:textId="0CEF81F1" w:rsidR="008D3E92" w:rsidRDefault="008D3E92" w:rsidP="008D3E92">
      <w:pPr>
        <w:pStyle w:val="SingleTxtG"/>
        <w:tabs>
          <w:tab w:val="left" w:pos="1701"/>
        </w:tabs>
      </w:pPr>
      <w:r>
        <w:t>6.</w:t>
      </w:r>
      <w:r>
        <w:tab/>
      </w:r>
      <w:r w:rsidR="003636ED">
        <w:t xml:space="preserve">At </w:t>
      </w:r>
      <w:r>
        <w:t xml:space="preserve">the last </w:t>
      </w:r>
      <w:r w:rsidR="003636ED">
        <w:t>session</w:t>
      </w:r>
      <w:r>
        <w:t xml:space="preserve">, some experts </w:t>
      </w:r>
      <w:r w:rsidRPr="005F7283">
        <w:t>pointed out that the reference to the safety margin for open-cup test results should be kept at least for the case that available data of open-cup tests are used.</w:t>
      </w:r>
    </w:p>
    <w:p w14:paraId="1A7329CD" w14:textId="5B58A748" w:rsidR="008D3E92" w:rsidRDefault="008D3E92" w:rsidP="008D3E92">
      <w:pPr>
        <w:pStyle w:val="SingleTxtG"/>
        <w:tabs>
          <w:tab w:val="left" w:pos="1701"/>
        </w:tabs>
      </w:pPr>
      <w:r>
        <w:t>7.</w:t>
      </w:r>
      <w:r>
        <w:tab/>
        <w:t xml:space="preserve">Concerns were also expressed </w:t>
      </w:r>
      <w:r w:rsidR="0034291C">
        <w:t xml:space="preserve">on </w:t>
      </w:r>
      <w:r>
        <w:t>testing of viscous liquids. In this context, the authors would like to point out that even for viscous liquids, the flash point for classification purposes can be determined by closed cup-testing (see section 32.4.2.1 of the Manual of Tests and Criteria).</w:t>
      </w:r>
    </w:p>
    <w:p w14:paraId="4F176926" w14:textId="73165FDA" w:rsidR="008D3E92" w:rsidRDefault="008D3E92" w:rsidP="008D3E92">
      <w:pPr>
        <w:pStyle w:val="SingleTxtG"/>
        <w:tabs>
          <w:tab w:val="left" w:pos="1701"/>
        </w:tabs>
      </w:pPr>
      <w:r>
        <w:t>8.</w:t>
      </w:r>
      <w:r>
        <w:tab/>
        <w:t xml:space="preserve">However, based on the request during the last </w:t>
      </w:r>
      <w:r w:rsidR="00914AD1">
        <w:t xml:space="preserve">session </w:t>
      </w:r>
      <w:r>
        <w:t>(see the last sentence in paragraph 4 above), the authors received information that for some viscous liquids closed-cup testing is not possible – even when considering that for the purposes of classification only flash point values up to 93 °C are relevant (the upper criterion for the distinction between GHS flammable liquids category 4 and no classification).</w:t>
      </w:r>
    </w:p>
    <w:p w14:paraId="5029C22D" w14:textId="79965C12" w:rsidR="008D3E92" w:rsidRDefault="008D3E92" w:rsidP="008D3E92">
      <w:pPr>
        <w:pStyle w:val="SingleTxtG"/>
        <w:tabs>
          <w:tab w:val="left" w:pos="1701"/>
        </w:tabs>
      </w:pPr>
      <w:r>
        <w:t>9.</w:t>
      </w:r>
      <w:r>
        <w:tab/>
        <w:t xml:space="preserve">The authors are grateful for the feedback received. As a result, the proposal </w:t>
      </w:r>
      <w:r w:rsidRPr="00035F14">
        <w:t xml:space="preserve">for </w:t>
      </w:r>
      <w:r>
        <w:t xml:space="preserve">section 32.4 of </w:t>
      </w:r>
      <w:r w:rsidRPr="00035F14">
        <w:t xml:space="preserve">the Manual </w:t>
      </w:r>
      <w:r>
        <w:t xml:space="preserve">of Tests and Criteria is amended </w:t>
      </w:r>
      <w:r w:rsidRPr="00035F14">
        <w:t>such that open-cup testing is</w:t>
      </w:r>
      <w:r>
        <w:t xml:space="preserve"> acceptable </w:t>
      </w:r>
      <w:r w:rsidRPr="00035F14">
        <w:t>if closed-cup testing is not possible (e.g.</w:t>
      </w:r>
      <w:r>
        <w:t>,</w:t>
      </w:r>
      <w:r w:rsidRPr="00035F14">
        <w:t xml:space="preserve"> due to the viscosity of the liquid)</w:t>
      </w:r>
      <w:r>
        <w:t xml:space="preserve"> and in case available data are used</w:t>
      </w:r>
      <w:r w:rsidRPr="00035F14">
        <w:t>, see paragraph 1</w:t>
      </w:r>
      <w:r w:rsidR="00784161">
        <w:t xml:space="preserve"> in the </w:t>
      </w:r>
      <w:r w:rsidR="005114D2">
        <w:t>a</w:t>
      </w:r>
      <w:r w:rsidR="00784161">
        <w:t>nnex to this document</w:t>
      </w:r>
      <w:r>
        <w:t>.</w:t>
      </w:r>
    </w:p>
    <w:p w14:paraId="6D0B1D59" w14:textId="77777777" w:rsidR="008D3E92" w:rsidRDefault="008D3E92" w:rsidP="008D3E92">
      <w:pPr>
        <w:pStyle w:val="HChG"/>
      </w:pPr>
      <w:r>
        <w:tab/>
      </w:r>
      <w:r>
        <w:tab/>
        <w:t>Current references to closed-cup and open-cup testing in the GHS</w:t>
      </w:r>
    </w:p>
    <w:p w14:paraId="5E71D9D7" w14:textId="77777777" w:rsidR="008D3E92" w:rsidRDefault="008D3E92" w:rsidP="008D3E92">
      <w:pPr>
        <w:pStyle w:val="SingleTxtG"/>
        <w:tabs>
          <w:tab w:val="left" w:pos="1701"/>
        </w:tabs>
      </w:pPr>
      <w:r>
        <w:t>10.</w:t>
      </w:r>
      <w:r>
        <w:tab/>
        <w:t>Additionally, the authors would like to point out that the GHS already refers to closed-cup testing and states that open-cup tests are acceptable only in special cases, see current section 2.6.4.2.4 of the GHS:</w:t>
      </w:r>
    </w:p>
    <w:p w14:paraId="50BEE658" w14:textId="77777777" w:rsidR="008D3E92" w:rsidRDefault="008D3E92" w:rsidP="008D3E92">
      <w:pPr>
        <w:pStyle w:val="SingleTxtG"/>
        <w:tabs>
          <w:tab w:val="left" w:pos="1701"/>
        </w:tabs>
        <w:ind w:left="1701"/>
      </w:pPr>
      <w:r>
        <w:t>“2.6.4.2.4</w:t>
      </w:r>
      <w:r>
        <w:tab/>
        <w:t>If data are not available, the flash point and the initial boiling point shall be determined through testing. The flash point shall be determined by closed-cup test method. Open-cup tests are acceptable only in special cases.”</w:t>
      </w:r>
    </w:p>
    <w:p w14:paraId="4697A49F" w14:textId="77777777" w:rsidR="008D3E92" w:rsidRDefault="008D3E92" w:rsidP="008D3E92">
      <w:pPr>
        <w:pStyle w:val="HChG"/>
      </w:pPr>
      <w:r>
        <w:tab/>
      </w:r>
      <w:r>
        <w:tab/>
      </w:r>
      <w:r>
        <w:tab/>
        <w:t>Proposals</w:t>
      </w:r>
    </w:p>
    <w:p w14:paraId="42933BC2" w14:textId="185719CD" w:rsidR="008D3E92" w:rsidRDefault="008D3E92" w:rsidP="008D3E92">
      <w:pPr>
        <w:pStyle w:val="SingleTxtG"/>
        <w:tabs>
          <w:tab w:val="left" w:pos="1701"/>
        </w:tabs>
      </w:pPr>
      <w:r>
        <w:t>11.</w:t>
      </w:r>
      <w:r>
        <w:tab/>
        <w:t xml:space="preserve">The TDG and GHS </w:t>
      </w:r>
      <w:r w:rsidR="00BA1597">
        <w:t xml:space="preserve">sub-committees </w:t>
      </w:r>
      <w:r>
        <w:t>are invited to consider the proposals as outlined in the Annex to this document.</w:t>
      </w:r>
    </w:p>
    <w:p w14:paraId="25684CB5" w14:textId="77777777" w:rsidR="008D3E92" w:rsidRDefault="008D3E92" w:rsidP="008D3E92">
      <w:pPr>
        <w:pStyle w:val="SingleTxtG"/>
        <w:rPr>
          <w:lang w:val="en-US" w:eastAsia="en-US"/>
        </w:rPr>
      </w:pPr>
      <w:r>
        <w:rPr>
          <w:lang w:val="en-US" w:eastAsia="en-US"/>
        </w:rPr>
        <w:br w:type="page"/>
      </w:r>
    </w:p>
    <w:p w14:paraId="2D537D51" w14:textId="77777777" w:rsidR="008D3E92" w:rsidRDefault="008D3E92" w:rsidP="008D3E92">
      <w:pPr>
        <w:pStyle w:val="HChG"/>
      </w:pPr>
      <w:r>
        <w:rPr>
          <w:lang w:val="en-US" w:eastAsia="en-US"/>
        </w:rPr>
        <w:tab/>
      </w:r>
      <w:r w:rsidRPr="007A7749">
        <w:rPr>
          <w:lang w:val="en-US" w:eastAsia="en-US"/>
        </w:rPr>
        <w:t>Annex</w:t>
      </w:r>
    </w:p>
    <w:p w14:paraId="76FB63CA" w14:textId="5FBDDCA2" w:rsidR="008D3E92" w:rsidRPr="00BA1597" w:rsidRDefault="00BA1597" w:rsidP="00BA1597">
      <w:pPr>
        <w:pStyle w:val="SingleTxtG"/>
        <w:rPr>
          <w:i/>
          <w:iCs/>
          <w:lang w:val="en-US"/>
        </w:rPr>
      </w:pPr>
      <w:r w:rsidRPr="00BA1597">
        <w:rPr>
          <w:b/>
          <w:bCs/>
          <w:i/>
          <w:iCs/>
          <w:lang w:val="en-US"/>
        </w:rPr>
        <w:t>Note:</w:t>
      </w:r>
      <w:r w:rsidRPr="00BA1597">
        <w:rPr>
          <w:i/>
          <w:iCs/>
          <w:lang w:val="en-US"/>
        </w:rPr>
        <w:t xml:space="preserve"> </w:t>
      </w:r>
      <w:r w:rsidR="00C064CD">
        <w:rPr>
          <w:i/>
          <w:iCs/>
          <w:lang w:val="en-US"/>
        </w:rPr>
        <w:t>The p</w:t>
      </w:r>
      <w:r w:rsidR="008D3E92" w:rsidRPr="00BA1597">
        <w:rPr>
          <w:i/>
          <w:iCs/>
          <w:lang w:val="en-US"/>
        </w:rPr>
        <w:t xml:space="preserve">roposals </w:t>
      </w:r>
      <w:r w:rsidR="00C064CD">
        <w:rPr>
          <w:i/>
          <w:iCs/>
          <w:lang w:val="en-US"/>
        </w:rPr>
        <w:t xml:space="preserve">below show the </w:t>
      </w:r>
      <w:r w:rsidR="008D3E92" w:rsidRPr="00BA1597">
        <w:rPr>
          <w:i/>
          <w:iCs/>
          <w:lang w:val="en-US"/>
        </w:rPr>
        <w:t xml:space="preserve">amendments compared to the current text as follows: </w:t>
      </w:r>
      <w:r w:rsidR="008D3E92" w:rsidRPr="00BA1597">
        <w:rPr>
          <w:i/>
          <w:iCs/>
          <w:u w:val="single"/>
          <w:lang w:val="en-US"/>
        </w:rPr>
        <w:t>additions are underlined</w:t>
      </w:r>
      <w:r w:rsidR="008D3E92" w:rsidRPr="00BA1597">
        <w:rPr>
          <w:i/>
          <w:iCs/>
          <w:lang w:val="en-US"/>
        </w:rPr>
        <w:t xml:space="preserve">, </w:t>
      </w:r>
      <w:r w:rsidR="008D3E92" w:rsidRPr="00BA1597">
        <w:rPr>
          <w:i/>
          <w:iCs/>
          <w:strike/>
          <w:lang w:val="en-US"/>
        </w:rPr>
        <w:t>deletions are struck through</w:t>
      </w:r>
      <w:r w:rsidR="008D3E92" w:rsidRPr="00BA1597">
        <w:rPr>
          <w:i/>
          <w:iCs/>
          <w:lang w:val="en-US"/>
        </w:rPr>
        <w:t>.</w:t>
      </w:r>
    </w:p>
    <w:p w14:paraId="253034A5" w14:textId="41350115" w:rsidR="008D3E92" w:rsidRDefault="008D3E92" w:rsidP="00BA1597">
      <w:pPr>
        <w:pStyle w:val="HChG"/>
        <w:rPr>
          <w:lang w:val="en-US"/>
        </w:rPr>
      </w:pPr>
      <w:r>
        <w:rPr>
          <w:lang w:val="en-US"/>
        </w:rPr>
        <w:tab/>
      </w:r>
      <w:r>
        <w:rPr>
          <w:lang w:val="en-US"/>
        </w:rPr>
        <w:tab/>
        <w:t>Amendments to the Manual of Tests and Criteria</w:t>
      </w:r>
      <w:r w:rsidR="0048341A">
        <w:rPr>
          <w:lang w:val="en-US"/>
        </w:rPr>
        <w:t xml:space="preserve"> (Section 32)</w:t>
      </w:r>
    </w:p>
    <w:p w14:paraId="456065F3" w14:textId="2F3A752A" w:rsidR="008D3E92" w:rsidRPr="007A7749" w:rsidRDefault="00D908B8" w:rsidP="00001D61">
      <w:pPr>
        <w:pStyle w:val="SingleTxtG"/>
        <w:tabs>
          <w:tab w:val="left" w:pos="1701"/>
        </w:tabs>
        <w:rPr>
          <w:lang w:val="en-US"/>
        </w:rPr>
      </w:pPr>
      <w:r>
        <w:rPr>
          <w:lang w:val="en-US"/>
        </w:rPr>
        <w:t>1.</w:t>
      </w:r>
      <w:r>
        <w:rPr>
          <w:lang w:val="en-US"/>
        </w:rPr>
        <w:tab/>
      </w:r>
      <w:r w:rsidR="008D3E92">
        <w:rPr>
          <w:lang w:val="en-US"/>
        </w:rPr>
        <w:t xml:space="preserve">Amend section 32.4 </w:t>
      </w:r>
      <w:r w:rsidR="008D3E92">
        <w:t>of the Manual of Tests and Criteria</w:t>
      </w:r>
      <w:r w:rsidR="008D3E92">
        <w:rPr>
          <w:lang w:val="en-US"/>
        </w:rPr>
        <w:t xml:space="preserve"> by adding</w:t>
      </w:r>
      <w:r w:rsidR="00001D61">
        <w:rPr>
          <w:lang w:val="en-US"/>
        </w:rPr>
        <w:t xml:space="preserve"> the following</w:t>
      </w:r>
      <w:r w:rsidR="008D3E92">
        <w:rPr>
          <w:lang w:val="en-US"/>
        </w:rPr>
        <w:t xml:space="preserve"> </w:t>
      </w:r>
      <w:r w:rsidR="00001D61">
        <w:rPr>
          <w:lang w:val="en-US"/>
        </w:rPr>
        <w:t xml:space="preserve">paragraph under </w:t>
      </w:r>
      <w:r w:rsidR="008D3E92">
        <w:rPr>
          <w:lang w:val="en-US"/>
        </w:rPr>
        <w:t>the head</w:t>
      </w:r>
      <w:r w:rsidR="00001D61">
        <w:rPr>
          <w:lang w:val="en-US"/>
        </w:rPr>
        <w:t>ing</w:t>
      </w:r>
      <w:r w:rsidR="00B05184">
        <w:rPr>
          <w:lang w:val="en-US"/>
        </w:rPr>
        <w:t xml:space="preserve"> of 32.4</w:t>
      </w:r>
      <w:r w:rsidR="008D3E92">
        <w:rPr>
          <w:lang w:val="en-US"/>
        </w:rPr>
        <w:t xml:space="preserve"> (and above the head</w:t>
      </w:r>
      <w:r w:rsidR="004C04B1">
        <w:rPr>
          <w:lang w:val="en-US"/>
        </w:rPr>
        <w:t xml:space="preserve">ing </w:t>
      </w:r>
      <w:r w:rsidR="008D3E92">
        <w:rPr>
          <w:lang w:val="en-US"/>
        </w:rPr>
        <w:t>of section 32.4.1):</w:t>
      </w:r>
    </w:p>
    <w:p w14:paraId="1E33E41C" w14:textId="6DEE1905" w:rsidR="008D3E92" w:rsidRPr="007A7749" w:rsidRDefault="00BA1597" w:rsidP="005F7F22">
      <w:pPr>
        <w:pStyle w:val="SingleTxtG"/>
        <w:ind w:left="1701"/>
        <w:rPr>
          <w:b/>
          <w:bCs/>
        </w:rPr>
      </w:pPr>
      <w:r>
        <w:rPr>
          <w:b/>
          <w:bCs/>
        </w:rPr>
        <w:t>“</w:t>
      </w:r>
      <w:r w:rsidR="008D3E92" w:rsidRPr="007A7749">
        <w:rPr>
          <w:b/>
          <w:bCs/>
        </w:rPr>
        <w:t>32.4</w:t>
      </w:r>
      <w:r w:rsidR="008D3E92" w:rsidRPr="007A7749">
        <w:rPr>
          <w:b/>
          <w:bCs/>
        </w:rPr>
        <w:tab/>
        <w:t>Test methods used for determining flash point and viscosity</w:t>
      </w:r>
    </w:p>
    <w:p w14:paraId="47C2CEED" w14:textId="0A07052E" w:rsidR="008D3E92" w:rsidRPr="007A7749" w:rsidRDefault="008D3E92" w:rsidP="005F7F22">
      <w:pPr>
        <w:pStyle w:val="SingleTxtG"/>
        <w:ind w:left="1701"/>
        <w:rPr>
          <w:u w:val="single"/>
        </w:rPr>
      </w:pPr>
      <w:r>
        <w:tab/>
      </w:r>
      <w:r w:rsidRPr="007A7749">
        <w:rPr>
          <w:u w:val="single"/>
        </w:rPr>
        <w:t xml:space="preserve">It is strongly recommended to use closed-cup test methods for the determination of the flash point. </w:t>
      </w:r>
      <w:r w:rsidRPr="00A5144D">
        <w:rPr>
          <w:u w:val="single"/>
        </w:rPr>
        <w:t>Open-cup test methods are acceptable for liquids which cannot be tested in closed-cup test methods (e.g., due to their viscosity) or in case available data are used.</w:t>
      </w:r>
      <w:r w:rsidRPr="007A7749">
        <w:rPr>
          <w:u w:val="single"/>
        </w:rPr>
        <w:t xml:space="preserve"> </w:t>
      </w:r>
      <w:r>
        <w:rPr>
          <w:u w:val="single"/>
        </w:rPr>
        <w:t xml:space="preserve">In these cases, </w:t>
      </w:r>
      <w:r w:rsidRPr="007A7749">
        <w:rPr>
          <w:u w:val="single"/>
        </w:rPr>
        <w:t xml:space="preserve">5 °C </w:t>
      </w:r>
      <w:r>
        <w:rPr>
          <w:u w:val="single"/>
        </w:rPr>
        <w:t>should</w:t>
      </w:r>
      <w:r w:rsidRPr="007A7749">
        <w:rPr>
          <w:u w:val="single"/>
        </w:rPr>
        <w:t xml:space="preserve"> be </w:t>
      </w:r>
      <w:r>
        <w:rPr>
          <w:u w:val="single"/>
        </w:rPr>
        <w:t>subtracted</w:t>
      </w:r>
      <w:r w:rsidRPr="007A7749">
        <w:rPr>
          <w:u w:val="single"/>
        </w:rPr>
        <w:t xml:space="preserve"> from the </w:t>
      </w:r>
      <w:r>
        <w:rPr>
          <w:u w:val="single"/>
        </w:rPr>
        <w:t>measured value,</w:t>
      </w:r>
      <w:r w:rsidRPr="007A7749">
        <w:rPr>
          <w:u w:val="single"/>
        </w:rPr>
        <w:t xml:space="preserve"> because open cup test methods generally result in higher values</w:t>
      </w:r>
      <w:r>
        <w:rPr>
          <w:u w:val="single"/>
        </w:rPr>
        <w:t xml:space="preserve"> than closed-cup test methods</w:t>
      </w:r>
      <w:r w:rsidRPr="007A7749">
        <w:rPr>
          <w:u w:val="single"/>
        </w:rPr>
        <w:t>.</w:t>
      </w:r>
      <w:r w:rsidR="0009772E" w:rsidRPr="00B8207F">
        <w:t>”.</w:t>
      </w:r>
    </w:p>
    <w:p w14:paraId="0636C15F" w14:textId="2DF1FBF0" w:rsidR="000F51C5" w:rsidRDefault="00546E17" w:rsidP="00546E17">
      <w:pPr>
        <w:pStyle w:val="SingleTxtG"/>
        <w:tabs>
          <w:tab w:val="left" w:pos="1701"/>
        </w:tabs>
      </w:pPr>
      <w:r>
        <w:tab/>
      </w:r>
      <w:r>
        <w:tab/>
      </w:r>
      <w:r w:rsidR="0009772E">
        <w:t xml:space="preserve">Sub-sections </w:t>
      </w:r>
      <w:r w:rsidR="004C04B1">
        <w:t xml:space="preserve">32.4.1 and </w:t>
      </w:r>
      <w:r w:rsidR="0009772E">
        <w:t xml:space="preserve">32.4.2 </w:t>
      </w:r>
      <w:r w:rsidR="00565A51">
        <w:t>remain unchanged.</w:t>
      </w:r>
    </w:p>
    <w:p w14:paraId="07BF5729" w14:textId="7523016A" w:rsidR="008D3E92" w:rsidRDefault="00D908B8" w:rsidP="008D3E92">
      <w:pPr>
        <w:pStyle w:val="SingleTxtG"/>
        <w:tabs>
          <w:tab w:val="left" w:pos="1701"/>
        </w:tabs>
      </w:pPr>
      <w:r>
        <w:t>2.</w:t>
      </w:r>
      <w:r>
        <w:tab/>
      </w:r>
      <w:r w:rsidR="008D3E92">
        <w:t>Consequentially, a reference to open-cup testing is no longer needed in section 32.2.3 and it is proposed to amend</w:t>
      </w:r>
      <w:r w:rsidR="00F33888">
        <w:t xml:space="preserve"> the third sentence </w:t>
      </w:r>
      <w:r w:rsidR="008D3E92">
        <w:t>as follows:</w:t>
      </w:r>
    </w:p>
    <w:p w14:paraId="527F856D" w14:textId="594C0261" w:rsidR="008D3E92" w:rsidRPr="00DD1F5A" w:rsidRDefault="00565A51" w:rsidP="005F7F22">
      <w:pPr>
        <w:pStyle w:val="SingleTxtG"/>
        <w:ind w:left="1701"/>
        <w:rPr>
          <w:lang w:val="en-US"/>
        </w:rPr>
      </w:pPr>
      <w:r>
        <w:rPr>
          <w:lang w:val="en-US"/>
        </w:rPr>
        <w:t>“</w:t>
      </w:r>
      <w:r w:rsidR="008D3E92" w:rsidRPr="00DD1F5A">
        <w:rPr>
          <w:lang w:val="en-US"/>
        </w:rPr>
        <w:t>32.2.3</w:t>
      </w:r>
      <w:r w:rsidR="008D3E92" w:rsidRPr="00DD1F5A">
        <w:rPr>
          <w:lang w:val="en-US"/>
        </w:rPr>
        <w:tab/>
      </w:r>
      <w:r w:rsidR="00F33888">
        <w:rPr>
          <w:lang w:val="en-US"/>
        </w:rPr>
        <w:t>[</w:t>
      </w:r>
      <w:proofErr w:type="gramStart"/>
      <w:r w:rsidR="00F33888">
        <w:rPr>
          <w:lang w:val="en-US"/>
        </w:rPr>
        <w:t>…]</w:t>
      </w:r>
      <w:r w:rsidR="008D3E92" w:rsidRPr="00DD1F5A">
        <w:rPr>
          <w:lang w:val="en-US"/>
        </w:rPr>
        <w:t>Therefore</w:t>
      </w:r>
      <w:proofErr w:type="gramEnd"/>
      <w:r w:rsidR="008D3E92" w:rsidRPr="00DD1F5A">
        <w:rPr>
          <w:lang w:val="en-US"/>
        </w:rPr>
        <w:t>, it may occur that liquids which are not included in the list because their flash point in their pure state is more than 60</w:t>
      </w:r>
      <w:r w:rsidR="008D3E92">
        <w:rPr>
          <w:lang w:val="en-US"/>
        </w:rPr>
        <w:t> </w:t>
      </w:r>
      <w:r w:rsidR="008D3E92" w:rsidRPr="00DD1F5A">
        <w:rPr>
          <w:lang w:val="en-US"/>
        </w:rPr>
        <w:t>°C</w:t>
      </w:r>
      <w:r w:rsidR="008D3E92" w:rsidRPr="00CA1A39">
        <w:rPr>
          <w:strike/>
          <w:lang w:val="en-US"/>
        </w:rPr>
        <w:t xml:space="preserve"> </w:t>
      </w:r>
      <w:r w:rsidR="008D3E92" w:rsidRPr="00F947A5">
        <w:rPr>
          <w:strike/>
          <w:lang w:val="en-US"/>
        </w:rPr>
        <w:t>in a closed-cup test, or more than 65.6 °C in an open-cup test</w:t>
      </w:r>
      <w:r w:rsidR="008D3E92" w:rsidRPr="00156F10">
        <w:rPr>
          <w:lang w:val="en-US"/>
        </w:rPr>
        <w:t xml:space="preserve">, </w:t>
      </w:r>
      <w:r w:rsidR="008D3E92" w:rsidRPr="00DD1F5A">
        <w:rPr>
          <w:lang w:val="en-US"/>
        </w:rPr>
        <w:t xml:space="preserve">may be classified as "generic" or "not otherwise specified" flammable liquids with a flash point at or below that limit. </w:t>
      </w:r>
      <w:r w:rsidR="00F33888">
        <w:rPr>
          <w:lang w:val="en-US"/>
        </w:rPr>
        <w:t>[…]</w:t>
      </w:r>
      <w:r>
        <w:rPr>
          <w:lang w:val="en-US"/>
        </w:rPr>
        <w:t>”</w:t>
      </w:r>
      <w:r w:rsidR="00B8207F">
        <w:rPr>
          <w:lang w:val="en-US"/>
        </w:rPr>
        <w:t>.</w:t>
      </w:r>
    </w:p>
    <w:p w14:paraId="012E9605" w14:textId="5DF716E1" w:rsidR="008D3E92" w:rsidRDefault="008D3E92" w:rsidP="00BA1597">
      <w:pPr>
        <w:pStyle w:val="HChG"/>
        <w:rPr>
          <w:lang w:val="en-US"/>
        </w:rPr>
      </w:pPr>
      <w:r>
        <w:rPr>
          <w:lang w:val="en-US"/>
        </w:rPr>
        <w:tab/>
      </w:r>
      <w:r>
        <w:rPr>
          <w:lang w:val="en-US"/>
        </w:rPr>
        <w:tab/>
        <w:t>Amendments to the GHS</w:t>
      </w:r>
      <w:r w:rsidR="0048341A">
        <w:rPr>
          <w:lang w:val="en-US"/>
        </w:rPr>
        <w:t xml:space="preserve"> (Chapter 2.6)</w:t>
      </w:r>
    </w:p>
    <w:p w14:paraId="733DF51C" w14:textId="12FB648B" w:rsidR="008D3E92" w:rsidRDefault="00D908B8" w:rsidP="008D3E92">
      <w:pPr>
        <w:pStyle w:val="SingleTxtG"/>
        <w:tabs>
          <w:tab w:val="left" w:pos="1701"/>
        </w:tabs>
        <w:rPr>
          <w:lang w:val="en-US"/>
        </w:rPr>
      </w:pPr>
      <w:r>
        <w:rPr>
          <w:lang w:val="en-US"/>
        </w:rPr>
        <w:t>3.</w:t>
      </w:r>
      <w:r>
        <w:rPr>
          <w:lang w:val="en-US"/>
        </w:rPr>
        <w:tab/>
      </w:r>
      <w:r w:rsidR="008D3E92">
        <w:rPr>
          <w:lang w:val="en-US"/>
        </w:rPr>
        <w:t xml:space="preserve">Additionally, </w:t>
      </w:r>
      <w:r w:rsidR="00F33888">
        <w:rPr>
          <w:lang w:val="en-US"/>
        </w:rPr>
        <w:t xml:space="preserve">it is proposed </w:t>
      </w:r>
      <w:r w:rsidR="008D3E92">
        <w:rPr>
          <w:lang w:val="en-US"/>
        </w:rPr>
        <w:t xml:space="preserve">to amend the wording in section 2.6.4.2.4 of the GHS to be specific </w:t>
      </w:r>
      <w:proofErr w:type="gramStart"/>
      <w:r w:rsidR="008D3E92">
        <w:rPr>
          <w:lang w:val="en-US"/>
        </w:rPr>
        <w:t>with regard to</w:t>
      </w:r>
      <w:proofErr w:type="gramEnd"/>
      <w:r w:rsidR="008D3E92">
        <w:rPr>
          <w:lang w:val="en-US"/>
        </w:rPr>
        <w:t xml:space="preserve"> the special cases in which open-cup test data are appropriate (viscous liquids for which open-cup testing is not possible or available data). Furthermore, the proposed wording would then be equivalent to that in the Manual of Tests and Criteria as proposed in paragraph 1 above:</w:t>
      </w:r>
    </w:p>
    <w:p w14:paraId="2AF13553" w14:textId="03A3037F" w:rsidR="008D3E92" w:rsidRDefault="002D1944" w:rsidP="005F7F22">
      <w:pPr>
        <w:pStyle w:val="SingleTxtG"/>
        <w:ind w:left="1701"/>
      </w:pPr>
      <w:r>
        <w:t>“</w:t>
      </w:r>
      <w:r w:rsidR="008D3E92">
        <w:t>2.6.4.2.4</w:t>
      </w:r>
      <w:r w:rsidR="008D3E92">
        <w:tab/>
        <w:t xml:space="preserve">If data are not available, the flash point and the initial boiling point shall be determined through testing. The flash point shall be determined by </w:t>
      </w:r>
      <w:r w:rsidR="008D3E92" w:rsidRPr="00891B56">
        <w:rPr>
          <w:u w:val="single"/>
        </w:rPr>
        <w:t xml:space="preserve">a </w:t>
      </w:r>
      <w:r w:rsidR="008D3E92">
        <w:t xml:space="preserve">closed-cup test method. </w:t>
      </w:r>
      <w:r w:rsidR="008D3E92" w:rsidRPr="006F3E65">
        <w:t>Open-cup tests are acceptable</w:t>
      </w:r>
      <w:r w:rsidR="008D3E92" w:rsidRPr="000666E5">
        <w:rPr>
          <w:strike/>
        </w:rPr>
        <w:t xml:space="preserve"> only in special cases</w:t>
      </w:r>
      <w:r w:rsidR="008D3E92" w:rsidRPr="00891B56">
        <w:rPr>
          <w:u w:val="single"/>
        </w:rPr>
        <w:t xml:space="preserve"> for liquids which cannot be tested in closed-cup test methods (e.g., due to their viscosity) or in case available data are used. In these cases, 5 °C should be subtracted from the measured value because open cup test methods generally result in higher values than closed-cup methods</w:t>
      </w:r>
      <w:r w:rsidR="008D3E92" w:rsidRPr="006F3E65">
        <w:t>.</w:t>
      </w:r>
      <w:r>
        <w:t>”.</w:t>
      </w:r>
    </w:p>
    <w:p w14:paraId="029783CD" w14:textId="6CB4FB67" w:rsidR="008D3E92" w:rsidRPr="00B059DE" w:rsidRDefault="00D908B8" w:rsidP="00DA178D">
      <w:pPr>
        <w:pStyle w:val="SingleTxtG"/>
        <w:tabs>
          <w:tab w:val="left" w:pos="1701"/>
        </w:tabs>
        <w:rPr>
          <w:lang w:val="en-US"/>
        </w:rPr>
      </w:pPr>
      <w:r>
        <w:rPr>
          <w:lang w:val="en-US"/>
        </w:rPr>
        <w:t>4.</w:t>
      </w:r>
      <w:r>
        <w:rPr>
          <w:lang w:val="en-US"/>
        </w:rPr>
        <w:tab/>
      </w:r>
      <w:r w:rsidR="008D3E92">
        <w:rPr>
          <w:lang w:val="en-US"/>
        </w:rPr>
        <w:t>The authors would also like to point out that (as far as we are aware), “shall” shall not be used in the GHS</w:t>
      </w:r>
      <w:r w:rsidR="00DA178D">
        <w:rPr>
          <w:lang w:val="en-US"/>
        </w:rPr>
        <w:t>.</w:t>
      </w:r>
      <w:r w:rsidR="005F7F22">
        <w:rPr>
          <w:lang w:val="en-US"/>
        </w:rPr>
        <w:t xml:space="preserve"> </w:t>
      </w:r>
      <w:r w:rsidR="00DA178D">
        <w:rPr>
          <w:lang w:val="en-US"/>
        </w:rPr>
        <w:t>T</w:t>
      </w:r>
      <w:r w:rsidR="008D3E92">
        <w:rPr>
          <w:lang w:val="en-US"/>
        </w:rPr>
        <w:t xml:space="preserve">he </w:t>
      </w:r>
      <w:r w:rsidR="00DA178D">
        <w:rPr>
          <w:lang w:val="en-US"/>
        </w:rPr>
        <w:t xml:space="preserve">GHS </w:t>
      </w:r>
      <w:r w:rsidR="008D3E92">
        <w:rPr>
          <w:lang w:val="en-US"/>
        </w:rPr>
        <w:t xml:space="preserve">Sub-Committee </w:t>
      </w:r>
      <w:r w:rsidR="00DA178D">
        <w:rPr>
          <w:lang w:val="en-US"/>
        </w:rPr>
        <w:t xml:space="preserve">may wish to consider </w:t>
      </w:r>
      <w:r w:rsidR="008D3E92">
        <w:rPr>
          <w:lang w:val="en-US"/>
        </w:rPr>
        <w:t>replac</w:t>
      </w:r>
      <w:r w:rsidR="00DA178D">
        <w:rPr>
          <w:lang w:val="en-US"/>
        </w:rPr>
        <w:t>ing</w:t>
      </w:r>
      <w:r w:rsidR="008D3E92">
        <w:rPr>
          <w:lang w:val="en-US"/>
        </w:rPr>
        <w:t xml:space="preserve"> “shall” in the first two sentences (</w:t>
      </w:r>
      <w:r w:rsidR="00C064CD">
        <w:rPr>
          <w:lang w:val="en-US"/>
        </w:rPr>
        <w:t>twice</w:t>
      </w:r>
      <w:r w:rsidR="008D3E92">
        <w:rPr>
          <w:lang w:val="en-US"/>
        </w:rPr>
        <w:t>) by “should”.</w:t>
      </w:r>
    </w:p>
    <w:p w14:paraId="42BD5DDE" w14:textId="214C5132" w:rsidR="008D3E92" w:rsidRPr="008D3E92" w:rsidRDefault="008D3E92" w:rsidP="008D3E92">
      <w:pPr>
        <w:spacing w:before="240"/>
        <w:jc w:val="center"/>
        <w:rPr>
          <w:u w:val="single"/>
        </w:rPr>
      </w:pPr>
      <w:r>
        <w:rPr>
          <w:u w:val="single"/>
        </w:rPr>
        <w:tab/>
      </w:r>
      <w:r>
        <w:rPr>
          <w:u w:val="single"/>
        </w:rPr>
        <w:tab/>
      </w:r>
      <w:r>
        <w:rPr>
          <w:u w:val="single"/>
        </w:rPr>
        <w:tab/>
      </w:r>
    </w:p>
    <w:sectPr w:rsidR="008D3E92" w:rsidRPr="008D3E92" w:rsidSect="008D3E92">
      <w:headerReference w:type="even" r:id="rId12"/>
      <w:headerReference w:type="default" r:id="rId13"/>
      <w:footerReference w:type="even" r:id="rId14"/>
      <w:footerReference w:type="default" r:id="rId15"/>
      <w:headerReference w:type="first" r:id="rId16"/>
      <w:footerReference w:type="first" r:id="rId17"/>
      <w:footnotePr>
        <w:numFmt w:val="chicago"/>
      </w:footnotePr>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F1F39" w14:textId="77777777" w:rsidR="00E10BC8" w:rsidRPr="00C47B2E" w:rsidRDefault="00E10BC8" w:rsidP="00C47B2E">
      <w:pPr>
        <w:pStyle w:val="Footer"/>
      </w:pPr>
    </w:p>
  </w:endnote>
  <w:endnote w:type="continuationSeparator" w:id="0">
    <w:p w14:paraId="032EC780" w14:textId="77777777" w:rsidR="00E10BC8" w:rsidRPr="00C47B2E" w:rsidRDefault="00E10BC8" w:rsidP="00C47B2E">
      <w:pPr>
        <w:pStyle w:val="Footer"/>
      </w:pPr>
    </w:p>
  </w:endnote>
  <w:endnote w:type="continuationNotice" w:id="1">
    <w:p w14:paraId="3408B687" w14:textId="77777777" w:rsidR="00E10BC8" w:rsidRPr="00C47B2E" w:rsidRDefault="00E10BC8"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569F" w14:textId="4C8725EA" w:rsidR="00D94B05" w:rsidRPr="008D3E92" w:rsidRDefault="008D3E92" w:rsidP="008D3E92">
    <w:pPr>
      <w:pStyle w:val="Footer"/>
      <w:tabs>
        <w:tab w:val="right" w:pos="9598"/>
        <w:tab w:val="right" w:pos="9638"/>
      </w:tabs>
      <w:rPr>
        <w:sz w:val="18"/>
      </w:rPr>
    </w:pPr>
    <w:r w:rsidRPr="008D3E92">
      <w:rPr>
        <w:b/>
        <w:sz w:val="18"/>
      </w:rPr>
      <w:fldChar w:fldCharType="begin"/>
    </w:r>
    <w:r w:rsidRPr="008D3E92">
      <w:rPr>
        <w:b/>
        <w:sz w:val="18"/>
      </w:rPr>
      <w:instrText xml:space="preserve"> PAGE  \* MERGEFORMAT </w:instrText>
    </w:r>
    <w:r w:rsidRPr="008D3E92">
      <w:rPr>
        <w:b/>
        <w:sz w:val="18"/>
      </w:rPr>
      <w:fldChar w:fldCharType="separate"/>
    </w:r>
    <w:r w:rsidRPr="008D3E92">
      <w:rPr>
        <w:b/>
        <w:noProof/>
        <w:sz w:val="18"/>
      </w:rPr>
      <w:t>2</w:t>
    </w:r>
    <w:r w:rsidRPr="008D3E9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10F7" w14:textId="7520B487" w:rsidR="00D94B05" w:rsidRPr="005F7F22" w:rsidRDefault="008D3E92" w:rsidP="008D3E92">
    <w:pPr>
      <w:pStyle w:val="Footer"/>
      <w:tabs>
        <w:tab w:val="left" w:pos="5775"/>
        <w:tab w:val="right" w:pos="9598"/>
        <w:tab w:val="right" w:pos="9638"/>
      </w:tabs>
      <w:jc w:val="right"/>
      <w:rPr>
        <w:b/>
        <w:bCs/>
        <w:sz w:val="18"/>
      </w:rPr>
    </w:pPr>
    <w:r>
      <w:rPr>
        <w:b/>
        <w:sz w:val="18"/>
      </w:rPr>
      <w:tab/>
    </w:r>
    <w:r w:rsidRPr="005F7F22">
      <w:rPr>
        <w:b/>
        <w:bCs/>
        <w:sz w:val="18"/>
      </w:rPr>
      <w:fldChar w:fldCharType="begin"/>
    </w:r>
    <w:r w:rsidRPr="001C69BE">
      <w:rPr>
        <w:b/>
        <w:bCs/>
        <w:sz w:val="18"/>
      </w:rPr>
      <w:instrText xml:space="preserve"> PAGE  \* MERGEFORMAT </w:instrText>
    </w:r>
    <w:r w:rsidRPr="005F7F22">
      <w:rPr>
        <w:b/>
        <w:bCs/>
        <w:sz w:val="18"/>
      </w:rPr>
      <w:fldChar w:fldCharType="separate"/>
    </w:r>
    <w:r w:rsidRPr="001C69BE">
      <w:rPr>
        <w:b/>
        <w:bCs/>
        <w:noProof/>
        <w:sz w:val="18"/>
      </w:rPr>
      <w:t>3</w:t>
    </w:r>
    <w:r w:rsidRPr="005F7F2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E09A" w14:textId="77777777" w:rsidR="00D94B05" w:rsidRPr="008D3E92"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38CFAB0D" wp14:editId="11E1D84F">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2330A" w14:textId="77777777" w:rsidR="00E10BC8" w:rsidRPr="00C47B2E" w:rsidRDefault="00E10BC8" w:rsidP="00C47B2E">
      <w:pPr>
        <w:tabs>
          <w:tab w:val="right" w:pos="2155"/>
        </w:tabs>
        <w:spacing w:after="80" w:line="240" w:lineRule="auto"/>
        <w:ind w:left="680"/>
      </w:pPr>
      <w:r>
        <w:rPr>
          <w:u w:val="single"/>
        </w:rPr>
        <w:tab/>
      </w:r>
    </w:p>
  </w:footnote>
  <w:footnote w:type="continuationSeparator" w:id="0">
    <w:p w14:paraId="12E7E9D2" w14:textId="77777777" w:rsidR="00E10BC8" w:rsidRPr="00C47B2E" w:rsidRDefault="00E10BC8" w:rsidP="005E716E">
      <w:pPr>
        <w:tabs>
          <w:tab w:val="right" w:pos="2155"/>
        </w:tabs>
        <w:spacing w:after="80" w:line="240" w:lineRule="auto"/>
        <w:ind w:left="680"/>
      </w:pPr>
      <w:r>
        <w:rPr>
          <w:u w:val="single"/>
        </w:rPr>
        <w:tab/>
      </w:r>
    </w:p>
  </w:footnote>
  <w:footnote w:type="continuationNotice" w:id="1">
    <w:p w14:paraId="6EAFE100" w14:textId="77777777" w:rsidR="00E10BC8" w:rsidRPr="00C47B2E" w:rsidRDefault="00E10BC8" w:rsidP="00C47B2E">
      <w:pPr>
        <w:pStyle w:val="Footer"/>
      </w:pPr>
    </w:p>
  </w:footnote>
  <w:footnote w:id="2">
    <w:p w14:paraId="1B981919" w14:textId="3B44C950" w:rsidR="008D3E92" w:rsidRPr="008D3E92" w:rsidRDefault="008D3E92" w:rsidP="00833CBD">
      <w:pPr>
        <w:pStyle w:val="FootnoteText"/>
        <w:ind w:firstLine="0"/>
        <w:rPr>
          <w:lang w:val="fr-CH"/>
        </w:rPr>
      </w:pPr>
      <w:r>
        <w:rPr>
          <w:rStyle w:val="FootnoteReference"/>
        </w:rPr>
        <w:footnoteRef/>
      </w:r>
      <w:r>
        <w:t xml:space="preserve"> </w:t>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520A" w14:textId="7E724F7E" w:rsidR="008D3E92" w:rsidRPr="008D3E92" w:rsidRDefault="00E10BC8">
    <w:pPr>
      <w:pStyle w:val="Header"/>
    </w:pPr>
    <w:fldSimple w:instr=" TITLE  \* MERGEFORMAT ">
      <w:r w:rsidR="00866F23">
        <w:t>ST/SG/AC.10/C.3/2022/52</w:t>
      </w:r>
    </w:fldSimple>
    <w:r w:rsidR="008D3E92">
      <w:br/>
    </w:r>
    <w:fldSimple w:instr=" KEYWORDS  \* MERGEFORMAT ">
      <w:r w:rsidR="00866F23">
        <w:t>ST/SG/AC.10/C.4/2022/11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A036" w14:textId="39C1ED3B" w:rsidR="00D94B05" w:rsidRPr="008D3E92" w:rsidRDefault="00E10BC8" w:rsidP="008D3E92">
    <w:pPr>
      <w:pStyle w:val="Header"/>
      <w:jc w:val="right"/>
    </w:pPr>
    <w:fldSimple w:instr=" TITLE  \* MERGEFORMAT ">
      <w:r w:rsidR="00866F23">
        <w:t>ST/SG/AC.10/C.3/2022/52</w:t>
      </w:r>
    </w:fldSimple>
    <w:r w:rsidR="008D3E92">
      <w:br/>
    </w:r>
    <w:fldSimple w:instr=" KEYWORDS  \* MERGEFORMAT ">
      <w:r w:rsidR="00866F23">
        <w:t>ST/SG/AC.10/C.4/2022/11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49B2" w14:textId="77777777" w:rsidR="008D3E92" w:rsidRDefault="008D3E92" w:rsidP="008D3E9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567"/>
  <w:hyphenationZone w:val="425"/>
  <w:evenAndOddHeaders/>
  <w:characterSpacingControl w:val="doNotCompress"/>
  <w:savePreviewPicture/>
  <w:hdrShapeDefaults>
    <o:shapedefaults v:ext="edit" spidmax="2050"/>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92"/>
    <w:rsid w:val="00001D61"/>
    <w:rsid w:val="00046E92"/>
    <w:rsid w:val="00063C90"/>
    <w:rsid w:val="0009772E"/>
    <w:rsid w:val="000F51C5"/>
    <w:rsid w:val="00101B98"/>
    <w:rsid w:val="001514D1"/>
    <w:rsid w:val="001941A3"/>
    <w:rsid w:val="001968EB"/>
    <w:rsid w:val="001B734C"/>
    <w:rsid w:val="001C69BE"/>
    <w:rsid w:val="00247E2C"/>
    <w:rsid w:val="00253DF4"/>
    <w:rsid w:val="00293517"/>
    <w:rsid w:val="002A32CB"/>
    <w:rsid w:val="002C316B"/>
    <w:rsid w:val="002C53B1"/>
    <w:rsid w:val="002D1944"/>
    <w:rsid w:val="002D5B2C"/>
    <w:rsid w:val="002D6C53"/>
    <w:rsid w:val="002E3241"/>
    <w:rsid w:val="002F5595"/>
    <w:rsid w:val="00334F6A"/>
    <w:rsid w:val="0034291C"/>
    <w:rsid w:val="00342AC8"/>
    <w:rsid w:val="00343302"/>
    <w:rsid w:val="003636ED"/>
    <w:rsid w:val="003979DE"/>
    <w:rsid w:val="003B4550"/>
    <w:rsid w:val="003D2A18"/>
    <w:rsid w:val="00413386"/>
    <w:rsid w:val="00461253"/>
    <w:rsid w:val="0048341A"/>
    <w:rsid w:val="004858F5"/>
    <w:rsid w:val="004A2814"/>
    <w:rsid w:val="004C04B1"/>
    <w:rsid w:val="004C0622"/>
    <w:rsid w:val="005042C2"/>
    <w:rsid w:val="005114D2"/>
    <w:rsid w:val="00523C8D"/>
    <w:rsid w:val="00546E17"/>
    <w:rsid w:val="00565A51"/>
    <w:rsid w:val="005E716E"/>
    <w:rsid w:val="005F7F22"/>
    <w:rsid w:val="006476E1"/>
    <w:rsid w:val="006604DF"/>
    <w:rsid w:val="00671529"/>
    <w:rsid w:val="0070489D"/>
    <w:rsid w:val="007268F9"/>
    <w:rsid w:val="00743BE3"/>
    <w:rsid w:val="00750282"/>
    <w:rsid w:val="00764440"/>
    <w:rsid w:val="0077101B"/>
    <w:rsid w:val="00784161"/>
    <w:rsid w:val="007B3A66"/>
    <w:rsid w:val="007C52B0"/>
    <w:rsid w:val="007C6033"/>
    <w:rsid w:val="008147C8"/>
    <w:rsid w:val="0081753A"/>
    <w:rsid w:val="00833CBD"/>
    <w:rsid w:val="00851290"/>
    <w:rsid w:val="00857D23"/>
    <w:rsid w:val="00866F23"/>
    <w:rsid w:val="008D3E92"/>
    <w:rsid w:val="008F1462"/>
    <w:rsid w:val="008F1895"/>
    <w:rsid w:val="00914AD1"/>
    <w:rsid w:val="009411B4"/>
    <w:rsid w:val="00946F1D"/>
    <w:rsid w:val="009D0139"/>
    <w:rsid w:val="009D717D"/>
    <w:rsid w:val="009F5CDC"/>
    <w:rsid w:val="00A072D7"/>
    <w:rsid w:val="00A775CF"/>
    <w:rsid w:val="00AD1A9C"/>
    <w:rsid w:val="00AF5DE1"/>
    <w:rsid w:val="00B05184"/>
    <w:rsid w:val="00B06045"/>
    <w:rsid w:val="00B16660"/>
    <w:rsid w:val="00B206DD"/>
    <w:rsid w:val="00B52EF4"/>
    <w:rsid w:val="00B777AD"/>
    <w:rsid w:val="00B8207F"/>
    <w:rsid w:val="00B91F8D"/>
    <w:rsid w:val="00BA1597"/>
    <w:rsid w:val="00BA6037"/>
    <w:rsid w:val="00C03015"/>
    <w:rsid w:val="00C0358D"/>
    <w:rsid w:val="00C064CD"/>
    <w:rsid w:val="00C35A27"/>
    <w:rsid w:val="00C47B2E"/>
    <w:rsid w:val="00D20845"/>
    <w:rsid w:val="00D63CD2"/>
    <w:rsid w:val="00D87DC2"/>
    <w:rsid w:val="00D908B8"/>
    <w:rsid w:val="00D94B05"/>
    <w:rsid w:val="00DA178D"/>
    <w:rsid w:val="00E02C2B"/>
    <w:rsid w:val="00E10BC8"/>
    <w:rsid w:val="00E170B6"/>
    <w:rsid w:val="00E21C27"/>
    <w:rsid w:val="00E26BCF"/>
    <w:rsid w:val="00E52109"/>
    <w:rsid w:val="00E75317"/>
    <w:rsid w:val="00EC0CE6"/>
    <w:rsid w:val="00EC7C1D"/>
    <w:rsid w:val="00ED6C48"/>
    <w:rsid w:val="00EE3045"/>
    <w:rsid w:val="00F33888"/>
    <w:rsid w:val="00F52CF2"/>
    <w:rsid w:val="00F65F5D"/>
    <w:rsid w:val="00F6725D"/>
    <w:rsid w:val="00F70D6A"/>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F830A"/>
  <w15:docId w15:val="{DC387716-44A9-4451-B7FD-88AA7445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8D3E92"/>
    <w:rPr>
      <w:b/>
      <w:sz w:val="28"/>
    </w:rPr>
  </w:style>
  <w:style w:type="character" w:customStyle="1" w:styleId="H1GChar">
    <w:name w:val="_ H_1_G Char"/>
    <w:link w:val="H1G"/>
    <w:locked/>
    <w:rsid w:val="008D3E92"/>
    <w:rPr>
      <w:b/>
      <w:sz w:val="24"/>
    </w:rPr>
  </w:style>
  <w:style w:type="character" w:customStyle="1" w:styleId="SingleTxtGChar">
    <w:name w:val="_ Single Txt_G Char"/>
    <w:link w:val="SingleTxtG"/>
    <w:qFormat/>
    <w:rsid w:val="008D3E92"/>
  </w:style>
  <w:style w:type="character" w:styleId="CommentReference">
    <w:name w:val="annotation reference"/>
    <w:basedOn w:val="DefaultParagraphFont"/>
    <w:uiPriority w:val="99"/>
    <w:semiHidden/>
    <w:unhideWhenUsed/>
    <w:rsid w:val="00BA6037"/>
    <w:rPr>
      <w:sz w:val="16"/>
      <w:szCs w:val="16"/>
    </w:rPr>
  </w:style>
  <w:style w:type="paragraph" w:styleId="CommentText">
    <w:name w:val="annotation text"/>
    <w:basedOn w:val="Normal"/>
    <w:link w:val="CommentTextChar"/>
    <w:uiPriority w:val="99"/>
    <w:semiHidden/>
    <w:unhideWhenUsed/>
    <w:rsid w:val="00BA6037"/>
    <w:pPr>
      <w:spacing w:line="240" w:lineRule="auto"/>
    </w:pPr>
  </w:style>
  <w:style w:type="character" w:customStyle="1" w:styleId="CommentTextChar">
    <w:name w:val="Comment Text Char"/>
    <w:basedOn w:val="DefaultParagraphFont"/>
    <w:link w:val="CommentText"/>
    <w:uiPriority w:val="99"/>
    <w:semiHidden/>
    <w:rsid w:val="00BA6037"/>
  </w:style>
  <w:style w:type="paragraph" w:styleId="CommentSubject">
    <w:name w:val="annotation subject"/>
    <w:basedOn w:val="CommentText"/>
    <w:next w:val="CommentText"/>
    <w:link w:val="CommentSubjectChar"/>
    <w:uiPriority w:val="99"/>
    <w:semiHidden/>
    <w:unhideWhenUsed/>
    <w:rsid w:val="00BA6037"/>
    <w:rPr>
      <w:b/>
      <w:bCs/>
    </w:rPr>
  </w:style>
  <w:style w:type="character" w:customStyle="1" w:styleId="CommentSubjectChar">
    <w:name w:val="Comment Subject Char"/>
    <w:basedOn w:val="CommentTextChar"/>
    <w:link w:val="CommentSubject"/>
    <w:uiPriority w:val="99"/>
    <w:semiHidden/>
    <w:rsid w:val="00BA60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B7F63-B1F2-4DB4-A4AF-307C38212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3B01AA-50EB-4482-A9AD-CB3283A91B9A}">
  <ds:schemaRefs>
    <ds:schemaRef ds:uri="http://schemas.microsoft.com/sharepoint/v3/contenttype/forms"/>
  </ds:schemaRefs>
</ds:datastoreItem>
</file>

<file path=customXml/itemProps3.xml><?xml version="1.0" encoding="utf-8"?>
<ds:datastoreItem xmlns:ds="http://schemas.openxmlformats.org/officeDocument/2006/customXml" ds:itemID="{83BBC261-6274-412D-ABD0-46D6A68B1053}">
  <ds:schemaRefs>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4b4a1c0d-4a69-4996-a84a-fc699b9f49de"/>
    <ds:schemaRef ds:uri="985ec44e-1bab-4c0b-9df0-6ba128686fc9"/>
    <ds:schemaRef ds:uri="acccb6d4-dbe5-46d2-b4d3-5733603d8cc6"/>
    <ds:schemaRef ds:uri="http://purl.org/dc/dcmitype/"/>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4</TotalTime>
  <Pages>3</Pages>
  <Words>1103</Words>
  <Characters>6292</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ST/SG/AC.10/C.3/2022/52</dc:title>
  <dc:subject/>
  <dc:creator>Laurence BERTHET</dc:creator>
  <cp:keywords>ST/SG/AC.10/C.4/2022/11</cp:keywords>
  <cp:lastModifiedBy>Laurence Berthet</cp:lastModifiedBy>
  <cp:revision>6</cp:revision>
  <cp:lastPrinted>2022-09-12T08:58:00Z</cp:lastPrinted>
  <dcterms:created xsi:type="dcterms:W3CDTF">2022-09-09T14:51:00Z</dcterms:created>
  <dcterms:modified xsi:type="dcterms:W3CDTF">2022-09-12T08:58:00Z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