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1FB9805" w14:textId="77777777" w:rsidTr="006476E1">
        <w:trPr>
          <w:trHeight w:val="851"/>
        </w:trPr>
        <w:tc>
          <w:tcPr>
            <w:tcW w:w="1259" w:type="dxa"/>
            <w:tcBorders>
              <w:top w:val="nil"/>
              <w:left w:val="nil"/>
              <w:bottom w:val="single" w:sz="4" w:space="0" w:color="auto"/>
              <w:right w:val="nil"/>
            </w:tcBorders>
          </w:tcPr>
          <w:p w14:paraId="385CD35E" w14:textId="77777777" w:rsidR="00E52109" w:rsidRPr="002A32CB" w:rsidRDefault="00E52109" w:rsidP="004858F5"/>
        </w:tc>
        <w:tc>
          <w:tcPr>
            <w:tcW w:w="2236" w:type="dxa"/>
            <w:tcBorders>
              <w:top w:val="nil"/>
              <w:left w:val="nil"/>
              <w:bottom w:val="single" w:sz="4" w:space="0" w:color="auto"/>
              <w:right w:val="nil"/>
            </w:tcBorders>
            <w:vAlign w:val="bottom"/>
          </w:tcPr>
          <w:p w14:paraId="5C259E2E"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A322D2B" w14:textId="79D5B6FC" w:rsidR="00E52109" w:rsidRDefault="00FA31FC" w:rsidP="00FA31FC">
            <w:pPr>
              <w:suppressAutoHyphens w:val="0"/>
              <w:jc w:val="right"/>
            </w:pPr>
            <w:r w:rsidRPr="00FA31FC">
              <w:rPr>
                <w:sz w:val="40"/>
              </w:rPr>
              <w:t>ST</w:t>
            </w:r>
            <w:r>
              <w:t>/SG/AC.10/C.3/2022/76</w:t>
            </w:r>
          </w:p>
        </w:tc>
      </w:tr>
      <w:tr w:rsidR="00E52109" w14:paraId="6B6565C7" w14:textId="77777777" w:rsidTr="006476E1">
        <w:trPr>
          <w:trHeight w:val="2835"/>
        </w:trPr>
        <w:tc>
          <w:tcPr>
            <w:tcW w:w="1259" w:type="dxa"/>
            <w:tcBorders>
              <w:top w:val="single" w:sz="4" w:space="0" w:color="auto"/>
              <w:left w:val="nil"/>
              <w:bottom w:val="single" w:sz="12" w:space="0" w:color="auto"/>
              <w:right w:val="nil"/>
            </w:tcBorders>
          </w:tcPr>
          <w:p w14:paraId="0C03EA03" w14:textId="77777777" w:rsidR="00E52109" w:rsidRDefault="00E52109" w:rsidP="006476E1">
            <w:pPr>
              <w:spacing w:before="120"/>
              <w:jc w:val="center"/>
            </w:pPr>
            <w:r>
              <w:rPr>
                <w:noProof/>
                <w:lang w:val="fr-CH" w:eastAsia="fr-CH"/>
              </w:rPr>
              <w:drawing>
                <wp:inline distT="0" distB="0" distL="0" distR="0" wp14:anchorId="5CDF5E21" wp14:editId="002AF3D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D3521AD"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00955BC" w14:textId="77777777" w:rsidR="00D94B05" w:rsidRDefault="00FA31FC" w:rsidP="00FA31FC">
            <w:pPr>
              <w:suppressAutoHyphens w:val="0"/>
              <w:spacing w:before="240" w:line="240" w:lineRule="exact"/>
            </w:pPr>
            <w:r>
              <w:t>Distr.: General</w:t>
            </w:r>
          </w:p>
          <w:p w14:paraId="1E08BCAD" w14:textId="74A324BF" w:rsidR="00FA31FC" w:rsidRDefault="00636EDD" w:rsidP="00FA31FC">
            <w:pPr>
              <w:suppressAutoHyphens w:val="0"/>
              <w:spacing w:line="240" w:lineRule="exact"/>
            </w:pPr>
            <w:r>
              <w:t>13</w:t>
            </w:r>
            <w:r w:rsidR="00FA31FC">
              <w:t xml:space="preserve"> September 2022</w:t>
            </w:r>
          </w:p>
          <w:p w14:paraId="008049B6" w14:textId="77777777" w:rsidR="00FA31FC" w:rsidRDefault="00FA31FC" w:rsidP="00FA31FC">
            <w:pPr>
              <w:suppressAutoHyphens w:val="0"/>
              <w:spacing w:line="240" w:lineRule="exact"/>
            </w:pPr>
          </w:p>
          <w:p w14:paraId="4A59A03F" w14:textId="54986BEF" w:rsidR="00FA31FC" w:rsidRDefault="00FA31FC" w:rsidP="00FA31FC">
            <w:pPr>
              <w:suppressAutoHyphens w:val="0"/>
              <w:spacing w:line="240" w:lineRule="exact"/>
            </w:pPr>
            <w:r>
              <w:t>Original: English</w:t>
            </w:r>
          </w:p>
        </w:tc>
      </w:tr>
    </w:tbl>
    <w:p w14:paraId="0F1ADE40" w14:textId="77777777" w:rsidR="00FA31FC" w:rsidRPr="006500BA" w:rsidRDefault="00FA31FC"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4CCEF61" w14:textId="77777777" w:rsidR="00FA31FC" w:rsidRPr="006500BA" w:rsidRDefault="00FA31FC" w:rsidP="004858F5">
      <w:pPr>
        <w:spacing w:before="120"/>
        <w:rPr>
          <w:rFonts w:ascii="Helv" w:hAnsi="Helv" w:cs="Helv"/>
          <w:b/>
          <w:color w:val="000000"/>
        </w:rPr>
      </w:pPr>
      <w:r w:rsidRPr="006500BA">
        <w:rPr>
          <w:b/>
        </w:rPr>
        <w:t xml:space="preserve">Sub-Committee of Experts on the </w:t>
      </w:r>
      <w:r>
        <w:rPr>
          <w:b/>
        </w:rPr>
        <w:t>Transport of Dangerous Goods</w:t>
      </w:r>
    </w:p>
    <w:p w14:paraId="678604D4" w14:textId="77777777" w:rsidR="00673144" w:rsidRPr="006500BA" w:rsidRDefault="00673144" w:rsidP="00673144">
      <w:pPr>
        <w:spacing w:before="120"/>
        <w:rPr>
          <w:b/>
        </w:rPr>
      </w:pPr>
      <w:r>
        <w:rPr>
          <w:b/>
        </w:rPr>
        <w:t xml:space="preserve">Sixty-first </w:t>
      </w:r>
      <w:r w:rsidRPr="006500BA">
        <w:rPr>
          <w:b/>
        </w:rPr>
        <w:t>session</w:t>
      </w:r>
    </w:p>
    <w:p w14:paraId="1B741BEC" w14:textId="77777777" w:rsidR="00673144" w:rsidRPr="006500BA" w:rsidRDefault="00673144" w:rsidP="00673144">
      <w:r w:rsidRPr="006500BA">
        <w:t xml:space="preserve">Geneva, </w:t>
      </w:r>
      <w:r>
        <w:t>28 November-6 December 2022</w:t>
      </w:r>
    </w:p>
    <w:p w14:paraId="505FFD95" w14:textId="33E8FE6C" w:rsidR="00673144" w:rsidRPr="006500BA" w:rsidRDefault="00673144" w:rsidP="00673144">
      <w:r w:rsidRPr="006500BA">
        <w:t xml:space="preserve">Item </w:t>
      </w:r>
      <w:r w:rsidR="000E439B">
        <w:t>3</w:t>
      </w:r>
      <w:r w:rsidRPr="006500BA">
        <w:t xml:space="preserve"> of the provisional agenda</w:t>
      </w:r>
    </w:p>
    <w:p w14:paraId="0D901699" w14:textId="2432D0B0" w:rsidR="00673144" w:rsidRDefault="000E439B" w:rsidP="00673144">
      <w:pPr>
        <w:ind w:right="4536"/>
        <w:rPr>
          <w:b/>
          <w:bCs/>
        </w:rPr>
      </w:pPr>
      <w:r w:rsidRPr="000E439B">
        <w:rPr>
          <w:b/>
          <w:bCs/>
        </w:rPr>
        <w:t xml:space="preserve">Listing, </w:t>
      </w:r>
      <w:proofErr w:type="gramStart"/>
      <w:r w:rsidRPr="000E439B">
        <w:rPr>
          <w:b/>
          <w:bCs/>
        </w:rPr>
        <w:t>classification</w:t>
      </w:r>
      <w:proofErr w:type="gramEnd"/>
      <w:r w:rsidRPr="000E439B">
        <w:rPr>
          <w:b/>
          <w:bCs/>
        </w:rPr>
        <w:t xml:space="preserve"> and packing</w:t>
      </w:r>
    </w:p>
    <w:p w14:paraId="6BBF9A69" w14:textId="48FB85E1" w:rsidR="00673144" w:rsidRDefault="00673144" w:rsidP="00673144">
      <w:pPr>
        <w:pStyle w:val="HChG"/>
      </w:pPr>
      <w:r>
        <w:tab/>
      </w:r>
      <w:r>
        <w:tab/>
      </w:r>
      <w:r w:rsidR="00DB1654">
        <w:t>Amendments to packing instructions</w:t>
      </w:r>
    </w:p>
    <w:p w14:paraId="30939C24" w14:textId="77777777" w:rsidR="00673144" w:rsidRDefault="00673144" w:rsidP="00673144">
      <w:pPr>
        <w:pStyle w:val="H1G"/>
      </w:pPr>
      <w:r>
        <w:tab/>
      </w:r>
      <w:r>
        <w:tab/>
        <w:t>Note by the secretariat</w:t>
      </w:r>
      <w:r w:rsidRPr="00653AAE">
        <w:rPr>
          <w:rStyle w:val="FootnoteReference"/>
          <w:sz w:val="20"/>
          <w:vertAlign w:val="baseline"/>
        </w:rPr>
        <w:footnoteReference w:customMarkFollows="1" w:id="2"/>
        <w:t>*</w:t>
      </w:r>
    </w:p>
    <w:p w14:paraId="7EBAB93D" w14:textId="42DBAD4F" w:rsidR="00D6183B" w:rsidRDefault="00D6183B" w:rsidP="00D6183B">
      <w:pPr>
        <w:pStyle w:val="HChG"/>
      </w:pPr>
      <w:r>
        <w:tab/>
        <w:t>I.</w:t>
      </w:r>
      <w:r>
        <w:tab/>
        <w:t>Introduction</w:t>
      </w:r>
    </w:p>
    <w:p w14:paraId="29D9DD6F" w14:textId="104EFE74" w:rsidR="00673144" w:rsidRDefault="00F26826" w:rsidP="00355248">
      <w:pPr>
        <w:pStyle w:val="SingleTxtG"/>
      </w:pPr>
      <w:r>
        <w:t>1.</w:t>
      </w:r>
      <w:r>
        <w:tab/>
      </w:r>
      <w:r w:rsidR="00D15AD1">
        <w:t xml:space="preserve">During </w:t>
      </w:r>
      <w:r w:rsidR="00F1733B">
        <w:t xml:space="preserve">the </w:t>
      </w:r>
      <w:r>
        <w:t>sixtieth session</w:t>
      </w:r>
      <w:r w:rsidR="00CF259F">
        <w:t xml:space="preserve"> of</w:t>
      </w:r>
      <w:r w:rsidR="00673144">
        <w:t xml:space="preserve"> the Sub-Committee of Experts </w:t>
      </w:r>
      <w:r w:rsidR="0041168D" w:rsidRPr="0041168D">
        <w:t>on the Transport of Dangerous Goods</w:t>
      </w:r>
      <w:r w:rsidR="0041168D">
        <w:t xml:space="preserve">, the secretariat agreed to coordinate </w:t>
      </w:r>
      <w:r w:rsidR="0041168D" w:rsidRPr="00491D01">
        <w:rPr>
          <w:rFonts w:asciiTheme="majorBidi" w:hAnsiTheme="majorBidi" w:cstheme="majorBidi"/>
        </w:rPr>
        <w:t xml:space="preserve">with </w:t>
      </w:r>
      <w:r w:rsidR="00491D01">
        <w:rPr>
          <w:rFonts w:asciiTheme="majorBidi" w:hAnsiTheme="majorBidi" w:cstheme="majorBidi"/>
        </w:rPr>
        <w:t xml:space="preserve">the </w:t>
      </w:r>
      <w:r w:rsidR="00491D01" w:rsidRPr="00491D01">
        <w:rPr>
          <w:rFonts w:asciiTheme="majorBidi" w:hAnsiTheme="majorBidi" w:cstheme="majorBidi"/>
          <w:shd w:val="clear" w:color="auto" w:fill="FFFFFF"/>
        </w:rPr>
        <w:t>European Industrial Gases Association</w:t>
      </w:r>
      <w:r w:rsidR="008316B0">
        <w:rPr>
          <w:rFonts w:asciiTheme="majorBidi" w:hAnsiTheme="majorBidi" w:cstheme="majorBidi"/>
          <w:shd w:val="clear" w:color="auto" w:fill="FFFFFF"/>
        </w:rPr>
        <w:t xml:space="preserve"> (</w:t>
      </w:r>
      <w:r w:rsidR="0041168D" w:rsidRPr="00491D01">
        <w:rPr>
          <w:rFonts w:asciiTheme="majorBidi" w:hAnsiTheme="majorBidi" w:cstheme="majorBidi"/>
        </w:rPr>
        <w:t>EIGA</w:t>
      </w:r>
      <w:r w:rsidR="008316B0">
        <w:rPr>
          <w:rFonts w:asciiTheme="majorBidi" w:hAnsiTheme="majorBidi" w:cstheme="majorBidi"/>
        </w:rPr>
        <w:t>)</w:t>
      </w:r>
      <w:r w:rsidR="0041168D" w:rsidRPr="00491D01">
        <w:rPr>
          <w:rFonts w:asciiTheme="majorBidi" w:hAnsiTheme="majorBidi" w:cstheme="majorBidi"/>
        </w:rPr>
        <w:t xml:space="preserve"> to </w:t>
      </w:r>
      <w:r w:rsidR="001D04DF" w:rsidRPr="00491D01">
        <w:rPr>
          <w:rFonts w:asciiTheme="majorBidi" w:hAnsiTheme="majorBidi" w:cstheme="majorBidi"/>
        </w:rPr>
        <w:t xml:space="preserve">bring a proposal to the </w:t>
      </w:r>
      <w:r w:rsidR="00E31DAB">
        <w:rPr>
          <w:rFonts w:asciiTheme="majorBidi" w:hAnsiTheme="majorBidi" w:cstheme="majorBidi"/>
        </w:rPr>
        <w:t>next</w:t>
      </w:r>
      <w:r w:rsidR="001D04DF">
        <w:t xml:space="preserve"> session with editorial amendments that could help prevent misinterpretations of the tables in P200 (</w:t>
      </w:r>
      <w:r w:rsidR="001D04DF" w:rsidRPr="001D04DF">
        <w:t>ST/SG/AC.10/C.3/120</w:t>
      </w:r>
      <w:r w:rsidR="001D04DF">
        <w:t xml:space="preserve">, </w:t>
      </w:r>
      <w:r w:rsidR="009D26AC">
        <w:t xml:space="preserve">para. </w:t>
      </w:r>
      <w:r w:rsidR="001D04DF">
        <w:t>75).</w:t>
      </w:r>
      <w:r w:rsidR="00422DB3">
        <w:t xml:space="preserve"> Proposal 1 below</w:t>
      </w:r>
      <w:r w:rsidR="0073259F">
        <w:t xml:space="preserve"> has been discussed between </w:t>
      </w:r>
      <w:r w:rsidR="00F1733B">
        <w:t xml:space="preserve">EIGA and the secretariat </w:t>
      </w:r>
      <w:r w:rsidR="009D26AC">
        <w:t>to</w:t>
      </w:r>
      <w:r w:rsidR="00F1733B">
        <w:t xml:space="preserve"> address this issue.</w:t>
      </w:r>
    </w:p>
    <w:p w14:paraId="3C38818F" w14:textId="75677722" w:rsidR="0038260D" w:rsidRDefault="003506EA" w:rsidP="00275511">
      <w:pPr>
        <w:pStyle w:val="SingleTxtG"/>
      </w:pPr>
      <w:r>
        <w:t>2.</w:t>
      </w:r>
      <w:r>
        <w:tab/>
      </w:r>
      <w:r w:rsidR="004830CE">
        <w:t>Furthermore</w:t>
      </w:r>
      <w:r>
        <w:t xml:space="preserve">, the secretariat has reviewed all </w:t>
      </w:r>
      <w:r w:rsidR="008C5E74">
        <w:t>packing instructions in the Model Regulations</w:t>
      </w:r>
      <w:r w:rsidR="00071003">
        <w:t xml:space="preserve"> (4.1.4.1, 4.1.4.2, 4.1.4.3 and </w:t>
      </w:r>
      <w:r w:rsidR="00453268">
        <w:t>4.2.5.2.6)</w:t>
      </w:r>
      <w:r w:rsidR="008C5E74">
        <w:t>, identifying possible areas of improvement</w:t>
      </w:r>
      <w:r w:rsidR="00EB3C51">
        <w:t>.</w:t>
      </w:r>
      <w:r w:rsidR="00275511">
        <w:t xml:space="preserve"> </w:t>
      </w:r>
      <w:r w:rsidR="0038260D">
        <w:t>Some of th</w:t>
      </w:r>
      <w:r w:rsidR="00CB71ED">
        <w:t>e</w:t>
      </w:r>
      <w:r w:rsidR="0038260D">
        <w:t>s</w:t>
      </w:r>
      <w:r w:rsidR="00CB71ED">
        <w:t>e</w:t>
      </w:r>
      <w:r w:rsidR="0038260D">
        <w:t xml:space="preserve"> improvements</w:t>
      </w:r>
      <w:r w:rsidR="00CB71ED">
        <w:t xml:space="preserve">, such as </w:t>
      </w:r>
      <w:r w:rsidR="00BC2937">
        <w:t xml:space="preserve">correcting small mistakes and </w:t>
      </w:r>
      <w:r w:rsidR="00CB71ED">
        <w:t>us</w:t>
      </w:r>
      <w:r w:rsidR="00BC2937">
        <w:t>ing</w:t>
      </w:r>
      <w:r w:rsidR="00CB71ED">
        <w:t xml:space="preserve"> consistent spacing and indentation </w:t>
      </w:r>
      <w:r w:rsidR="00275511">
        <w:t>throughout</w:t>
      </w:r>
      <w:r w:rsidR="00CB71ED">
        <w:t xml:space="preserve"> all packing instructions, are purely</w:t>
      </w:r>
      <w:r w:rsidR="00230AB0">
        <w:t xml:space="preserve"> editorial and, as such, have been addressed directly by the secretariat and</w:t>
      </w:r>
      <w:r w:rsidR="00090A65">
        <w:t xml:space="preserve"> are not detailed in this document.</w:t>
      </w:r>
      <w:r w:rsidR="00920DED">
        <w:t xml:space="preserve"> However, </w:t>
      </w:r>
      <w:r w:rsidR="00A42256">
        <w:t xml:space="preserve">there are </w:t>
      </w:r>
      <w:r w:rsidR="006F1DD0">
        <w:t>several</w:t>
      </w:r>
      <w:r w:rsidR="00A42256">
        <w:t xml:space="preserve"> issues wh</w:t>
      </w:r>
      <w:r w:rsidR="00ED551E">
        <w:t>ich, although mostly editorial in nature, are slightly more substantial</w:t>
      </w:r>
      <w:r w:rsidR="004830CE">
        <w:t xml:space="preserve"> or would benefit</w:t>
      </w:r>
      <w:r w:rsidR="00F4098C">
        <w:t xml:space="preserve"> from the review of the Sub-Committee</w:t>
      </w:r>
      <w:r w:rsidR="00ED551E">
        <w:t xml:space="preserve">. Proposals 2 to </w:t>
      </w:r>
      <w:r w:rsidR="00F4098C">
        <w:t>10</w:t>
      </w:r>
      <w:r w:rsidR="00ED551E">
        <w:t xml:space="preserve">, </w:t>
      </w:r>
      <w:r w:rsidR="00B1000E">
        <w:t>explain the specific issues identified and contain appropriate amendments for the consideration of the Sub-Committee.</w:t>
      </w:r>
    </w:p>
    <w:p w14:paraId="73E57DF3" w14:textId="5032F0A2" w:rsidR="004E5E46" w:rsidRDefault="00376484" w:rsidP="00275511">
      <w:pPr>
        <w:pStyle w:val="SingleTxtG"/>
      </w:pPr>
      <w:r>
        <w:t>3.</w:t>
      </w:r>
      <w:r>
        <w:tab/>
        <w:t xml:space="preserve">Finally, the secretariat has </w:t>
      </w:r>
      <w:r w:rsidR="0027333A">
        <w:t>reproduced in informal document INF.3 the full set</w:t>
      </w:r>
      <w:r w:rsidR="006C610C">
        <w:t xml:space="preserve"> of packing instructions a</w:t>
      </w:r>
      <w:r w:rsidR="00602D2C">
        <w:t>fter applying all the</w:t>
      </w:r>
      <w:r w:rsidR="00687856">
        <w:t>se</w:t>
      </w:r>
      <w:r w:rsidR="00602D2C">
        <w:t xml:space="preserve"> editorial improvements and proposals.</w:t>
      </w:r>
      <w:r w:rsidR="00710A25">
        <w:t xml:space="preserve"> The packing instructions reproduced in </w:t>
      </w:r>
      <w:r w:rsidR="00252EB8">
        <w:t>informal document</w:t>
      </w:r>
      <w:r w:rsidR="00710A25">
        <w:t xml:space="preserve"> INF.3, however, do not contain other amendments that have been adopted so far by the Sub-Committee during the current biennium.</w:t>
      </w:r>
    </w:p>
    <w:p w14:paraId="1D165630" w14:textId="27CF7287" w:rsidR="00AF5DE1" w:rsidRDefault="00BE1BE9" w:rsidP="00BE1BE9">
      <w:pPr>
        <w:pStyle w:val="HChG"/>
      </w:pPr>
      <w:r>
        <w:lastRenderedPageBreak/>
        <w:tab/>
        <w:t>II.</w:t>
      </w:r>
      <w:r>
        <w:tab/>
        <w:t>Proposals</w:t>
      </w:r>
    </w:p>
    <w:p w14:paraId="527560F8" w14:textId="31EABBCC" w:rsidR="00BE1BE9" w:rsidRDefault="00BE1BE9" w:rsidP="00BE1BE9">
      <w:pPr>
        <w:pStyle w:val="H1G"/>
      </w:pPr>
      <w:r>
        <w:tab/>
      </w:r>
      <w:r w:rsidR="006A16C1">
        <w:t>1.</w:t>
      </w:r>
      <w:r>
        <w:tab/>
      </w:r>
      <w:r w:rsidR="00916C3D">
        <w:t>Amendments to the tables in P200</w:t>
      </w:r>
    </w:p>
    <w:p w14:paraId="6F4EA146" w14:textId="55251028" w:rsidR="00916C3D" w:rsidRDefault="00AD51B8" w:rsidP="00916C3D">
      <w:pPr>
        <w:pStyle w:val="SingleTxtG"/>
      </w:pPr>
      <w:r>
        <w:t>4.</w:t>
      </w:r>
      <w:r>
        <w:tab/>
      </w:r>
      <w:r w:rsidR="005C0309">
        <w:t xml:space="preserve">Currently, </w:t>
      </w:r>
      <w:r w:rsidR="009D57A6">
        <w:t>when an entry contains several subsidiary hazards, they are</w:t>
      </w:r>
      <w:r w:rsidR="00A669C6">
        <w:t xml:space="preserve"> listed in multiple rows. Since some entries also have several rows to indicate</w:t>
      </w:r>
      <w:r w:rsidR="000831FD">
        <w:t xml:space="preserve"> multiple test pressures, </w:t>
      </w:r>
      <w:r w:rsidR="00F06CBE">
        <w:t>one could erroneously interpret that each subsidiary hazard</w:t>
      </w:r>
      <w:r w:rsidR="003D1328">
        <w:t xml:space="preserve"> corresponds to a different test pressure. To avoid this, </w:t>
      </w:r>
      <w:r w:rsidR="00CD2428">
        <w:t>it is</w:t>
      </w:r>
      <w:r w:rsidR="003D1328">
        <w:t xml:space="preserve"> propose</w:t>
      </w:r>
      <w:r w:rsidR="00CD2428">
        <w:t>d</w:t>
      </w:r>
      <w:r w:rsidR="003D1328">
        <w:t xml:space="preserve"> to </w:t>
      </w:r>
      <w:r w:rsidR="00953D6F">
        <w:t>pluralize the</w:t>
      </w:r>
      <w:r w:rsidR="00EE5069">
        <w:t xml:space="preserve"> word “hazard” in the heading, </w:t>
      </w:r>
      <w:r w:rsidR="005005BB">
        <w:t xml:space="preserve">to </w:t>
      </w:r>
      <w:r w:rsidR="00EE5069">
        <w:t>separate hazards with commas instead of with multiple rows</w:t>
      </w:r>
      <w:r w:rsidR="009F35AA">
        <w:t xml:space="preserve"> and </w:t>
      </w:r>
      <w:r w:rsidR="00917F69">
        <w:t xml:space="preserve">to </w:t>
      </w:r>
      <w:r w:rsidR="009F35AA">
        <w:t>separate entries corresponding to different test pressure with a horizontal dashed line spanning the last three columns of the table.</w:t>
      </w:r>
    </w:p>
    <w:p w14:paraId="39120966" w14:textId="47679B50" w:rsidR="00397668" w:rsidRDefault="00397668" w:rsidP="00916C3D">
      <w:pPr>
        <w:pStyle w:val="SingleTxtG"/>
      </w:pPr>
      <w:r>
        <w:t>5.</w:t>
      </w:r>
      <w:r w:rsidR="00A465CA">
        <w:tab/>
        <w:t>Special packing provisions are currently already separated by commas</w:t>
      </w:r>
      <w:r w:rsidR="002F5DE8">
        <w:t xml:space="preserve">, but due to the narrow width of their column, they sometimes span several rows too, </w:t>
      </w:r>
      <w:r w:rsidR="0005488B">
        <w:t xml:space="preserve">allowing for a similar misinterpretation as described above. To avoid this, </w:t>
      </w:r>
      <w:r w:rsidR="00926825">
        <w:t>the column width has been tweaked to ensure that all entries fit into a single row</w:t>
      </w:r>
      <w:r w:rsidR="000758A0">
        <w:t>.</w:t>
      </w:r>
    </w:p>
    <w:p w14:paraId="53795AD8" w14:textId="71D8B73D" w:rsidR="000758A0" w:rsidRDefault="000758A0" w:rsidP="00916C3D">
      <w:pPr>
        <w:pStyle w:val="SingleTxtG"/>
      </w:pPr>
      <w:r>
        <w:t>6.</w:t>
      </w:r>
      <w:r>
        <w:tab/>
        <w:t>Finally, there are several UN</w:t>
      </w:r>
      <w:r w:rsidR="00BB134E">
        <w:t xml:space="preserve"> numbers with multiple entries which are currently treated in inconsistent ways (see entries for UN Nos. </w:t>
      </w:r>
      <w:r w:rsidR="00654A2C">
        <w:t>1010, 1012</w:t>
      </w:r>
      <w:r w:rsidR="0017048C">
        <w:t>, 1060 and 2073 in table 2)</w:t>
      </w:r>
      <w:r w:rsidR="001E5A09">
        <w:t xml:space="preserve">. </w:t>
      </w:r>
      <w:r w:rsidR="00160A63">
        <w:t xml:space="preserve">The secretariat </w:t>
      </w:r>
      <w:r w:rsidR="001E5A09">
        <w:t>propose</w:t>
      </w:r>
      <w:r w:rsidR="00160A63">
        <w:t>s</w:t>
      </w:r>
      <w:r w:rsidR="001E5A09">
        <w:t xml:space="preserve"> to treat them consist</w:t>
      </w:r>
      <w:r w:rsidR="00E01260">
        <w:t xml:space="preserve">ently </w:t>
      </w:r>
      <w:r w:rsidR="001E5A09">
        <w:t>in a similar manner as above, wi</w:t>
      </w:r>
      <w:r w:rsidR="00E01260">
        <w:t>th a dashed line spanning all columns exce</w:t>
      </w:r>
      <w:r w:rsidR="00C475B6">
        <w:t>pt the first one.</w:t>
      </w:r>
    </w:p>
    <w:p w14:paraId="1E96B7A1" w14:textId="73C369C5" w:rsidR="007B7A9F" w:rsidRDefault="007B7A9F" w:rsidP="007B7A9F">
      <w:pPr>
        <w:pStyle w:val="H23G"/>
      </w:pPr>
      <w:r>
        <w:tab/>
      </w:r>
      <w:r>
        <w:tab/>
        <w:t>Proposal 1</w:t>
      </w:r>
    </w:p>
    <w:p w14:paraId="39689D30" w14:textId="1DBBA7F2" w:rsidR="007756D9" w:rsidRPr="007B7A9F" w:rsidRDefault="007B7A9F" w:rsidP="007C5DA8">
      <w:pPr>
        <w:pStyle w:val="SingleTxtG"/>
        <w:ind w:left="2268" w:hanging="1134"/>
      </w:pPr>
      <w:r>
        <w:t>4.1.4.1, P200</w:t>
      </w:r>
      <w:r>
        <w:tab/>
      </w:r>
      <w:r w:rsidR="007756D9">
        <w:t>In tables 1, 2 and 3, in the heading of the fourth column, replace “hazard” by “hazards”.</w:t>
      </w:r>
      <w:r w:rsidR="00FB05C5">
        <w:t xml:space="preserve"> In all entries with multiple hazards, separa</w:t>
      </w:r>
      <w:r w:rsidR="00BF24BD">
        <w:t>te each hazard with a comma. In all entries with multiple test pressures</w:t>
      </w:r>
      <w:r w:rsidR="00DC4C7F">
        <w:t>, separate each row with dashed line spanning the last three columns.</w:t>
      </w:r>
      <w:r w:rsidR="002410D8">
        <w:t xml:space="preserve"> For UN Nos. 1010, 1012, 1060 and 2073, separa</w:t>
      </w:r>
      <w:r w:rsidR="00BA05D7">
        <w:t xml:space="preserve">te the different entries with </w:t>
      </w:r>
      <w:r w:rsidR="006B01AE">
        <w:t xml:space="preserve">a </w:t>
      </w:r>
      <w:r w:rsidR="00BA05D7">
        <w:t xml:space="preserve">different </w:t>
      </w:r>
      <w:r w:rsidR="001E29AC">
        <w:t>“</w:t>
      </w:r>
      <w:r w:rsidR="00BA05D7">
        <w:t>name and description</w:t>
      </w:r>
      <w:r w:rsidR="001E29AC">
        <w:t>”</w:t>
      </w:r>
      <w:r w:rsidR="00BA05D7">
        <w:t xml:space="preserve"> with a dashed line spanning</w:t>
      </w:r>
      <w:r w:rsidR="00BA05D7" w:rsidRPr="00BA05D7">
        <w:t xml:space="preserve"> </w:t>
      </w:r>
      <w:r w:rsidR="00BA05D7">
        <w:t>all columns except the first one.</w:t>
      </w:r>
    </w:p>
    <w:p w14:paraId="655463C4" w14:textId="77777777" w:rsidR="00B267BB" w:rsidRDefault="00B267BB" w:rsidP="00B267BB">
      <w:pPr>
        <w:pStyle w:val="H1G"/>
      </w:pPr>
      <w:r>
        <w:tab/>
        <w:t>2.</w:t>
      </w:r>
      <w:r>
        <w:tab/>
        <w:t>Composite packagings</w:t>
      </w:r>
    </w:p>
    <w:p w14:paraId="71845368" w14:textId="00221ABF" w:rsidR="00B267BB" w:rsidRDefault="00B267BB" w:rsidP="00B267BB">
      <w:pPr>
        <w:pStyle w:val="SingleTxtG"/>
      </w:pPr>
      <w:r>
        <w:t>7.</w:t>
      </w:r>
      <w:r>
        <w:tab/>
        <w:t xml:space="preserve">Composite packagings are considered as a type of single packagings in the Model Regulations. The formatting of some packing instructions reflects this (P010, P403, P505), but the formatting of others seems to imply otherwise (P001, P002, P410, P501, P502, P504). </w:t>
      </w:r>
      <w:r w:rsidR="00160A63">
        <w:t xml:space="preserve">The secretariat </w:t>
      </w:r>
      <w:r>
        <w:t>propose</w:t>
      </w:r>
      <w:r w:rsidR="00160A63">
        <w:t>s</w:t>
      </w:r>
      <w:r>
        <w:t xml:space="preserve"> to adapt the formatting of this latter group of packing instructions so that composite packagings are shown as a category of single packagings.</w:t>
      </w:r>
    </w:p>
    <w:p w14:paraId="7C80AA9F" w14:textId="77777777" w:rsidR="00B267BB" w:rsidRDefault="00B267BB" w:rsidP="00B267BB">
      <w:pPr>
        <w:pStyle w:val="H23G"/>
      </w:pPr>
      <w:r>
        <w:tab/>
      </w:r>
      <w:r>
        <w:tab/>
        <w:t>Proposal 2</w:t>
      </w:r>
    </w:p>
    <w:p w14:paraId="6F1EA10D" w14:textId="33CD1958" w:rsidR="00B267BB" w:rsidRPr="00163701" w:rsidRDefault="00B267BB" w:rsidP="00B267BB">
      <w:pPr>
        <w:pStyle w:val="SingleTxtG"/>
        <w:ind w:left="2268" w:hanging="1134"/>
      </w:pPr>
      <w:r>
        <w:t>4.1.4.1, P001, P002, P410, P501, P502</w:t>
      </w:r>
      <w:r w:rsidR="00240FA9">
        <w:t xml:space="preserve"> and</w:t>
      </w:r>
      <w:r>
        <w:t xml:space="preserve"> P504</w:t>
      </w:r>
      <w:r>
        <w:tab/>
        <w:t xml:space="preserve">Amend the formatting </w:t>
      </w:r>
      <w:r w:rsidR="0047684A">
        <w:t xml:space="preserve">as needed </w:t>
      </w:r>
      <w:r>
        <w:t xml:space="preserve">to display composite packagings as a category of single </w:t>
      </w:r>
      <w:proofErr w:type="spellStart"/>
      <w:r>
        <w:t>packagings</w:t>
      </w:r>
      <w:proofErr w:type="spellEnd"/>
      <w:r>
        <w:t>.</w:t>
      </w:r>
    </w:p>
    <w:p w14:paraId="2814D6BC" w14:textId="2AA8A52F" w:rsidR="00B267BB" w:rsidRDefault="00B267BB" w:rsidP="00B267BB">
      <w:pPr>
        <w:pStyle w:val="H1G"/>
      </w:pPr>
      <w:r>
        <w:tab/>
        <w:t>3.</w:t>
      </w:r>
      <w:r>
        <w:tab/>
        <w:t>Footnotes</w:t>
      </w:r>
    </w:p>
    <w:p w14:paraId="427EAC3C" w14:textId="071CF43F" w:rsidR="00B267BB" w:rsidRDefault="00EE23F5" w:rsidP="00B267BB">
      <w:pPr>
        <w:pStyle w:val="SingleTxtG"/>
      </w:pPr>
      <w:r>
        <w:t>8.</w:t>
      </w:r>
      <w:r>
        <w:tab/>
        <w:t>Currently, footnotes in packing instructions are shown in a variety of ways:</w:t>
      </w:r>
    </w:p>
    <w:p w14:paraId="3FC1ADE9" w14:textId="08020439" w:rsidR="00EE23F5" w:rsidRDefault="00585167" w:rsidP="003B054A">
      <w:pPr>
        <w:pStyle w:val="SingleTxtG"/>
        <w:ind w:left="1701"/>
      </w:pPr>
      <w:r>
        <w:t>(a)</w:t>
      </w:r>
      <w:r>
        <w:tab/>
      </w:r>
      <w:r w:rsidR="000514F3">
        <w:t>P001</w:t>
      </w:r>
      <w:r w:rsidR="000D171A">
        <w:t xml:space="preserve"> and</w:t>
      </w:r>
      <w:r w:rsidR="002172A1">
        <w:t xml:space="preserve"> P002</w:t>
      </w:r>
      <w:r w:rsidR="000514F3">
        <w:t xml:space="preserve"> at the bottom of the page</w:t>
      </w:r>
      <w:r w:rsidR="004B5DF7">
        <w:t>.</w:t>
      </w:r>
    </w:p>
    <w:p w14:paraId="6F077299" w14:textId="60ECAF72" w:rsidR="002A471C" w:rsidRDefault="002A471C" w:rsidP="003B054A">
      <w:pPr>
        <w:pStyle w:val="SingleTxtG"/>
        <w:ind w:left="1701"/>
      </w:pPr>
      <w:r>
        <w:t>(b)</w:t>
      </w:r>
      <w:r>
        <w:tab/>
        <w:t>P</w:t>
      </w:r>
      <w:r w:rsidR="00AB3F12">
        <w:t>101</w:t>
      </w:r>
      <w:r w:rsidR="009D614F">
        <w:t>, T1-T22, T23 and T50</w:t>
      </w:r>
      <w:r w:rsidR="00AB3F12">
        <w:t xml:space="preserve"> </w:t>
      </w:r>
      <w:r w:rsidR="00226EEE">
        <w:t>directly</w:t>
      </w:r>
      <w:r w:rsidR="00AB3F12">
        <w:t xml:space="preserve"> underneath the packing instruction</w:t>
      </w:r>
      <w:r w:rsidR="004B5DF7">
        <w:t>.</w:t>
      </w:r>
    </w:p>
    <w:p w14:paraId="2243E484" w14:textId="24A4C5CC" w:rsidR="00421493" w:rsidRDefault="00421493" w:rsidP="003B054A">
      <w:pPr>
        <w:pStyle w:val="SingleTxtG"/>
        <w:ind w:left="1701"/>
      </w:pPr>
      <w:r>
        <w:t>(c)</w:t>
      </w:r>
      <w:r>
        <w:tab/>
        <w:t>P200</w:t>
      </w:r>
      <w:r w:rsidR="0036723F">
        <w:t xml:space="preserve"> has two diffe</w:t>
      </w:r>
      <w:r w:rsidR="00B263D4">
        <w:t>rent footnotes</w:t>
      </w:r>
      <w:r w:rsidR="005B3198">
        <w:t>. The one in table 1 appears at the bottom</w:t>
      </w:r>
      <w:r w:rsidR="00B508C8">
        <w:t xml:space="preserve"> of the page and the </w:t>
      </w:r>
      <w:r w:rsidR="00991A76">
        <w:t xml:space="preserve">one in table 3 appears under the packing instruction. </w:t>
      </w:r>
      <w:r w:rsidR="00DB2D10">
        <w:t xml:space="preserve">Although </w:t>
      </w:r>
      <w:r w:rsidR="00590252">
        <w:t xml:space="preserve">the </w:t>
      </w:r>
      <w:r w:rsidR="00991A76">
        <w:t xml:space="preserve">footnotes </w:t>
      </w:r>
      <w:r w:rsidR="00590252">
        <w:t xml:space="preserve">are different, they both </w:t>
      </w:r>
      <w:r w:rsidR="00991A76">
        <w:t xml:space="preserve">have the same </w:t>
      </w:r>
      <w:r w:rsidR="00946945">
        <w:t>letter</w:t>
      </w:r>
      <w:r w:rsidR="00DB2D10">
        <w:t>.</w:t>
      </w:r>
    </w:p>
    <w:p w14:paraId="48B00535" w14:textId="57588A50" w:rsidR="005E5AEE" w:rsidRDefault="005E5AEE" w:rsidP="003B054A">
      <w:pPr>
        <w:pStyle w:val="SingleTxtG"/>
        <w:ind w:left="1701"/>
      </w:pPr>
      <w:r>
        <w:t>(d)</w:t>
      </w:r>
      <w:r>
        <w:tab/>
        <w:t xml:space="preserve">P410 </w:t>
      </w:r>
      <w:r w:rsidR="00F35036">
        <w:t xml:space="preserve">in </w:t>
      </w:r>
      <w:r w:rsidR="00226EEE">
        <w:t>its</w:t>
      </w:r>
      <w:r w:rsidR="00F35036">
        <w:t xml:space="preserve"> first page </w:t>
      </w:r>
      <w:r>
        <w:t>has footnotes at the bottom of the page and</w:t>
      </w:r>
      <w:r w:rsidR="00F35036">
        <w:t xml:space="preserve"> in </w:t>
      </w:r>
      <w:r w:rsidR="00226EEE">
        <w:t>its</w:t>
      </w:r>
      <w:r w:rsidR="00F35036">
        <w:t xml:space="preserve"> second page it has them</w:t>
      </w:r>
      <w:r>
        <w:t xml:space="preserve"> </w:t>
      </w:r>
      <w:r w:rsidR="00762516">
        <w:t>below a line underneath the packing instruction</w:t>
      </w:r>
      <w:r w:rsidR="00FA5492">
        <w:t>.</w:t>
      </w:r>
    </w:p>
    <w:p w14:paraId="69AAF565" w14:textId="0DA95439" w:rsidR="00E17424" w:rsidRDefault="00E17424" w:rsidP="003B054A">
      <w:pPr>
        <w:pStyle w:val="SingleTxtG"/>
        <w:ind w:left="1701"/>
      </w:pPr>
      <w:r>
        <w:t>(e)</w:t>
      </w:r>
      <w:r>
        <w:tab/>
        <w:t>P520</w:t>
      </w:r>
      <w:r w:rsidR="00BB1623">
        <w:t xml:space="preserve"> </w:t>
      </w:r>
      <w:r w:rsidR="00844BCF">
        <w:t>inside the packing instruction, under</w:t>
      </w:r>
      <w:r w:rsidR="00FC36CD">
        <w:t xml:space="preserve"> an internal table.</w:t>
      </w:r>
    </w:p>
    <w:p w14:paraId="739EAD4F" w14:textId="79B3957D" w:rsidR="003C37DF" w:rsidRDefault="003C37DF" w:rsidP="003B054A">
      <w:pPr>
        <w:pStyle w:val="SingleTxtG"/>
        <w:ind w:left="1701"/>
      </w:pPr>
      <w:r>
        <w:t>(f)</w:t>
      </w:r>
      <w:r>
        <w:tab/>
        <w:t>P</w:t>
      </w:r>
      <w:r w:rsidR="004A2249">
        <w:t>911 below a line underneath the packing instruction</w:t>
      </w:r>
      <w:r w:rsidR="00762516">
        <w:t>.</w:t>
      </w:r>
    </w:p>
    <w:p w14:paraId="12DBDC47" w14:textId="100FB6A3" w:rsidR="00287F38" w:rsidRDefault="00287F38" w:rsidP="003B054A">
      <w:pPr>
        <w:pStyle w:val="SingleTxtG"/>
        <w:ind w:left="1701"/>
      </w:pPr>
      <w:r>
        <w:lastRenderedPageBreak/>
        <w:t>(</w:t>
      </w:r>
      <w:r w:rsidR="002F03C5">
        <w:t>g</w:t>
      </w:r>
      <w:r>
        <w:t>)</w:t>
      </w:r>
      <w:r>
        <w:tab/>
        <w:t>LP</w:t>
      </w:r>
      <w:r w:rsidR="007638A5">
        <w:t>906</w:t>
      </w:r>
      <w:r w:rsidR="000D171A">
        <w:t xml:space="preserve"> has a long footnote that starts at the bottom of </w:t>
      </w:r>
      <w:r w:rsidR="00525C64">
        <w:t>a</w:t>
      </w:r>
      <w:r w:rsidR="000D171A">
        <w:t xml:space="preserve"> page and continues at the top of the following page.</w:t>
      </w:r>
    </w:p>
    <w:p w14:paraId="2A5E721E" w14:textId="49EEBC93" w:rsidR="000514F3" w:rsidRDefault="000514F3" w:rsidP="00D61732">
      <w:pPr>
        <w:pStyle w:val="SingleTxtG"/>
      </w:pPr>
      <w:r>
        <w:t>9.</w:t>
      </w:r>
      <w:r>
        <w:tab/>
      </w:r>
      <w:r w:rsidR="00106746">
        <w:t xml:space="preserve">The secretariat </w:t>
      </w:r>
      <w:r>
        <w:t>propose</w:t>
      </w:r>
      <w:r w:rsidR="00106746">
        <w:t>s</w:t>
      </w:r>
      <w:r>
        <w:t xml:space="preserve"> to </w:t>
      </w:r>
      <w:r w:rsidR="00684ABD">
        <w:t xml:space="preserve">adopt the </w:t>
      </w:r>
      <w:r w:rsidR="00F276F4">
        <w:t xml:space="preserve">following </w:t>
      </w:r>
      <w:r w:rsidR="00684ABD">
        <w:t>convention for all packing instructions</w:t>
      </w:r>
      <w:r w:rsidR="00F276F4">
        <w:t>.</w:t>
      </w:r>
      <w:r w:rsidR="00684ABD">
        <w:t xml:space="preserve"> </w:t>
      </w:r>
      <w:r w:rsidR="003253B0">
        <w:t>Footnotes</w:t>
      </w:r>
      <w:r w:rsidR="00F276F4" w:rsidRPr="00F276F4">
        <w:t xml:space="preserve"> are always “per packing instruction”</w:t>
      </w:r>
      <w:r w:rsidR="003253B0">
        <w:t>, that is</w:t>
      </w:r>
      <w:r w:rsidR="001671F8">
        <w:t>, the numbering of footnotes restarts for each packing instruction</w:t>
      </w:r>
      <w:r w:rsidR="00720187">
        <w:t>,</w:t>
      </w:r>
      <w:r w:rsidR="001671F8">
        <w:t xml:space="preserve"> if a packing instruction has</w:t>
      </w:r>
      <w:r w:rsidR="005C27C7">
        <w:t xml:space="preserve"> </w:t>
      </w:r>
      <w:r w:rsidR="00720187">
        <w:t>the same footnote in different parts or pages of the packing instructions, it will have the same letter</w:t>
      </w:r>
      <w:r w:rsidR="00592376">
        <w:t>, but if a packing in</w:t>
      </w:r>
      <w:r w:rsidR="00283FB9">
        <w:t>s</w:t>
      </w:r>
      <w:r w:rsidR="00592376">
        <w:t>truction</w:t>
      </w:r>
      <w:r w:rsidR="00283FB9">
        <w:t xml:space="preserve"> has</w:t>
      </w:r>
      <w:r w:rsidR="00AB394E">
        <w:t xml:space="preserve"> different</w:t>
      </w:r>
      <w:r w:rsidR="005C27C7">
        <w:t xml:space="preserve"> </w:t>
      </w:r>
      <w:r w:rsidR="004E2450">
        <w:t>f</w:t>
      </w:r>
      <w:r w:rsidR="009E2D6E">
        <w:t>ootnotes in different parts or pages of the packing instruction, the</w:t>
      </w:r>
      <w:r w:rsidR="00FD050A">
        <w:t>y will</w:t>
      </w:r>
      <w:r w:rsidR="00E81B68">
        <w:t xml:space="preserve"> have dif</w:t>
      </w:r>
      <w:r w:rsidR="00D61732">
        <w:t>ferent letters.</w:t>
      </w:r>
      <w:r w:rsidR="00F276F4" w:rsidRPr="00F276F4">
        <w:t xml:space="preserve"> </w:t>
      </w:r>
      <w:r w:rsidR="00D61732">
        <w:t>Footnotes</w:t>
      </w:r>
      <w:r w:rsidR="00F276F4" w:rsidRPr="00F276F4">
        <w:t xml:space="preserve"> appear </w:t>
      </w:r>
      <w:r w:rsidR="00D44C50">
        <w:t>directly</w:t>
      </w:r>
      <w:r w:rsidR="00F276F4" w:rsidRPr="00F276F4">
        <w:t xml:space="preserve"> below each packing instruction. When packing instructions span multiple pages</w:t>
      </w:r>
      <w:r w:rsidR="00D44C50">
        <w:t>, footnotes</w:t>
      </w:r>
      <w:r w:rsidR="00F276F4" w:rsidRPr="00F276F4">
        <w:t xml:space="preserve"> appear only on the pages where they are used.</w:t>
      </w:r>
    </w:p>
    <w:p w14:paraId="10A24DA5" w14:textId="3FC6E9D6" w:rsidR="00B267BB" w:rsidRDefault="00B267BB" w:rsidP="00B267BB">
      <w:pPr>
        <w:pStyle w:val="H23G"/>
      </w:pPr>
      <w:r>
        <w:tab/>
      </w:r>
      <w:r>
        <w:tab/>
        <w:t xml:space="preserve">Proposal </w:t>
      </w:r>
      <w:r w:rsidR="0047684A">
        <w:t>3</w:t>
      </w:r>
    </w:p>
    <w:p w14:paraId="3FA5E6A7" w14:textId="70266AFA" w:rsidR="00163701" w:rsidRDefault="00B267BB" w:rsidP="007531E1">
      <w:pPr>
        <w:pStyle w:val="SingleTxtG"/>
        <w:ind w:left="2268" w:hanging="1134"/>
        <w:rPr>
          <w:lang w:val="en-US"/>
        </w:rPr>
      </w:pPr>
      <w:r>
        <w:t xml:space="preserve">4.1.4.1, </w:t>
      </w:r>
      <w:r w:rsidR="00FB5696">
        <w:rPr>
          <w:lang w:val="en-US"/>
        </w:rPr>
        <w:t>P001, P002, P410, P520, P91</w:t>
      </w:r>
      <w:r w:rsidR="00F360E8">
        <w:rPr>
          <w:lang w:val="en-US"/>
        </w:rPr>
        <w:t>1</w:t>
      </w:r>
      <w:r w:rsidR="00F360E8">
        <w:rPr>
          <w:lang w:val="en-US"/>
        </w:rPr>
        <w:tab/>
      </w:r>
      <w:r w:rsidR="00687516">
        <w:rPr>
          <w:lang w:val="en-US"/>
        </w:rPr>
        <w:t xml:space="preserve">Place the footnotes directly below the packing instruction, in </w:t>
      </w:r>
      <w:r w:rsidR="00CF0188">
        <w:rPr>
          <w:lang w:val="en-US"/>
        </w:rPr>
        <w:t>those</w:t>
      </w:r>
      <w:r w:rsidR="00687516">
        <w:rPr>
          <w:lang w:val="en-US"/>
        </w:rPr>
        <w:t xml:space="preserve"> pages in which they appear.</w:t>
      </w:r>
    </w:p>
    <w:p w14:paraId="72835F9C" w14:textId="38C63483" w:rsidR="007531E1" w:rsidRDefault="007531E1" w:rsidP="007531E1">
      <w:pPr>
        <w:pStyle w:val="SingleTxtG"/>
        <w:ind w:left="2268" w:hanging="1134"/>
        <w:rPr>
          <w:lang w:val="en-US"/>
        </w:rPr>
      </w:pPr>
      <w:r>
        <w:rPr>
          <w:lang w:val="en-US"/>
        </w:rPr>
        <w:t>4.1.4.1, P200</w:t>
      </w:r>
      <w:r w:rsidR="008E7D5F">
        <w:rPr>
          <w:lang w:val="en-US"/>
        </w:rPr>
        <w:tab/>
      </w:r>
      <w:r w:rsidR="00021DCE">
        <w:rPr>
          <w:lang w:val="en-US"/>
        </w:rPr>
        <w:t>In table 1, p</w:t>
      </w:r>
      <w:r w:rsidR="008E7D5F">
        <w:rPr>
          <w:lang w:val="en-US"/>
        </w:rPr>
        <w:t xml:space="preserve">lace footnote </w:t>
      </w:r>
      <w:r w:rsidR="008E7D5F" w:rsidRPr="00021DCE">
        <w:rPr>
          <w:b/>
          <w:bCs/>
          <w:vertAlign w:val="superscript"/>
          <w:lang w:val="en-US"/>
        </w:rPr>
        <w:t>a</w:t>
      </w:r>
      <w:r w:rsidR="008E7D5F">
        <w:rPr>
          <w:lang w:val="en-US"/>
        </w:rPr>
        <w:t xml:space="preserve"> directly below the packing instruction</w:t>
      </w:r>
      <w:r w:rsidR="00021DCE">
        <w:rPr>
          <w:lang w:val="en-US"/>
        </w:rPr>
        <w:t xml:space="preserve"> (two times). In table 3, renumber footnote</w:t>
      </w:r>
      <w:r w:rsidR="00850B69">
        <w:rPr>
          <w:lang w:val="en-US"/>
        </w:rPr>
        <w:t xml:space="preserve"> </w:t>
      </w:r>
      <w:r w:rsidR="00850B69" w:rsidRPr="00850B69">
        <w:rPr>
          <w:b/>
          <w:bCs/>
          <w:vertAlign w:val="superscript"/>
          <w:lang w:val="en-US"/>
        </w:rPr>
        <w:t>a</w:t>
      </w:r>
      <w:r w:rsidR="00850B69">
        <w:rPr>
          <w:lang w:val="en-US"/>
        </w:rPr>
        <w:t xml:space="preserve"> as footnote </w:t>
      </w:r>
      <w:r w:rsidR="00850B69" w:rsidRPr="00850B69">
        <w:rPr>
          <w:b/>
          <w:bCs/>
          <w:vertAlign w:val="superscript"/>
          <w:lang w:val="en-US"/>
        </w:rPr>
        <w:t>b</w:t>
      </w:r>
      <w:r w:rsidR="00850B69">
        <w:rPr>
          <w:lang w:val="en-US"/>
        </w:rPr>
        <w:t xml:space="preserve"> (</w:t>
      </w:r>
      <w:r w:rsidR="0075073F">
        <w:rPr>
          <w:lang w:val="en-US"/>
        </w:rPr>
        <w:t xml:space="preserve">entries for UN Nos. 1745, 1746 </w:t>
      </w:r>
      <w:r w:rsidR="003761C2">
        <w:rPr>
          <w:lang w:val="en-US"/>
        </w:rPr>
        <w:t>2495, as well as the footnote itself</w:t>
      </w:r>
      <w:r w:rsidR="00850B69">
        <w:rPr>
          <w:lang w:val="en-US"/>
        </w:rPr>
        <w:t>).</w:t>
      </w:r>
    </w:p>
    <w:p w14:paraId="20A0B393" w14:textId="3C5E5094" w:rsidR="003A76D9" w:rsidRDefault="00240FA9" w:rsidP="007531E1">
      <w:pPr>
        <w:pStyle w:val="SingleTxtG"/>
        <w:ind w:left="2268" w:hanging="1134"/>
        <w:rPr>
          <w:lang w:val="en-US"/>
        </w:rPr>
      </w:pPr>
      <w:r>
        <w:rPr>
          <w:lang w:val="en-US"/>
        </w:rPr>
        <w:t>4.1.4.3, LP02 and LP906</w:t>
      </w:r>
      <w:r w:rsidR="003761C2">
        <w:rPr>
          <w:lang w:val="en-US"/>
        </w:rPr>
        <w:tab/>
        <w:t xml:space="preserve">Place the footnotes directly below the packing instruction, in </w:t>
      </w:r>
      <w:r w:rsidR="00CF0188">
        <w:rPr>
          <w:lang w:val="en-US"/>
        </w:rPr>
        <w:t>those</w:t>
      </w:r>
      <w:r w:rsidR="003761C2">
        <w:rPr>
          <w:lang w:val="en-US"/>
        </w:rPr>
        <w:t xml:space="preserve"> pages in which they appear.</w:t>
      </w:r>
    </w:p>
    <w:p w14:paraId="36095A70" w14:textId="3D4ADB1C" w:rsidR="001111A8" w:rsidRDefault="001111A8" w:rsidP="001111A8">
      <w:pPr>
        <w:pStyle w:val="H1G"/>
      </w:pPr>
      <w:r>
        <w:tab/>
      </w:r>
      <w:r w:rsidR="00B07D46">
        <w:t>4</w:t>
      </w:r>
      <w:r>
        <w:t>.</w:t>
      </w:r>
      <w:r>
        <w:tab/>
      </w:r>
      <w:r w:rsidR="00E26C68">
        <w:t>Table in P520</w:t>
      </w:r>
    </w:p>
    <w:p w14:paraId="1FDF4086" w14:textId="3C5E3D98" w:rsidR="001111A8" w:rsidRDefault="00C22F0D" w:rsidP="001111A8">
      <w:pPr>
        <w:pStyle w:val="SingleTxtG"/>
      </w:pPr>
      <w:r>
        <w:t>10</w:t>
      </w:r>
      <w:r w:rsidR="001111A8">
        <w:t>.</w:t>
      </w:r>
      <w:r w:rsidR="001111A8">
        <w:tab/>
      </w:r>
      <w:r w:rsidR="00E26C68">
        <w:t xml:space="preserve">The table inside P520 is formatted in a </w:t>
      </w:r>
      <w:r w:rsidR="005B7E1C">
        <w:t>nonstandard</w:t>
      </w:r>
      <w:r w:rsidR="00E26C68">
        <w:t xml:space="preserve"> way and is </w:t>
      </w:r>
      <w:r w:rsidR="00B42904">
        <w:t>unnecessarily cumbersome.</w:t>
      </w:r>
      <w:r w:rsidR="001111A8">
        <w:t xml:space="preserve"> We propose to </w:t>
      </w:r>
      <w:r w:rsidR="00B42904">
        <w:t xml:space="preserve">simplify it slightly while maintaining </w:t>
      </w:r>
      <w:r w:rsidR="005B7E1C">
        <w:t>the same information</w:t>
      </w:r>
      <w:r w:rsidR="001111A8">
        <w:t>.</w:t>
      </w:r>
    </w:p>
    <w:p w14:paraId="0D84D177" w14:textId="3EDBDCE1" w:rsidR="005B7E1C" w:rsidRDefault="00C22F0D" w:rsidP="00BB5534">
      <w:pPr>
        <w:pStyle w:val="SingleTxtG"/>
      </w:pPr>
      <w:r>
        <w:t>11</w:t>
      </w:r>
      <w:r w:rsidR="005B7E1C">
        <w:t>.</w:t>
      </w:r>
      <w:r w:rsidR="005B7E1C">
        <w:tab/>
        <w:t xml:space="preserve">Furthermore, </w:t>
      </w:r>
      <w:r w:rsidR="005145A4">
        <w:t xml:space="preserve">the table </w:t>
      </w:r>
      <w:r w:rsidR="00FF3A2E">
        <w:t>specifies</w:t>
      </w:r>
      <w:r w:rsidR="005145A4">
        <w:t xml:space="preserve"> the maximum mass</w:t>
      </w:r>
      <w:r w:rsidR="006A3415">
        <w:t xml:space="preserve"> per pa</w:t>
      </w:r>
      <w:r w:rsidR="0026276A">
        <w:t xml:space="preserve">ckaging/package. </w:t>
      </w:r>
      <w:r w:rsidR="000972AA">
        <w:t xml:space="preserve">Although most </w:t>
      </w:r>
      <w:r w:rsidR="00E75BBC">
        <w:t>packing instructions specify net mass, there are some that specify gross mass. It is therefore not clear</w:t>
      </w:r>
      <w:r w:rsidR="006C77E0">
        <w:t xml:space="preserve"> whether this instance refers to net or gross mass. </w:t>
      </w:r>
      <w:r w:rsidR="00273C8B" w:rsidRPr="00273C8B">
        <w:rPr>
          <w:b/>
          <w:bCs/>
        </w:rPr>
        <w:t>The Sub-Committee is requested to clarify this ambiguity.</w:t>
      </w:r>
    </w:p>
    <w:p w14:paraId="52BB133E" w14:textId="3D8FC185" w:rsidR="001111A8" w:rsidRDefault="001111A8" w:rsidP="001111A8">
      <w:pPr>
        <w:pStyle w:val="H23G"/>
      </w:pPr>
      <w:r>
        <w:tab/>
      </w:r>
      <w:r>
        <w:tab/>
        <w:t xml:space="preserve">Proposal </w:t>
      </w:r>
      <w:r w:rsidR="00F070C4">
        <w:t>4</w:t>
      </w:r>
    </w:p>
    <w:p w14:paraId="6DDE250F" w14:textId="38E522FD" w:rsidR="001111A8" w:rsidRPr="005A25B6" w:rsidRDefault="001111A8" w:rsidP="001111A8">
      <w:pPr>
        <w:pStyle w:val="SingleTxtG"/>
        <w:ind w:left="2268" w:hanging="1134"/>
        <w:rPr>
          <w:lang w:val="en-US"/>
        </w:rPr>
      </w:pPr>
      <w:r>
        <w:t>4.1.4.1, P</w:t>
      </w:r>
      <w:r w:rsidR="00F070C4">
        <w:t>520</w:t>
      </w:r>
      <w:r>
        <w:tab/>
      </w:r>
      <w:r w:rsidR="00192A8C">
        <w:t>Amend the table under (3) to read as follows: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3962"/>
        <w:gridCol w:w="708"/>
        <w:gridCol w:w="710"/>
        <w:gridCol w:w="708"/>
        <w:gridCol w:w="708"/>
        <w:gridCol w:w="710"/>
        <w:gridCol w:w="708"/>
        <w:gridCol w:w="708"/>
        <w:gridCol w:w="701"/>
      </w:tblGrid>
      <w:tr w:rsidR="0007756B" w:rsidRPr="003461F4" w14:paraId="5C9CEA1C" w14:textId="77777777" w:rsidTr="00EF5B02">
        <w:tc>
          <w:tcPr>
            <w:tcW w:w="5000" w:type="pct"/>
            <w:gridSpan w:val="9"/>
            <w:tcBorders>
              <w:top w:val="single" w:sz="6" w:space="0" w:color="auto"/>
              <w:left w:val="single" w:sz="6" w:space="0" w:color="auto"/>
              <w:bottom w:val="single" w:sz="6" w:space="0" w:color="auto"/>
              <w:right w:val="single" w:sz="6" w:space="0" w:color="auto"/>
            </w:tcBorders>
          </w:tcPr>
          <w:p w14:paraId="19077832" w14:textId="1C4F7038" w:rsidR="00464C62" w:rsidRDefault="00464C62" w:rsidP="00EF5B02">
            <w:pPr>
              <w:pStyle w:val="Pnormal"/>
            </w:pPr>
            <w:r>
              <w:t>...</w:t>
            </w:r>
          </w:p>
          <w:p w14:paraId="4B176C27" w14:textId="0B13FE17" w:rsidR="0007756B" w:rsidRPr="00E35622" w:rsidRDefault="0007756B" w:rsidP="00EF5B02">
            <w:pPr>
              <w:pStyle w:val="Pnormal"/>
            </w:pPr>
            <w:r w:rsidRPr="008E0A93">
              <w:t>The maximum quantities per packaging/package for packing methods OP1 to OP8 are:</w:t>
            </w:r>
          </w:p>
        </w:tc>
      </w:tr>
      <w:tr w:rsidR="0007756B" w:rsidRPr="00F67E4F" w14:paraId="1686041E" w14:textId="77777777" w:rsidTr="00EF5B02">
        <w:trPr>
          <w:trHeight w:val="346"/>
        </w:trPr>
        <w:tc>
          <w:tcPr>
            <w:tcW w:w="2058" w:type="pct"/>
            <w:tcBorders>
              <w:top w:val="single" w:sz="6" w:space="0" w:color="auto"/>
              <w:left w:val="single" w:sz="6" w:space="0" w:color="auto"/>
              <w:bottom w:val="nil"/>
              <w:right w:val="nil"/>
            </w:tcBorders>
          </w:tcPr>
          <w:p w14:paraId="0ACE1B20" w14:textId="77777777" w:rsidR="0007756B" w:rsidRPr="00F67E4F" w:rsidRDefault="0007756B" w:rsidP="00EF5B02">
            <w:pPr>
              <w:pStyle w:val="Pu4d2"/>
              <w:jc w:val="center"/>
              <w:rPr>
                <w:b/>
                <w:bCs/>
              </w:rPr>
            </w:pPr>
          </w:p>
        </w:tc>
        <w:tc>
          <w:tcPr>
            <w:tcW w:w="368" w:type="pct"/>
            <w:tcBorders>
              <w:top w:val="single" w:sz="6" w:space="0" w:color="auto"/>
              <w:left w:val="nil"/>
              <w:bottom w:val="single" w:sz="6" w:space="0" w:color="auto"/>
              <w:right w:val="nil"/>
            </w:tcBorders>
          </w:tcPr>
          <w:p w14:paraId="1FF36422" w14:textId="77777777" w:rsidR="0007756B" w:rsidRPr="00F67E4F" w:rsidRDefault="0007756B" w:rsidP="00EF5B02">
            <w:pPr>
              <w:pStyle w:val="Pu4d2"/>
              <w:jc w:val="center"/>
              <w:rPr>
                <w:b/>
                <w:bCs/>
              </w:rPr>
            </w:pPr>
            <w:r w:rsidRPr="00F67E4F">
              <w:rPr>
                <w:b/>
                <w:bCs/>
              </w:rPr>
              <w:t>OP1</w:t>
            </w:r>
          </w:p>
        </w:tc>
        <w:tc>
          <w:tcPr>
            <w:tcW w:w="369" w:type="pct"/>
            <w:tcBorders>
              <w:top w:val="single" w:sz="6" w:space="0" w:color="auto"/>
              <w:left w:val="nil"/>
              <w:bottom w:val="single" w:sz="6" w:space="0" w:color="auto"/>
              <w:right w:val="nil"/>
            </w:tcBorders>
          </w:tcPr>
          <w:p w14:paraId="57552718" w14:textId="77777777" w:rsidR="0007756B" w:rsidRPr="00F67E4F" w:rsidRDefault="0007756B" w:rsidP="00EF5B02">
            <w:pPr>
              <w:pStyle w:val="Pu4d2"/>
              <w:jc w:val="center"/>
              <w:rPr>
                <w:b/>
                <w:bCs/>
              </w:rPr>
            </w:pPr>
            <w:r w:rsidRPr="00F67E4F">
              <w:rPr>
                <w:b/>
                <w:bCs/>
              </w:rPr>
              <w:t>OP2</w:t>
            </w:r>
            <w:r w:rsidRPr="00F67E4F">
              <w:rPr>
                <w:b/>
                <w:bCs/>
                <w:vertAlign w:val="superscript"/>
              </w:rPr>
              <w:t>a</w:t>
            </w:r>
          </w:p>
        </w:tc>
        <w:tc>
          <w:tcPr>
            <w:tcW w:w="368" w:type="pct"/>
            <w:tcBorders>
              <w:top w:val="single" w:sz="6" w:space="0" w:color="auto"/>
              <w:left w:val="nil"/>
              <w:bottom w:val="single" w:sz="6" w:space="0" w:color="auto"/>
              <w:right w:val="nil"/>
            </w:tcBorders>
          </w:tcPr>
          <w:p w14:paraId="78C9AD24" w14:textId="77777777" w:rsidR="0007756B" w:rsidRPr="00F67E4F" w:rsidRDefault="0007756B" w:rsidP="00EF5B02">
            <w:pPr>
              <w:pStyle w:val="Pu4d2"/>
              <w:jc w:val="center"/>
              <w:rPr>
                <w:b/>
                <w:bCs/>
              </w:rPr>
            </w:pPr>
            <w:r w:rsidRPr="00F67E4F">
              <w:rPr>
                <w:b/>
                <w:bCs/>
              </w:rPr>
              <w:t>OP3</w:t>
            </w:r>
          </w:p>
        </w:tc>
        <w:tc>
          <w:tcPr>
            <w:tcW w:w="368" w:type="pct"/>
            <w:tcBorders>
              <w:top w:val="single" w:sz="6" w:space="0" w:color="auto"/>
              <w:left w:val="nil"/>
              <w:bottom w:val="single" w:sz="6" w:space="0" w:color="auto"/>
              <w:right w:val="nil"/>
            </w:tcBorders>
          </w:tcPr>
          <w:p w14:paraId="6C042DB8" w14:textId="77777777" w:rsidR="0007756B" w:rsidRPr="00F67E4F" w:rsidRDefault="0007756B" w:rsidP="00EF5B02">
            <w:pPr>
              <w:pStyle w:val="Pu4d2"/>
              <w:jc w:val="center"/>
              <w:rPr>
                <w:b/>
                <w:bCs/>
              </w:rPr>
            </w:pPr>
            <w:r w:rsidRPr="00F67E4F">
              <w:rPr>
                <w:b/>
                <w:bCs/>
              </w:rPr>
              <w:t>OP4</w:t>
            </w:r>
            <w:r w:rsidRPr="00F67E4F">
              <w:rPr>
                <w:b/>
                <w:bCs/>
                <w:vertAlign w:val="superscript"/>
              </w:rPr>
              <w:t>a</w:t>
            </w:r>
          </w:p>
        </w:tc>
        <w:tc>
          <w:tcPr>
            <w:tcW w:w="369" w:type="pct"/>
            <w:tcBorders>
              <w:top w:val="single" w:sz="6" w:space="0" w:color="auto"/>
              <w:left w:val="nil"/>
              <w:bottom w:val="single" w:sz="6" w:space="0" w:color="auto"/>
              <w:right w:val="nil"/>
            </w:tcBorders>
          </w:tcPr>
          <w:p w14:paraId="775ADE8E" w14:textId="77777777" w:rsidR="0007756B" w:rsidRPr="00F67E4F" w:rsidRDefault="0007756B" w:rsidP="00EF5B02">
            <w:pPr>
              <w:pStyle w:val="Pu4d2"/>
              <w:jc w:val="center"/>
              <w:rPr>
                <w:b/>
                <w:bCs/>
              </w:rPr>
            </w:pPr>
            <w:r w:rsidRPr="00F67E4F">
              <w:rPr>
                <w:b/>
                <w:bCs/>
              </w:rPr>
              <w:t>OP5</w:t>
            </w:r>
          </w:p>
        </w:tc>
        <w:tc>
          <w:tcPr>
            <w:tcW w:w="368" w:type="pct"/>
            <w:tcBorders>
              <w:top w:val="single" w:sz="6" w:space="0" w:color="auto"/>
              <w:left w:val="nil"/>
              <w:bottom w:val="single" w:sz="6" w:space="0" w:color="auto"/>
              <w:right w:val="nil"/>
            </w:tcBorders>
          </w:tcPr>
          <w:p w14:paraId="7418F162" w14:textId="77777777" w:rsidR="0007756B" w:rsidRPr="00F67E4F" w:rsidRDefault="0007756B" w:rsidP="00EF5B02">
            <w:pPr>
              <w:pStyle w:val="Pu4d2"/>
              <w:jc w:val="center"/>
              <w:rPr>
                <w:b/>
                <w:bCs/>
              </w:rPr>
            </w:pPr>
            <w:r w:rsidRPr="00F67E4F">
              <w:rPr>
                <w:b/>
                <w:bCs/>
              </w:rPr>
              <w:t>OP6</w:t>
            </w:r>
          </w:p>
        </w:tc>
        <w:tc>
          <w:tcPr>
            <w:tcW w:w="368" w:type="pct"/>
            <w:tcBorders>
              <w:top w:val="single" w:sz="6" w:space="0" w:color="auto"/>
              <w:left w:val="nil"/>
              <w:bottom w:val="single" w:sz="6" w:space="0" w:color="auto"/>
              <w:right w:val="nil"/>
            </w:tcBorders>
          </w:tcPr>
          <w:p w14:paraId="7BF129EB" w14:textId="77777777" w:rsidR="0007756B" w:rsidRPr="00F67E4F" w:rsidRDefault="0007756B" w:rsidP="00EF5B02">
            <w:pPr>
              <w:pStyle w:val="Pu4d2"/>
              <w:jc w:val="center"/>
              <w:rPr>
                <w:b/>
                <w:bCs/>
              </w:rPr>
            </w:pPr>
            <w:r w:rsidRPr="00F67E4F">
              <w:rPr>
                <w:b/>
                <w:bCs/>
              </w:rPr>
              <w:t>OP7</w:t>
            </w:r>
          </w:p>
        </w:tc>
        <w:tc>
          <w:tcPr>
            <w:tcW w:w="364" w:type="pct"/>
            <w:tcBorders>
              <w:top w:val="single" w:sz="6" w:space="0" w:color="auto"/>
              <w:left w:val="nil"/>
              <w:bottom w:val="single" w:sz="6" w:space="0" w:color="auto"/>
              <w:right w:val="single" w:sz="6" w:space="0" w:color="auto"/>
            </w:tcBorders>
          </w:tcPr>
          <w:p w14:paraId="6DE21D2C" w14:textId="77777777" w:rsidR="0007756B" w:rsidRPr="00F67E4F" w:rsidRDefault="0007756B" w:rsidP="00EF5B02">
            <w:pPr>
              <w:pStyle w:val="Pu4d2"/>
              <w:jc w:val="center"/>
              <w:rPr>
                <w:b/>
                <w:bCs/>
              </w:rPr>
            </w:pPr>
            <w:r w:rsidRPr="00F67E4F">
              <w:rPr>
                <w:b/>
                <w:bCs/>
              </w:rPr>
              <w:t>OP8</w:t>
            </w:r>
          </w:p>
        </w:tc>
      </w:tr>
      <w:tr w:rsidR="0007756B" w:rsidRPr="003461F4" w14:paraId="29B05DB1" w14:textId="77777777" w:rsidTr="00EF5B02">
        <w:trPr>
          <w:trHeight w:val="346"/>
        </w:trPr>
        <w:tc>
          <w:tcPr>
            <w:tcW w:w="2058" w:type="pct"/>
            <w:tcBorders>
              <w:top w:val="nil"/>
              <w:left w:val="single" w:sz="6" w:space="0" w:color="auto"/>
              <w:bottom w:val="nil"/>
              <w:right w:val="nil"/>
            </w:tcBorders>
          </w:tcPr>
          <w:p w14:paraId="2E58B25D" w14:textId="56F00B43" w:rsidR="0007756B" w:rsidRDefault="0007756B" w:rsidP="00EF5B02">
            <w:pPr>
              <w:pStyle w:val="Pud2"/>
              <w:jc w:val="right"/>
            </w:pPr>
            <w:r w:rsidRPr="003E5629">
              <w:t xml:space="preserve">Maximum </w:t>
            </w:r>
            <w:r w:rsidR="00CC500C">
              <w:t>[</w:t>
            </w:r>
            <w:r>
              <w:t>net</w:t>
            </w:r>
            <w:r w:rsidR="00CC500C">
              <w:t>/gross]</w:t>
            </w:r>
            <w:r>
              <w:t xml:space="preserve"> </w:t>
            </w:r>
            <w:r w:rsidRPr="003E5629">
              <w:t>mass (kg) for solids and for combination packagings (liquid and solid)</w:t>
            </w:r>
          </w:p>
        </w:tc>
        <w:tc>
          <w:tcPr>
            <w:tcW w:w="368" w:type="pct"/>
            <w:tcBorders>
              <w:top w:val="nil"/>
              <w:left w:val="nil"/>
              <w:bottom w:val="nil"/>
              <w:right w:val="nil"/>
            </w:tcBorders>
            <w:vAlign w:val="center"/>
          </w:tcPr>
          <w:p w14:paraId="1BBF6DDB" w14:textId="77777777" w:rsidR="0007756B" w:rsidRDefault="0007756B" w:rsidP="00EF5B02">
            <w:pPr>
              <w:pStyle w:val="Pud2"/>
              <w:jc w:val="center"/>
            </w:pPr>
            <w:r>
              <w:t>0.5</w:t>
            </w:r>
          </w:p>
        </w:tc>
        <w:tc>
          <w:tcPr>
            <w:tcW w:w="369" w:type="pct"/>
            <w:tcBorders>
              <w:top w:val="nil"/>
              <w:left w:val="nil"/>
              <w:bottom w:val="nil"/>
              <w:right w:val="nil"/>
            </w:tcBorders>
            <w:vAlign w:val="center"/>
          </w:tcPr>
          <w:p w14:paraId="19E63CC2" w14:textId="77777777" w:rsidR="0007756B" w:rsidRDefault="0007756B" w:rsidP="00EF5B02">
            <w:pPr>
              <w:pStyle w:val="Pud2"/>
              <w:jc w:val="center"/>
            </w:pPr>
            <w:r>
              <w:t>0.5/10</w:t>
            </w:r>
          </w:p>
        </w:tc>
        <w:tc>
          <w:tcPr>
            <w:tcW w:w="368" w:type="pct"/>
            <w:tcBorders>
              <w:top w:val="nil"/>
              <w:left w:val="nil"/>
              <w:bottom w:val="nil"/>
              <w:right w:val="nil"/>
            </w:tcBorders>
            <w:vAlign w:val="center"/>
          </w:tcPr>
          <w:p w14:paraId="30B59BEB" w14:textId="77777777" w:rsidR="0007756B" w:rsidRDefault="0007756B" w:rsidP="00EF5B02">
            <w:pPr>
              <w:pStyle w:val="Pud2"/>
              <w:jc w:val="center"/>
            </w:pPr>
            <w:r>
              <w:t>5</w:t>
            </w:r>
          </w:p>
        </w:tc>
        <w:tc>
          <w:tcPr>
            <w:tcW w:w="368" w:type="pct"/>
            <w:tcBorders>
              <w:top w:val="nil"/>
              <w:left w:val="nil"/>
              <w:bottom w:val="nil"/>
              <w:right w:val="nil"/>
            </w:tcBorders>
            <w:vAlign w:val="center"/>
          </w:tcPr>
          <w:p w14:paraId="422B5E1D" w14:textId="77777777" w:rsidR="0007756B" w:rsidRDefault="0007756B" w:rsidP="00EF5B02">
            <w:pPr>
              <w:pStyle w:val="Pud2"/>
              <w:jc w:val="center"/>
            </w:pPr>
            <w:r>
              <w:t>5/25</w:t>
            </w:r>
          </w:p>
        </w:tc>
        <w:tc>
          <w:tcPr>
            <w:tcW w:w="369" w:type="pct"/>
            <w:tcBorders>
              <w:top w:val="nil"/>
              <w:left w:val="nil"/>
              <w:bottom w:val="nil"/>
              <w:right w:val="nil"/>
            </w:tcBorders>
            <w:vAlign w:val="center"/>
          </w:tcPr>
          <w:p w14:paraId="14C64CEA" w14:textId="77777777" w:rsidR="0007756B" w:rsidRDefault="0007756B" w:rsidP="00EF5B02">
            <w:pPr>
              <w:pStyle w:val="Pud2"/>
              <w:jc w:val="center"/>
            </w:pPr>
            <w:r>
              <w:t>25</w:t>
            </w:r>
          </w:p>
        </w:tc>
        <w:tc>
          <w:tcPr>
            <w:tcW w:w="368" w:type="pct"/>
            <w:tcBorders>
              <w:top w:val="nil"/>
              <w:left w:val="nil"/>
              <w:bottom w:val="nil"/>
              <w:right w:val="nil"/>
            </w:tcBorders>
            <w:vAlign w:val="center"/>
          </w:tcPr>
          <w:p w14:paraId="16816056" w14:textId="77777777" w:rsidR="0007756B" w:rsidRDefault="0007756B" w:rsidP="00EF5B02">
            <w:pPr>
              <w:pStyle w:val="Pud2"/>
              <w:jc w:val="center"/>
            </w:pPr>
            <w:r>
              <w:t>50</w:t>
            </w:r>
          </w:p>
        </w:tc>
        <w:tc>
          <w:tcPr>
            <w:tcW w:w="368" w:type="pct"/>
            <w:tcBorders>
              <w:top w:val="nil"/>
              <w:left w:val="nil"/>
              <w:bottom w:val="nil"/>
              <w:right w:val="nil"/>
            </w:tcBorders>
            <w:vAlign w:val="center"/>
          </w:tcPr>
          <w:p w14:paraId="7C5986F9" w14:textId="77777777" w:rsidR="0007756B" w:rsidRDefault="0007756B" w:rsidP="00EF5B02">
            <w:pPr>
              <w:pStyle w:val="Pud2"/>
              <w:jc w:val="center"/>
            </w:pPr>
            <w:r>
              <w:t>50</w:t>
            </w:r>
          </w:p>
        </w:tc>
        <w:tc>
          <w:tcPr>
            <w:tcW w:w="364" w:type="pct"/>
            <w:tcBorders>
              <w:top w:val="nil"/>
              <w:left w:val="nil"/>
              <w:bottom w:val="nil"/>
              <w:right w:val="single" w:sz="6" w:space="0" w:color="auto"/>
            </w:tcBorders>
            <w:vAlign w:val="center"/>
          </w:tcPr>
          <w:p w14:paraId="119C0674" w14:textId="77777777" w:rsidR="0007756B" w:rsidRDefault="0007756B" w:rsidP="00EF5B02">
            <w:pPr>
              <w:pStyle w:val="Pud2"/>
              <w:jc w:val="center"/>
            </w:pPr>
            <w:r>
              <w:t>400</w:t>
            </w:r>
            <w:r w:rsidRPr="00CA1D32">
              <w:rPr>
                <w:b/>
                <w:bCs/>
                <w:vertAlign w:val="superscript"/>
              </w:rPr>
              <w:t>b</w:t>
            </w:r>
          </w:p>
        </w:tc>
      </w:tr>
      <w:tr w:rsidR="0007756B" w:rsidRPr="003461F4" w14:paraId="72CAABB3" w14:textId="77777777" w:rsidTr="00EF5B02">
        <w:trPr>
          <w:trHeight w:val="346"/>
        </w:trPr>
        <w:tc>
          <w:tcPr>
            <w:tcW w:w="2058" w:type="pct"/>
            <w:tcBorders>
              <w:top w:val="nil"/>
              <w:left w:val="single" w:sz="6" w:space="0" w:color="auto"/>
              <w:bottom w:val="single" w:sz="6" w:space="0" w:color="auto"/>
              <w:right w:val="nil"/>
            </w:tcBorders>
          </w:tcPr>
          <w:p w14:paraId="6E072910" w14:textId="4EE1DB74" w:rsidR="0007756B" w:rsidRDefault="0007756B" w:rsidP="00EF5B02">
            <w:pPr>
              <w:pStyle w:val="Pud2"/>
              <w:spacing w:after="80"/>
              <w:jc w:val="right"/>
            </w:pPr>
            <w:r w:rsidRPr="0028164B">
              <w:t>Maximum contents in litres for liquids</w:t>
            </w:r>
          </w:p>
        </w:tc>
        <w:tc>
          <w:tcPr>
            <w:tcW w:w="368" w:type="pct"/>
            <w:tcBorders>
              <w:top w:val="nil"/>
              <w:left w:val="nil"/>
              <w:bottom w:val="single" w:sz="6" w:space="0" w:color="auto"/>
              <w:right w:val="nil"/>
            </w:tcBorders>
            <w:vAlign w:val="center"/>
          </w:tcPr>
          <w:p w14:paraId="23BF3BE2" w14:textId="77777777" w:rsidR="0007756B" w:rsidRDefault="0007756B" w:rsidP="00EF5B02">
            <w:pPr>
              <w:pStyle w:val="Pud2"/>
              <w:spacing w:after="80"/>
              <w:jc w:val="center"/>
            </w:pPr>
            <w:r>
              <w:t>0.5</w:t>
            </w:r>
          </w:p>
        </w:tc>
        <w:tc>
          <w:tcPr>
            <w:tcW w:w="369" w:type="pct"/>
            <w:tcBorders>
              <w:top w:val="nil"/>
              <w:left w:val="nil"/>
              <w:bottom w:val="single" w:sz="6" w:space="0" w:color="auto"/>
              <w:right w:val="nil"/>
            </w:tcBorders>
            <w:vAlign w:val="center"/>
          </w:tcPr>
          <w:p w14:paraId="7A690452" w14:textId="77777777" w:rsidR="0007756B" w:rsidRDefault="0007756B" w:rsidP="00EF5B02">
            <w:pPr>
              <w:pStyle w:val="Pud2"/>
              <w:spacing w:after="80"/>
              <w:jc w:val="center"/>
            </w:pPr>
            <w:r>
              <w:t>-</w:t>
            </w:r>
          </w:p>
        </w:tc>
        <w:tc>
          <w:tcPr>
            <w:tcW w:w="368" w:type="pct"/>
            <w:tcBorders>
              <w:top w:val="nil"/>
              <w:left w:val="nil"/>
              <w:bottom w:val="single" w:sz="6" w:space="0" w:color="auto"/>
              <w:right w:val="nil"/>
            </w:tcBorders>
            <w:vAlign w:val="center"/>
          </w:tcPr>
          <w:p w14:paraId="29D7B8F9" w14:textId="77777777" w:rsidR="0007756B" w:rsidRDefault="0007756B" w:rsidP="00EF5B02">
            <w:pPr>
              <w:pStyle w:val="Pud2"/>
              <w:spacing w:after="80"/>
              <w:jc w:val="center"/>
            </w:pPr>
            <w:r>
              <w:t>5</w:t>
            </w:r>
          </w:p>
        </w:tc>
        <w:tc>
          <w:tcPr>
            <w:tcW w:w="368" w:type="pct"/>
            <w:tcBorders>
              <w:top w:val="nil"/>
              <w:left w:val="nil"/>
              <w:bottom w:val="single" w:sz="6" w:space="0" w:color="auto"/>
              <w:right w:val="nil"/>
            </w:tcBorders>
            <w:vAlign w:val="center"/>
          </w:tcPr>
          <w:p w14:paraId="53DFF39C" w14:textId="77777777" w:rsidR="0007756B" w:rsidRDefault="0007756B" w:rsidP="00EF5B02">
            <w:pPr>
              <w:pStyle w:val="Pud2"/>
              <w:spacing w:after="80"/>
              <w:jc w:val="center"/>
            </w:pPr>
            <w:r>
              <w:t>-</w:t>
            </w:r>
          </w:p>
        </w:tc>
        <w:tc>
          <w:tcPr>
            <w:tcW w:w="369" w:type="pct"/>
            <w:tcBorders>
              <w:top w:val="nil"/>
              <w:left w:val="nil"/>
              <w:bottom w:val="single" w:sz="6" w:space="0" w:color="auto"/>
              <w:right w:val="nil"/>
            </w:tcBorders>
            <w:vAlign w:val="center"/>
          </w:tcPr>
          <w:p w14:paraId="519188A1" w14:textId="77777777" w:rsidR="0007756B" w:rsidRDefault="0007756B" w:rsidP="00EF5B02">
            <w:pPr>
              <w:pStyle w:val="Pud2"/>
              <w:spacing w:after="80"/>
              <w:jc w:val="center"/>
            </w:pPr>
            <w:r>
              <w:t>30</w:t>
            </w:r>
          </w:p>
        </w:tc>
        <w:tc>
          <w:tcPr>
            <w:tcW w:w="368" w:type="pct"/>
            <w:tcBorders>
              <w:top w:val="nil"/>
              <w:left w:val="nil"/>
              <w:bottom w:val="single" w:sz="6" w:space="0" w:color="auto"/>
              <w:right w:val="nil"/>
            </w:tcBorders>
            <w:vAlign w:val="center"/>
          </w:tcPr>
          <w:p w14:paraId="573363FA" w14:textId="77777777" w:rsidR="0007756B" w:rsidRDefault="0007756B" w:rsidP="00EF5B02">
            <w:pPr>
              <w:pStyle w:val="Pud2"/>
              <w:spacing w:after="80"/>
              <w:jc w:val="center"/>
            </w:pPr>
            <w:r>
              <w:t>60</w:t>
            </w:r>
          </w:p>
        </w:tc>
        <w:tc>
          <w:tcPr>
            <w:tcW w:w="368" w:type="pct"/>
            <w:tcBorders>
              <w:top w:val="nil"/>
              <w:left w:val="nil"/>
              <w:bottom w:val="single" w:sz="6" w:space="0" w:color="auto"/>
              <w:right w:val="nil"/>
            </w:tcBorders>
            <w:vAlign w:val="center"/>
          </w:tcPr>
          <w:p w14:paraId="698F3F57" w14:textId="77777777" w:rsidR="0007756B" w:rsidRDefault="0007756B" w:rsidP="00EF5B02">
            <w:pPr>
              <w:pStyle w:val="Pud2"/>
              <w:spacing w:after="80"/>
              <w:jc w:val="center"/>
            </w:pPr>
            <w:r>
              <w:t>60</w:t>
            </w:r>
          </w:p>
        </w:tc>
        <w:tc>
          <w:tcPr>
            <w:tcW w:w="364" w:type="pct"/>
            <w:tcBorders>
              <w:top w:val="nil"/>
              <w:left w:val="nil"/>
              <w:bottom w:val="single" w:sz="6" w:space="0" w:color="auto"/>
              <w:right w:val="single" w:sz="6" w:space="0" w:color="auto"/>
            </w:tcBorders>
            <w:vAlign w:val="center"/>
          </w:tcPr>
          <w:p w14:paraId="377DDE6C" w14:textId="77777777" w:rsidR="0007756B" w:rsidRDefault="0007756B" w:rsidP="00EF5B02">
            <w:pPr>
              <w:pStyle w:val="Pud2"/>
              <w:spacing w:after="80"/>
              <w:jc w:val="center"/>
            </w:pPr>
            <w:r>
              <w:t>225</w:t>
            </w:r>
            <w:r w:rsidRPr="00CA1D32">
              <w:rPr>
                <w:b/>
                <w:bCs/>
                <w:vertAlign w:val="superscript"/>
              </w:rPr>
              <w:t>d</w:t>
            </w:r>
          </w:p>
        </w:tc>
      </w:tr>
    </w:tbl>
    <w:p w14:paraId="64F363ED" w14:textId="4175A883" w:rsidR="00F748FF" w:rsidRDefault="00F748FF" w:rsidP="00F748FF">
      <w:pPr>
        <w:pStyle w:val="H1G"/>
      </w:pPr>
      <w:r>
        <w:tab/>
      </w:r>
      <w:r w:rsidR="00B07D46">
        <w:t>5</w:t>
      </w:r>
      <w:r>
        <w:t>.</w:t>
      </w:r>
      <w:r>
        <w:tab/>
      </w:r>
      <w:r w:rsidR="00274581">
        <w:t>Numbered and lettered lists</w:t>
      </w:r>
    </w:p>
    <w:p w14:paraId="684D6F76" w14:textId="31D0C8C5" w:rsidR="00F748FF" w:rsidRPr="0000364F" w:rsidRDefault="005E56C6" w:rsidP="00F748FF">
      <w:pPr>
        <w:pStyle w:val="SingleTxtG"/>
        <w:rPr>
          <w:lang w:val="en-US"/>
        </w:rPr>
      </w:pPr>
      <w:r>
        <w:t>1</w:t>
      </w:r>
      <w:r w:rsidR="00C22F0D">
        <w:t>2</w:t>
      </w:r>
      <w:r w:rsidR="00F748FF">
        <w:t>.</w:t>
      </w:r>
      <w:r w:rsidR="00F748FF">
        <w:tab/>
      </w:r>
      <w:r w:rsidR="009A55D6">
        <w:t xml:space="preserve">Packing instructions have been developed by a wide range of experts during a </w:t>
      </w:r>
      <w:r w:rsidR="008C2D9D">
        <w:t>long stretch of time</w:t>
      </w:r>
      <w:r w:rsidR="00F748FF">
        <w:t>.</w:t>
      </w:r>
      <w:r w:rsidR="008C2D9D">
        <w:t xml:space="preserve"> This has made adhering to consistent formatting conve</w:t>
      </w:r>
      <w:r w:rsidR="00770B33">
        <w:t xml:space="preserve">ntions difficult. </w:t>
      </w:r>
      <w:r w:rsidR="00040BEB">
        <w:t xml:space="preserve">In this proposal we attempt to bring the whole </w:t>
      </w:r>
      <w:r w:rsidR="009E532C">
        <w:t>series</w:t>
      </w:r>
      <w:r w:rsidR="00040BEB">
        <w:t xml:space="preserve"> of packing instructions</w:t>
      </w:r>
      <w:r w:rsidR="00CA331B">
        <w:t xml:space="preserve"> closer to a set of consistent conventions</w:t>
      </w:r>
      <w:r w:rsidR="00E71929">
        <w:t xml:space="preserve"> regarding the use of numbered and lettered lists</w:t>
      </w:r>
      <w:r w:rsidR="00CA331B">
        <w:t>, where doing this wouldn</w:t>
      </w:r>
      <w:r w:rsidR="0000364F">
        <w:t>’</w:t>
      </w:r>
      <w:r w:rsidR="00CA331B">
        <w:t>t result</w:t>
      </w:r>
      <w:r w:rsidR="00D63D37">
        <w:t xml:space="preserve"> in a loss of </w:t>
      </w:r>
      <w:r w:rsidR="00E71929">
        <w:t>clarity</w:t>
      </w:r>
      <w:r w:rsidR="00C51A7C">
        <w:t>. Broadly speaking the convention is that</w:t>
      </w:r>
      <w:r w:rsidR="00CA5930">
        <w:t xml:space="preserve"> numbers with parenthes</w:t>
      </w:r>
      <w:r w:rsidR="00F12DB1">
        <w:t>e</w:t>
      </w:r>
      <w:r w:rsidR="00CA5930">
        <w:t xml:space="preserve">s are used to structure different sections </w:t>
      </w:r>
      <w:r w:rsidR="00663F8D">
        <w:t>or requirements in the main body of packing instructions, letters with parentheses a</w:t>
      </w:r>
      <w:r w:rsidR="00F12DB1">
        <w:t>re used for enumerations and numbers with a dot are used to number additional requirements.</w:t>
      </w:r>
    </w:p>
    <w:p w14:paraId="7DB9DF13" w14:textId="78141331" w:rsidR="00F748FF" w:rsidRDefault="00F748FF" w:rsidP="00F748FF">
      <w:pPr>
        <w:pStyle w:val="H23G"/>
      </w:pPr>
      <w:r>
        <w:lastRenderedPageBreak/>
        <w:tab/>
      </w:r>
      <w:r>
        <w:tab/>
        <w:t xml:space="preserve">Proposal </w:t>
      </w:r>
      <w:r w:rsidR="00B07D46">
        <w:t>5</w:t>
      </w:r>
    </w:p>
    <w:p w14:paraId="6D3CBA23" w14:textId="77777777" w:rsidR="00C937AF" w:rsidRDefault="00C937AF" w:rsidP="00C937AF">
      <w:pPr>
        <w:pStyle w:val="SingleTxtG"/>
        <w:ind w:left="2268" w:hanging="1134"/>
        <w:rPr>
          <w:lang w:val="en-US"/>
        </w:rPr>
      </w:pPr>
      <w:r>
        <w:t>4.1.4.1, P200</w:t>
      </w:r>
      <w:r>
        <w:tab/>
        <w:t xml:space="preserve">In </w:t>
      </w:r>
      <w:r>
        <w:rPr>
          <w:lang w:val="en-US"/>
        </w:rPr>
        <w:t>(4), renumber the first list with bullets as (a) to (e) and delete the bullets from the second one.</w:t>
      </w:r>
    </w:p>
    <w:p w14:paraId="4DBDC9E0" w14:textId="77777777" w:rsidR="00C937AF" w:rsidRDefault="00C937AF" w:rsidP="00C937AF">
      <w:pPr>
        <w:pStyle w:val="SingleTxtG"/>
        <w:ind w:left="2268" w:hanging="1134"/>
        <w:rPr>
          <w:lang w:val="en-US"/>
        </w:rPr>
      </w:pPr>
      <w:r>
        <w:rPr>
          <w:lang w:val="en-US"/>
        </w:rPr>
        <w:tab/>
        <w:t>In (5) s, renumber the list with bullets as (a) to (b).</w:t>
      </w:r>
    </w:p>
    <w:p w14:paraId="04F66547" w14:textId="77777777" w:rsidR="00C937AF" w:rsidRPr="005A25B6" w:rsidRDefault="00C937AF" w:rsidP="00C937AF">
      <w:pPr>
        <w:pStyle w:val="SingleTxtG"/>
        <w:ind w:left="2268" w:hanging="1134"/>
        <w:rPr>
          <w:lang w:val="en-US"/>
        </w:rPr>
      </w:pPr>
      <w:r>
        <w:rPr>
          <w:lang w:val="en-US"/>
        </w:rPr>
        <w:tab/>
        <w:t>In (5) t, renumber (</w:t>
      </w:r>
      <w:proofErr w:type="spellStart"/>
      <w:r>
        <w:rPr>
          <w:lang w:val="en-US"/>
        </w:rPr>
        <w:t>i</w:t>
      </w:r>
      <w:proofErr w:type="spellEnd"/>
      <w:r>
        <w:rPr>
          <w:lang w:val="en-US"/>
        </w:rPr>
        <w:t>), (ii) as (a), (b).</w:t>
      </w:r>
    </w:p>
    <w:p w14:paraId="3C131A15" w14:textId="77777777" w:rsidR="00A53164" w:rsidRPr="005A25B6" w:rsidRDefault="00A53164" w:rsidP="00A53164">
      <w:pPr>
        <w:pStyle w:val="SingleTxtG"/>
        <w:ind w:left="2268" w:hanging="1134"/>
        <w:rPr>
          <w:lang w:val="en-US"/>
        </w:rPr>
      </w:pPr>
      <w:r>
        <w:t>4.1.4.1, P203</w:t>
      </w:r>
      <w:r>
        <w:tab/>
        <w:t xml:space="preserve">In </w:t>
      </w:r>
      <w:r>
        <w:rPr>
          <w:lang w:val="en-US"/>
        </w:rPr>
        <w:t>(9), renumber the list with bullets as (a) to (e).</w:t>
      </w:r>
    </w:p>
    <w:p w14:paraId="27658BE5" w14:textId="77777777" w:rsidR="00E279B0" w:rsidRPr="005A25B6" w:rsidRDefault="00E279B0" w:rsidP="00E279B0">
      <w:pPr>
        <w:pStyle w:val="SingleTxtG"/>
        <w:ind w:left="2268" w:hanging="1134"/>
        <w:rPr>
          <w:lang w:val="en-US"/>
        </w:rPr>
      </w:pPr>
      <w:r>
        <w:t>4.1.4.1, P501</w:t>
      </w:r>
      <w:r>
        <w:tab/>
        <w:t>Under "Combination packagings”, before “Boxes”, delete “(1)” and before “Fibreboard”, delete (2).</w:t>
      </w:r>
    </w:p>
    <w:p w14:paraId="0E5B1AE9" w14:textId="5EFDBB2B" w:rsidR="00E279B0" w:rsidRPr="005A25B6" w:rsidRDefault="00E279B0" w:rsidP="00E279B0">
      <w:pPr>
        <w:pStyle w:val="SingleTxtG"/>
        <w:ind w:left="2268" w:hanging="1134"/>
        <w:rPr>
          <w:lang w:val="en-US"/>
        </w:rPr>
      </w:pPr>
      <w:r>
        <w:t>4.1.4.1, P520</w:t>
      </w:r>
      <w:r>
        <w:tab/>
      </w:r>
      <w:r w:rsidR="00240236">
        <w:t>In PP94, renumber 1. to 5. as (a) to (e). In PP95, renumber 1. to 6. as (a) to (f).</w:t>
      </w:r>
    </w:p>
    <w:p w14:paraId="70B5B433" w14:textId="77777777" w:rsidR="003E2854" w:rsidRPr="005A25B6" w:rsidRDefault="003E2854" w:rsidP="003E2854">
      <w:pPr>
        <w:pStyle w:val="SingleTxtG"/>
        <w:ind w:left="2268" w:hanging="1134"/>
        <w:rPr>
          <w:lang w:val="en-US"/>
        </w:rPr>
      </w:pPr>
      <w:r>
        <w:t>4.1.4.1, P601</w:t>
      </w:r>
      <w:r>
        <w:tab/>
        <w:t xml:space="preserve">In </w:t>
      </w:r>
      <w:r>
        <w:rPr>
          <w:lang w:val="en-US"/>
        </w:rPr>
        <w:t>(1), renumber the list with bullets as (a) to (c).</w:t>
      </w:r>
    </w:p>
    <w:p w14:paraId="3F85A600" w14:textId="77777777" w:rsidR="002221C6" w:rsidRPr="005A25B6" w:rsidRDefault="002221C6" w:rsidP="002221C6">
      <w:pPr>
        <w:pStyle w:val="SingleTxtG"/>
        <w:ind w:left="2268" w:hanging="1134"/>
        <w:rPr>
          <w:lang w:val="en-US"/>
        </w:rPr>
      </w:pPr>
      <w:r>
        <w:t>4.1.4.1, P602</w:t>
      </w:r>
      <w:r>
        <w:tab/>
        <w:t xml:space="preserve">In </w:t>
      </w:r>
      <w:r>
        <w:rPr>
          <w:lang w:val="en-US"/>
        </w:rPr>
        <w:t>(1), renumber the list with bullets as (a) to (c).</w:t>
      </w:r>
    </w:p>
    <w:p w14:paraId="76AD4005" w14:textId="77777777" w:rsidR="00A66665" w:rsidRPr="005A25B6" w:rsidRDefault="00A66665" w:rsidP="00A66665">
      <w:pPr>
        <w:pStyle w:val="SingleTxtG"/>
        <w:ind w:left="2268" w:hanging="1134"/>
        <w:rPr>
          <w:lang w:val="en-US"/>
        </w:rPr>
      </w:pPr>
      <w:r>
        <w:t>4.1.4.1, P804</w:t>
      </w:r>
      <w:r>
        <w:tab/>
        <w:t xml:space="preserve">In </w:t>
      </w:r>
      <w:r>
        <w:rPr>
          <w:lang w:val="en-US"/>
        </w:rPr>
        <w:t>(1), renumber the list with bullets as (a) to (c).</w:t>
      </w:r>
    </w:p>
    <w:p w14:paraId="62698A28" w14:textId="116A7DBE" w:rsidR="002C650F" w:rsidRPr="00084005" w:rsidRDefault="002C650F" w:rsidP="002C650F">
      <w:pPr>
        <w:pStyle w:val="SingleTxtG"/>
        <w:ind w:left="2268" w:hanging="1134"/>
        <w:rPr>
          <w:lang w:val="en-US"/>
        </w:rPr>
      </w:pPr>
      <w:r>
        <w:t>4.1.4.1, P902</w:t>
      </w:r>
      <w:r>
        <w:tab/>
        <w:t xml:space="preserve">In </w:t>
      </w:r>
      <w:r>
        <w:rPr>
          <w:lang w:val="en-US"/>
        </w:rPr>
        <w:t>the second row under the heading, insert “(1)” before “</w:t>
      </w:r>
      <w:r w:rsidRPr="00084005">
        <w:rPr>
          <w:b/>
          <w:bCs/>
          <w:lang w:val="en-US"/>
        </w:rPr>
        <w:t>Packaged articles</w:t>
      </w:r>
      <w:r w:rsidR="00B67DFA">
        <w:rPr>
          <w:b/>
          <w:bCs/>
          <w:lang w:val="en-US"/>
        </w:rPr>
        <w:t>:</w:t>
      </w:r>
      <w:r>
        <w:rPr>
          <w:lang w:val="en-US"/>
        </w:rPr>
        <w:t>” and remove the boldface, and insert “(2)” before “</w:t>
      </w:r>
      <w:r>
        <w:rPr>
          <w:b/>
          <w:bCs/>
          <w:lang w:val="en-US"/>
        </w:rPr>
        <w:t>Unp</w:t>
      </w:r>
      <w:r w:rsidRPr="00084005">
        <w:rPr>
          <w:b/>
          <w:bCs/>
          <w:lang w:val="en-US"/>
        </w:rPr>
        <w:t>ackaged articles</w:t>
      </w:r>
      <w:r w:rsidR="00B67DFA">
        <w:rPr>
          <w:b/>
          <w:bCs/>
          <w:lang w:val="en-US"/>
        </w:rPr>
        <w:t>:</w:t>
      </w:r>
      <w:r>
        <w:rPr>
          <w:lang w:val="en-US"/>
        </w:rPr>
        <w:t>” and remove the boldface.</w:t>
      </w:r>
    </w:p>
    <w:p w14:paraId="03F32069" w14:textId="343FEABD" w:rsidR="002C650F" w:rsidRPr="00084005" w:rsidRDefault="002C650F" w:rsidP="002C650F">
      <w:pPr>
        <w:pStyle w:val="SingleTxtG"/>
        <w:ind w:left="2268" w:hanging="1134"/>
        <w:rPr>
          <w:lang w:val="en-US"/>
        </w:rPr>
      </w:pPr>
      <w:r>
        <w:t>4.1.4.1, P908</w:t>
      </w:r>
      <w:r>
        <w:tab/>
        <w:t xml:space="preserve">In </w:t>
      </w:r>
      <w:r>
        <w:rPr>
          <w:lang w:val="en-US"/>
        </w:rPr>
        <w:t xml:space="preserve">the second row under the heading, </w:t>
      </w:r>
      <w:r w:rsidR="00205630">
        <w:rPr>
          <w:lang w:val="en-US"/>
        </w:rPr>
        <w:t xml:space="preserve">before the numbered list, insert a new </w:t>
      </w:r>
      <w:r w:rsidR="00D319AF">
        <w:rPr>
          <w:lang w:val="en-US"/>
        </w:rPr>
        <w:t>paragraph</w:t>
      </w:r>
      <w:r w:rsidR="00205630">
        <w:rPr>
          <w:lang w:val="en-US"/>
        </w:rPr>
        <w:t xml:space="preserve"> reading “</w:t>
      </w:r>
      <w:r w:rsidR="00D319AF">
        <w:rPr>
          <w:lang w:val="en-US"/>
        </w:rPr>
        <w:t xml:space="preserve">Packagings shall also meet the following requirements:”. In the list, </w:t>
      </w:r>
      <w:r w:rsidR="00D319AF">
        <w:t>renumber 1. to 5. as (a) to (e).</w:t>
      </w:r>
    </w:p>
    <w:p w14:paraId="58E10591" w14:textId="77777777" w:rsidR="000D0327" w:rsidRPr="005A25B6" w:rsidRDefault="000D0327" w:rsidP="000D0327">
      <w:pPr>
        <w:pStyle w:val="SingleTxtG"/>
        <w:ind w:left="2268" w:hanging="1134"/>
        <w:rPr>
          <w:lang w:val="en-US"/>
        </w:rPr>
      </w:pPr>
      <w:r>
        <w:t>4.1.4.1, P909</w:t>
      </w:r>
      <w:r>
        <w:tab/>
        <w:t>In additional requirement 2</w:t>
      </w:r>
      <w:r>
        <w:rPr>
          <w:lang w:val="en-US"/>
        </w:rPr>
        <w:t>, renumber the list with bullets as (a) to (d).</w:t>
      </w:r>
    </w:p>
    <w:p w14:paraId="3CB5CE3F" w14:textId="095945E8" w:rsidR="000D0327" w:rsidRDefault="000D0327" w:rsidP="000D0327">
      <w:pPr>
        <w:pStyle w:val="SingleTxtG"/>
        <w:ind w:left="2268" w:hanging="1134"/>
        <w:rPr>
          <w:lang w:val="en-US"/>
        </w:rPr>
      </w:pPr>
      <w:r>
        <w:t>4.1.4.1, P910</w:t>
      </w:r>
      <w:r>
        <w:tab/>
        <w:t>In the additional requirement</w:t>
      </w:r>
      <w:r>
        <w:rPr>
          <w:lang w:val="en-US"/>
        </w:rPr>
        <w:t>, renumber the list with bullets as (a) to (d).</w:t>
      </w:r>
    </w:p>
    <w:p w14:paraId="50432230" w14:textId="198049E8" w:rsidR="00E349B9" w:rsidRPr="005A25B6" w:rsidRDefault="00E349B9" w:rsidP="00AA0EB6">
      <w:pPr>
        <w:pStyle w:val="SingleTxtG"/>
        <w:tabs>
          <w:tab w:val="left" w:pos="6521"/>
        </w:tabs>
        <w:ind w:left="2268" w:hanging="1134"/>
        <w:rPr>
          <w:lang w:val="en-US"/>
        </w:rPr>
      </w:pPr>
      <w:r>
        <w:rPr>
          <w:lang w:val="en-US"/>
        </w:rPr>
        <w:t>4.1.4.2, IBC02</w:t>
      </w:r>
      <w:r w:rsidR="00C55481">
        <w:rPr>
          <w:lang w:val="en-US"/>
        </w:rPr>
        <w:t>, IBC03, IBC05, IBC06, IBC07, IBC08, IBC100</w:t>
      </w:r>
      <w:r>
        <w:rPr>
          <w:lang w:val="en-US"/>
        </w:rPr>
        <w:tab/>
      </w:r>
      <w:r w:rsidR="00A84DD8">
        <w:rPr>
          <w:lang w:val="en-US"/>
        </w:rPr>
        <w:t>Delete the numbers in front of the list in the row below the heading.</w:t>
      </w:r>
    </w:p>
    <w:p w14:paraId="2F8EB461" w14:textId="26F1B99A" w:rsidR="00242D5F" w:rsidRPr="00084005" w:rsidRDefault="00242D5F" w:rsidP="00242D5F">
      <w:pPr>
        <w:pStyle w:val="SingleTxtG"/>
        <w:ind w:left="2268" w:hanging="1134"/>
        <w:rPr>
          <w:lang w:val="en-US"/>
        </w:rPr>
      </w:pPr>
      <w:r>
        <w:t>4.1.4.</w:t>
      </w:r>
      <w:r w:rsidR="0011715D">
        <w:t>3</w:t>
      </w:r>
      <w:r>
        <w:t>, LP902</w:t>
      </w:r>
      <w:r>
        <w:tab/>
        <w:t xml:space="preserve">In </w:t>
      </w:r>
      <w:r>
        <w:rPr>
          <w:lang w:val="en-US"/>
        </w:rPr>
        <w:t>the second row under the heading, insert “(1)” before “</w:t>
      </w:r>
      <w:r w:rsidRPr="00084005">
        <w:rPr>
          <w:b/>
          <w:bCs/>
          <w:lang w:val="en-US"/>
        </w:rPr>
        <w:t>Packaged articles</w:t>
      </w:r>
      <w:r w:rsidR="00B67DFA">
        <w:rPr>
          <w:b/>
          <w:bCs/>
          <w:lang w:val="en-US"/>
        </w:rPr>
        <w:t>:</w:t>
      </w:r>
      <w:r>
        <w:rPr>
          <w:lang w:val="en-US"/>
        </w:rPr>
        <w:t>” and remove the boldface, and insert “(2)” before “</w:t>
      </w:r>
      <w:r>
        <w:rPr>
          <w:b/>
          <w:bCs/>
          <w:lang w:val="en-US"/>
        </w:rPr>
        <w:t>Unp</w:t>
      </w:r>
      <w:r w:rsidRPr="00084005">
        <w:rPr>
          <w:b/>
          <w:bCs/>
          <w:lang w:val="en-US"/>
        </w:rPr>
        <w:t>ackaged articles</w:t>
      </w:r>
      <w:r w:rsidR="00B67DFA">
        <w:rPr>
          <w:b/>
          <w:bCs/>
          <w:lang w:val="en-US"/>
        </w:rPr>
        <w:t>:</w:t>
      </w:r>
      <w:r>
        <w:rPr>
          <w:lang w:val="en-US"/>
        </w:rPr>
        <w:t>” and remove the boldface.</w:t>
      </w:r>
    </w:p>
    <w:p w14:paraId="5E59905A" w14:textId="7798725D" w:rsidR="00884955" w:rsidRPr="00084005" w:rsidRDefault="00884955" w:rsidP="00884955">
      <w:pPr>
        <w:pStyle w:val="SingleTxtG"/>
        <w:ind w:left="2268" w:hanging="1134"/>
        <w:rPr>
          <w:lang w:val="en-US"/>
        </w:rPr>
      </w:pPr>
      <w:r>
        <w:t>4.1.4.</w:t>
      </w:r>
      <w:r w:rsidR="0011715D">
        <w:t>3</w:t>
      </w:r>
      <w:r>
        <w:t>, LP904</w:t>
      </w:r>
      <w:r>
        <w:tab/>
        <w:t xml:space="preserve">In </w:t>
      </w:r>
      <w:r>
        <w:rPr>
          <w:lang w:val="en-US"/>
        </w:rPr>
        <w:t>the second row under the heading, before the numbered list, insert a new paragraph reading “</w:t>
      </w:r>
      <w:r w:rsidR="001216A1">
        <w:rPr>
          <w:lang w:val="en-US"/>
        </w:rPr>
        <w:t>Large p</w:t>
      </w:r>
      <w:r>
        <w:rPr>
          <w:lang w:val="en-US"/>
        </w:rPr>
        <w:t xml:space="preserve">ackagings shall also meet the following requirements:”. In the list, </w:t>
      </w:r>
      <w:r>
        <w:t>renumber 1. to 5. as (a) to (e).</w:t>
      </w:r>
    </w:p>
    <w:p w14:paraId="1B624C25" w14:textId="6089BC2B" w:rsidR="00F748FF" w:rsidRDefault="00F748FF" w:rsidP="00F748FF">
      <w:pPr>
        <w:pStyle w:val="H1G"/>
      </w:pPr>
      <w:r>
        <w:tab/>
      </w:r>
      <w:r w:rsidR="00B07D46">
        <w:t>6</w:t>
      </w:r>
      <w:r>
        <w:t>.</w:t>
      </w:r>
      <w:r>
        <w:tab/>
      </w:r>
      <w:r w:rsidR="001F0349">
        <w:t>R</w:t>
      </w:r>
      <w:r w:rsidR="001F0349" w:rsidRPr="001F0349">
        <w:t xml:space="preserve">edundant subtitle in </w:t>
      </w:r>
      <w:r w:rsidR="001F0349">
        <w:t xml:space="preserve">the </w:t>
      </w:r>
      <w:r w:rsidR="001F0349" w:rsidRPr="001F0349">
        <w:t>additional requirement of P904</w:t>
      </w:r>
    </w:p>
    <w:p w14:paraId="250FE722" w14:textId="267E611E" w:rsidR="00F748FF" w:rsidRDefault="003E4ECB" w:rsidP="00F748FF">
      <w:pPr>
        <w:pStyle w:val="SingleTxtG"/>
      </w:pPr>
      <w:r>
        <w:t>1</w:t>
      </w:r>
      <w:r w:rsidR="00C22F0D">
        <w:t>3</w:t>
      </w:r>
      <w:r w:rsidR="00F748FF">
        <w:t>.</w:t>
      </w:r>
      <w:r w:rsidR="00F748FF">
        <w:tab/>
      </w:r>
      <w:r w:rsidR="00242A5F">
        <w:t xml:space="preserve">The additional requirement in P904 contains </w:t>
      </w:r>
      <w:r w:rsidR="009E75B5">
        <w:t>a subtitle reading “</w:t>
      </w:r>
      <w:r w:rsidR="00D51A4E" w:rsidRPr="00D51A4E">
        <w:rPr>
          <w:u w:val="single"/>
        </w:rPr>
        <w:t>Ice, dry ice and liquid nitrogen</w:t>
      </w:r>
      <w:r w:rsidR="00D51A4E">
        <w:t>”</w:t>
      </w:r>
      <w:r w:rsidR="00F748FF">
        <w:t>.</w:t>
      </w:r>
      <w:r w:rsidR="00D51A4E">
        <w:t xml:space="preserve"> This is the only packing instruction with such a subtitle. </w:t>
      </w:r>
      <w:r w:rsidR="00F03B4B">
        <w:t>Furthermore,</w:t>
      </w:r>
      <w:r w:rsidR="00D51A4E">
        <w:t xml:space="preserve"> it </w:t>
      </w:r>
      <w:r w:rsidR="00701A61">
        <w:t xml:space="preserve">is redundant, as the text in the additional requirement clearly specifies that it applies to ice, dry </w:t>
      </w:r>
      <w:proofErr w:type="gramStart"/>
      <w:r w:rsidR="00701A61">
        <w:t>ice</w:t>
      </w:r>
      <w:proofErr w:type="gramEnd"/>
      <w:r w:rsidR="00701A61">
        <w:t xml:space="preserve"> and liquid nitrogen</w:t>
      </w:r>
      <w:r w:rsidR="00B07D46">
        <w:t xml:space="preserve">. Therefore, </w:t>
      </w:r>
      <w:r w:rsidR="00422683">
        <w:t>the secretariat</w:t>
      </w:r>
      <w:r w:rsidR="00B07D46">
        <w:t xml:space="preserve"> propose</w:t>
      </w:r>
      <w:r w:rsidR="00D660E4">
        <w:t>s</w:t>
      </w:r>
      <w:r w:rsidR="00B07D46">
        <w:t xml:space="preserve"> to delete </w:t>
      </w:r>
      <w:r w:rsidR="00D660E4">
        <w:t>the subtitle</w:t>
      </w:r>
      <w:r w:rsidR="00B07D46">
        <w:t>.</w:t>
      </w:r>
    </w:p>
    <w:p w14:paraId="6E22C5F6" w14:textId="114CB7D9" w:rsidR="00F748FF" w:rsidRDefault="00F748FF" w:rsidP="00F748FF">
      <w:pPr>
        <w:pStyle w:val="H23G"/>
      </w:pPr>
      <w:r>
        <w:tab/>
      </w:r>
      <w:r>
        <w:tab/>
        <w:t xml:space="preserve">Proposal </w:t>
      </w:r>
      <w:r w:rsidR="00B07D46">
        <w:t>6</w:t>
      </w:r>
    </w:p>
    <w:p w14:paraId="47115A90" w14:textId="4460E02E" w:rsidR="00F748FF" w:rsidRPr="00163701" w:rsidRDefault="00F748FF" w:rsidP="00F748FF">
      <w:pPr>
        <w:pStyle w:val="SingleTxtG"/>
        <w:ind w:left="2268" w:hanging="1134"/>
      </w:pPr>
      <w:r>
        <w:t>4.1.4.1, P</w:t>
      </w:r>
      <w:r w:rsidR="00083910">
        <w:t>904</w:t>
      </w:r>
      <w:r w:rsidR="00083910">
        <w:tab/>
        <w:t>In the additional requirement, delete the first line reading “</w:t>
      </w:r>
      <w:r w:rsidR="00083910" w:rsidRPr="00083910">
        <w:rPr>
          <w:u w:val="single"/>
        </w:rPr>
        <w:t>Ice, dry ice and liquid nitrogen</w:t>
      </w:r>
      <w:r w:rsidR="00083910">
        <w:t>”.</w:t>
      </w:r>
    </w:p>
    <w:p w14:paraId="7FCC2B3D" w14:textId="7FAC6EF2" w:rsidR="00F748FF" w:rsidRDefault="00F748FF" w:rsidP="00F748FF">
      <w:pPr>
        <w:pStyle w:val="H1G"/>
      </w:pPr>
      <w:r>
        <w:tab/>
      </w:r>
      <w:r w:rsidR="00F23719">
        <w:t>7</w:t>
      </w:r>
      <w:r>
        <w:t>.</w:t>
      </w:r>
      <w:r>
        <w:tab/>
      </w:r>
      <w:r w:rsidR="00F90140">
        <w:t xml:space="preserve">Restructuring of P600 and </w:t>
      </w:r>
      <w:r w:rsidR="00005AD9">
        <w:t>P803</w:t>
      </w:r>
    </w:p>
    <w:p w14:paraId="56A3B6B3" w14:textId="1F54906A" w:rsidR="00F748FF" w:rsidRDefault="003E4ECB" w:rsidP="00E01BE1">
      <w:pPr>
        <w:pStyle w:val="SingleTxtG"/>
      </w:pPr>
      <w:r>
        <w:t>1</w:t>
      </w:r>
      <w:r w:rsidR="00C22F0D">
        <w:t>4</w:t>
      </w:r>
      <w:r w:rsidR="00F748FF">
        <w:t>.</w:t>
      </w:r>
      <w:r w:rsidR="00F748FF">
        <w:tab/>
      </w:r>
      <w:r w:rsidR="005C16A8">
        <w:t>P600 is very similar in content to P803</w:t>
      </w:r>
      <w:r w:rsidR="007A094E">
        <w:t xml:space="preserve"> but is </w:t>
      </w:r>
      <w:r w:rsidR="002404D0">
        <w:t>laid</w:t>
      </w:r>
      <w:r w:rsidR="00A561D5">
        <w:t xml:space="preserve"> out</w:t>
      </w:r>
      <w:r w:rsidR="00A75E2A">
        <w:t xml:space="preserve"> </w:t>
      </w:r>
      <w:r w:rsidR="0017084C">
        <w:t>with a big block of running text instead of</w:t>
      </w:r>
      <w:r w:rsidR="004879B0">
        <w:t xml:space="preserve"> </w:t>
      </w:r>
      <w:r w:rsidR="00AA0EB6">
        <w:t xml:space="preserve">in </w:t>
      </w:r>
      <w:r w:rsidR="004879B0">
        <w:t>a more structured way as in P803</w:t>
      </w:r>
      <w:r w:rsidR="00F748FF">
        <w:t>.</w:t>
      </w:r>
      <w:r w:rsidR="0078184E">
        <w:t xml:space="preserve"> We propose to </w:t>
      </w:r>
      <w:r w:rsidR="00F26B3E">
        <w:t>amend the</w:t>
      </w:r>
      <w:r w:rsidR="002C1528">
        <w:t xml:space="preserve"> second paragraph</w:t>
      </w:r>
      <w:r w:rsidR="00F23719">
        <w:t xml:space="preserve"> of the second </w:t>
      </w:r>
      <w:r w:rsidR="00865E01">
        <w:t>row</w:t>
      </w:r>
      <w:r w:rsidR="00F23719">
        <w:t xml:space="preserve"> under the heading to match the structure of other packing instructions in general and of </w:t>
      </w:r>
      <w:proofErr w:type="gramStart"/>
      <w:r w:rsidR="00F23719">
        <w:t>P803 in particular</w:t>
      </w:r>
      <w:proofErr w:type="gramEnd"/>
      <w:r w:rsidR="00F23719">
        <w:t>.</w:t>
      </w:r>
      <w:r w:rsidR="000D6C86">
        <w:t xml:space="preserve"> </w:t>
      </w:r>
      <w:r w:rsidR="00530849">
        <w:t>This includes some slight modifi</w:t>
      </w:r>
      <w:r w:rsidR="00BC6BBA">
        <w:t>cations to the existing text</w:t>
      </w:r>
      <w:r w:rsidR="00F01FC8">
        <w:t>, but the intention is</w:t>
      </w:r>
      <w:r w:rsidR="00F824D3">
        <w:t xml:space="preserve"> to keep the same meaning as before</w:t>
      </w:r>
      <w:r w:rsidR="00804A03">
        <w:t xml:space="preserve"> in a way that</w:t>
      </w:r>
      <w:r w:rsidR="004D4D17">
        <w:t xml:space="preserve"> is visually</w:t>
      </w:r>
      <w:r w:rsidR="00CE27C8">
        <w:t xml:space="preserve"> </w:t>
      </w:r>
      <w:r w:rsidR="00CE43FC">
        <w:t xml:space="preserve">clearer and more </w:t>
      </w:r>
      <w:r w:rsidR="00C75A5F">
        <w:t xml:space="preserve">rapidly </w:t>
      </w:r>
      <w:r w:rsidR="00CE43FC">
        <w:t>understandable</w:t>
      </w:r>
      <w:r w:rsidR="00CE27C8">
        <w:t>.</w:t>
      </w:r>
    </w:p>
    <w:p w14:paraId="33443E95" w14:textId="076427D1" w:rsidR="004D0B2A" w:rsidRDefault="003E4ECB" w:rsidP="00F748FF">
      <w:pPr>
        <w:pStyle w:val="SingleTxtG"/>
      </w:pPr>
      <w:r>
        <w:lastRenderedPageBreak/>
        <w:t>1</w:t>
      </w:r>
      <w:r w:rsidR="00C22F0D">
        <w:t>5</w:t>
      </w:r>
      <w:r w:rsidR="004D0B2A">
        <w:t>.</w:t>
      </w:r>
      <w:r w:rsidR="004D0B2A">
        <w:tab/>
      </w:r>
      <w:r w:rsidR="000D6C86">
        <w:t xml:space="preserve">For consistency, </w:t>
      </w:r>
      <w:r w:rsidR="00027DA5">
        <w:t xml:space="preserve">the secretariat </w:t>
      </w:r>
      <w:r w:rsidR="000D6C86">
        <w:t>propose</w:t>
      </w:r>
      <w:r w:rsidR="00027DA5">
        <w:t>s</w:t>
      </w:r>
      <w:r w:rsidR="000D6C86">
        <w:t xml:space="preserve"> to </w:t>
      </w:r>
      <w:r w:rsidR="00B55965">
        <w:t xml:space="preserve">slightly modify P803 by </w:t>
      </w:r>
      <w:r w:rsidR="00CE2DD6">
        <w:t>mov</w:t>
      </w:r>
      <w:r w:rsidR="00B55965">
        <w:t>ing the line</w:t>
      </w:r>
      <w:r w:rsidR="00414520">
        <w:t xml:space="preserve"> on maximum net mass to the end of the packing instruction and removing the numbers (see</w:t>
      </w:r>
      <w:r w:rsidR="0069039B">
        <w:t xml:space="preserve"> rationale in II.5 above).</w:t>
      </w:r>
    </w:p>
    <w:p w14:paraId="61A4CE76" w14:textId="11455078" w:rsidR="00F748FF" w:rsidRDefault="00F748FF" w:rsidP="00F748FF">
      <w:pPr>
        <w:pStyle w:val="H23G"/>
      </w:pPr>
      <w:r>
        <w:tab/>
      </w:r>
      <w:r>
        <w:tab/>
        <w:t xml:space="preserve">Proposal </w:t>
      </w:r>
      <w:r w:rsidR="004D0B2A">
        <w:t>7</w:t>
      </w:r>
    </w:p>
    <w:p w14:paraId="0A91721E" w14:textId="5F4D2BFB" w:rsidR="00F748FF" w:rsidRDefault="00F748FF" w:rsidP="00F748FF">
      <w:pPr>
        <w:pStyle w:val="SingleTxtG"/>
        <w:ind w:left="2268" w:hanging="1134"/>
      </w:pPr>
      <w:r>
        <w:t>4.1.4.1, P</w:t>
      </w:r>
      <w:r w:rsidR="00650E13">
        <w:t>600</w:t>
      </w:r>
      <w:r>
        <w:tab/>
      </w:r>
      <w:r w:rsidR="009D277A">
        <w:t xml:space="preserve">Amend the second </w:t>
      </w:r>
      <w:r w:rsidR="00865E01">
        <w:t>row</w:t>
      </w:r>
      <w:r w:rsidR="009D277A">
        <w:t xml:space="preserve"> under the heading to read as follows: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85" w:type="dxa"/>
          <w:right w:w="85" w:type="dxa"/>
        </w:tblCellMar>
        <w:tblLook w:val="0000" w:firstRow="0" w:lastRow="0" w:firstColumn="0" w:lastColumn="0" w:noHBand="0" w:noVBand="0"/>
      </w:tblPr>
      <w:tblGrid>
        <w:gridCol w:w="9623"/>
      </w:tblGrid>
      <w:tr w:rsidR="00D111BB" w:rsidRPr="00E35622" w14:paraId="28B1FC39" w14:textId="77777777" w:rsidTr="00EF5B02">
        <w:trPr>
          <w:trHeight w:val="20"/>
          <w:jc w:val="center"/>
        </w:trPr>
        <w:tc>
          <w:tcPr>
            <w:tcW w:w="5000" w:type="pct"/>
            <w:tcBorders>
              <w:top w:val="single" w:sz="6" w:space="0" w:color="auto"/>
              <w:left w:val="single" w:sz="6" w:space="0" w:color="auto"/>
              <w:bottom w:val="single" w:sz="6" w:space="0" w:color="auto"/>
              <w:right w:val="single" w:sz="6" w:space="0" w:color="auto"/>
            </w:tcBorders>
          </w:tcPr>
          <w:p w14:paraId="2CBB22E2" w14:textId="77777777" w:rsidR="00D111BB" w:rsidRPr="00E35622" w:rsidRDefault="00D111BB" w:rsidP="003E4ECB">
            <w:pPr>
              <w:pStyle w:val="Pnormal"/>
              <w:keepNext/>
            </w:pPr>
            <w:r w:rsidRPr="00E35622">
              <w:t xml:space="preserve">The following packagings are authorized, provided that the general provisions of </w:t>
            </w:r>
            <w:r w:rsidRPr="00E35622">
              <w:rPr>
                <w:b/>
              </w:rPr>
              <w:t>4.1.1</w:t>
            </w:r>
            <w:r w:rsidRPr="00E35622">
              <w:t xml:space="preserve"> and </w:t>
            </w:r>
            <w:r w:rsidRPr="00E35622">
              <w:rPr>
                <w:b/>
              </w:rPr>
              <w:t>4.1.3</w:t>
            </w:r>
            <w:r w:rsidRPr="00E35622">
              <w:t xml:space="preserve"> are met:</w:t>
            </w:r>
          </w:p>
          <w:p w14:paraId="2236044E" w14:textId="7248E0E9" w:rsidR="00D111BB" w:rsidRDefault="00D111BB" w:rsidP="003E4ECB">
            <w:pPr>
              <w:pStyle w:val="Ph08"/>
              <w:keepNext/>
            </w:pPr>
            <w:r>
              <w:tab/>
              <w:t>Drums</w:t>
            </w:r>
            <w:r w:rsidRPr="00E35622">
              <w:t xml:space="preserve"> (1A1, 1A2, 1B1, 1B2, 1N1, 1N2, 1H1, 1H2, 1D, 1G</w:t>
            </w:r>
            <w:proofErr w:type="gramStart"/>
            <w:r>
              <w:t>);</w:t>
            </w:r>
            <w:proofErr w:type="gramEnd"/>
          </w:p>
          <w:p w14:paraId="0D4FF3C3" w14:textId="70E9509D" w:rsidR="00D111BB" w:rsidRDefault="00D111BB" w:rsidP="003E4ECB">
            <w:pPr>
              <w:pStyle w:val="Ph08"/>
              <w:keepNext/>
            </w:pPr>
            <w:r>
              <w:tab/>
              <w:t>Boxes (</w:t>
            </w:r>
            <w:r w:rsidRPr="00E35622">
              <w:t>4A, 4B, 4N, 4C1, 4C2, 4D, 4F, 4G, 4H2)</w:t>
            </w:r>
            <w:r>
              <w:t>.</w:t>
            </w:r>
          </w:p>
          <w:p w14:paraId="4F4747FF" w14:textId="6AC8F527" w:rsidR="00D111BB" w:rsidRDefault="00757739" w:rsidP="003E4ECB">
            <w:pPr>
              <w:pStyle w:val="Pnormal"/>
              <w:keepNext/>
            </w:pPr>
            <w:r>
              <w:t>Outer packagings</w:t>
            </w:r>
            <w:r w:rsidR="00D111BB">
              <w:t xml:space="preserve"> shall</w:t>
            </w:r>
            <w:r w:rsidR="00D111BB" w:rsidRPr="00E35622">
              <w:t> meet the packing group II performance level.</w:t>
            </w:r>
          </w:p>
          <w:p w14:paraId="7CA1D866" w14:textId="77777777" w:rsidR="00D111BB" w:rsidRPr="00E35622" w:rsidRDefault="00D111BB" w:rsidP="003E4ECB">
            <w:pPr>
              <w:pStyle w:val="Pnormal"/>
              <w:keepNext/>
            </w:pPr>
            <w:r>
              <w:t>A</w:t>
            </w:r>
            <w:r w:rsidRPr="00E35622">
              <w:t>rticles shall be individually packaged and separated from each other using partitions, dividers, inner packagings or cushioning material to prevent inadvertent discharge during normal conditions of transport.</w:t>
            </w:r>
          </w:p>
          <w:p w14:paraId="67F7CE4B" w14:textId="77777777" w:rsidR="00D111BB" w:rsidRPr="00E35622" w:rsidRDefault="00D111BB" w:rsidP="00EF5B02">
            <w:pPr>
              <w:pStyle w:val="Pnormal"/>
            </w:pPr>
            <w:r w:rsidRPr="00E35622">
              <w:t>Maximum net mass: 75 kg</w:t>
            </w:r>
          </w:p>
        </w:tc>
      </w:tr>
    </w:tbl>
    <w:p w14:paraId="03A3F915" w14:textId="68462C0D" w:rsidR="00D111BB" w:rsidRDefault="009D277A" w:rsidP="009D277A">
      <w:pPr>
        <w:pStyle w:val="SingleTxtG"/>
        <w:spacing w:before="120"/>
        <w:ind w:left="2268" w:hanging="1134"/>
      </w:pPr>
      <w:r>
        <w:t>4.1.4.1, P803</w:t>
      </w:r>
      <w:r>
        <w:tab/>
        <w:t xml:space="preserve">Amend the second </w:t>
      </w:r>
      <w:r w:rsidR="00865E01">
        <w:t>row</w:t>
      </w:r>
      <w:r>
        <w:t xml:space="preserve"> under the heading to read as follows: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85" w:type="dxa"/>
          <w:right w:w="85" w:type="dxa"/>
        </w:tblCellMar>
        <w:tblLook w:val="0000" w:firstRow="0" w:lastRow="0" w:firstColumn="0" w:lastColumn="0" w:noHBand="0" w:noVBand="0"/>
      </w:tblPr>
      <w:tblGrid>
        <w:gridCol w:w="9623"/>
      </w:tblGrid>
      <w:tr w:rsidR="00650E13" w:rsidRPr="003461F4" w14:paraId="4ED15F1E" w14:textId="77777777" w:rsidTr="00EF5B02">
        <w:trPr>
          <w:trHeight w:val="20"/>
          <w:jc w:val="center"/>
        </w:trPr>
        <w:tc>
          <w:tcPr>
            <w:tcW w:w="5000" w:type="pct"/>
            <w:tcBorders>
              <w:top w:val="single" w:sz="6" w:space="0" w:color="auto"/>
              <w:left w:val="single" w:sz="6" w:space="0" w:color="auto"/>
              <w:right w:val="single" w:sz="6" w:space="0" w:color="auto"/>
            </w:tcBorders>
          </w:tcPr>
          <w:p w14:paraId="0665C422" w14:textId="77777777" w:rsidR="00650E13" w:rsidRPr="00E35622" w:rsidRDefault="00650E13" w:rsidP="00EF5B02">
            <w:pPr>
              <w:pStyle w:val="Pnormal"/>
            </w:pPr>
            <w:r w:rsidRPr="00E35622">
              <w:t xml:space="preserve">The following packagings are authorized, provided that the general provisions of </w:t>
            </w:r>
            <w:r w:rsidRPr="00E35622">
              <w:rPr>
                <w:b/>
              </w:rPr>
              <w:t>4.1.1</w:t>
            </w:r>
            <w:r w:rsidRPr="00E35622">
              <w:t xml:space="preserve"> and </w:t>
            </w:r>
            <w:r w:rsidRPr="00E35622">
              <w:rPr>
                <w:b/>
              </w:rPr>
              <w:t>4.1.3</w:t>
            </w:r>
            <w:r w:rsidRPr="00E35622">
              <w:t xml:space="preserve"> are met:</w:t>
            </w:r>
          </w:p>
          <w:p w14:paraId="0922066D" w14:textId="77777777" w:rsidR="00650E13" w:rsidRPr="00E35622" w:rsidRDefault="00650E13" w:rsidP="00EF5B02">
            <w:pPr>
              <w:pStyle w:val="Ph08"/>
            </w:pPr>
            <w:r w:rsidRPr="00E35622">
              <w:tab/>
              <w:t>Drums (1A2, 1B2, 1N2, 1H2, 1D, 1G</w:t>
            </w:r>
            <w:proofErr w:type="gramStart"/>
            <w:r w:rsidRPr="00E35622">
              <w:t>);</w:t>
            </w:r>
            <w:proofErr w:type="gramEnd"/>
          </w:p>
          <w:p w14:paraId="795D2E4E" w14:textId="77777777" w:rsidR="00650E13" w:rsidRPr="00E35622" w:rsidRDefault="00650E13" w:rsidP="00EF5B02">
            <w:pPr>
              <w:pStyle w:val="Ph08"/>
            </w:pPr>
            <w:r w:rsidRPr="00E35622">
              <w:tab/>
              <w:t>Boxes (4A, 4B, 4N, 4C1, 4C2, 4D, 4F, 4G, 4H2)</w:t>
            </w:r>
            <w:r>
              <w:t>.</w:t>
            </w:r>
          </w:p>
          <w:p w14:paraId="06C654B6" w14:textId="77777777" w:rsidR="00650E13" w:rsidRDefault="00650E13" w:rsidP="00EF5B02">
            <w:pPr>
              <w:pStyle w:val="Pnormal"/>
            </w:pPr>
            <w:r>
              <w:t>A</w:t>
            </w:r>
            <w:r w:rsidRPr="00E35622">
              <w:t>rticles shall be individually packaged and separated from each other using partitions, dividers, inner packagings or cushioning material to prevent inadvertent discharge during normal conditions of transport.</w:t>
            </w:r>
          </w:p>
          <w:p w14:paraId="01AC6CAA" w14:textId="77777777" w:rsidR="00650E13" w:rsidRPr="00E35622" w:rsidRDefault="00650E13" w:rsidP="00EF5B02">
            <w:pPr>
              <w:pStyle w:val="Pnormal"/>
            </w:pPr>
            <w:r w:rsidRPr="00E35622">
              <w:t>Maximum net mass: 75 kg.</w:t>
            </w:r>
          </w:p>
        </w:tc>
      </w:tr>
    </w:tbl>
    <w:p w14:paraId="08D395EF" w14:textId="664EB99E" w:rsidR="00F748FF" w:rsidRDefault="00F748FF" w:rsidP="00F748FF">
      <w:pPr>
        <w:pStyle w:val="H1G"/>
      </w:pPr>
      <w:r>
        <w:tab/>
      </w:r>
      <w:r w:rsidR="00B048BA">
        <w:t>8</w:t>
      </w:r>
      <w:r>
        <w:t>.</w:t>
      </w:r>
      <w:r>
        <w:tab/>
      </w:r>
      <w:r w:rsidR="003A713C">
        <w:t>L</w:t>
      </w:r>
      <w:r w:rsidR="00CC1834">
        <w:t xml:space="preserve">ayout of </w:t>
      </w:r>
      <w:r w:rsidR="003A713C">
        <w:t xml:space="preserve">the </w:t>
      </w:r>
      <w:r w:rsidR="00377BD6">
        <w:t xml:space="preserve">section on </w:t>
      </w:r>
      <w:r w:rsidR="003A713C">
        <w:t>c</w:t>
      </w:r>
      <w:r w:rsidR="00377BD6">
        <w:t>ombination packagings in P505</w:t>
      </w:r>
    </w:p>
    <w:p w14:paraId="382BABAB" w14:textId="38B0A972" w:rsidR="00F748FF" w:rsidRDefault="003E4ECB" w:rsidP="00F748FF">
      <w:pPr>
        <w:pStyle w:val="SingleTxtG"/>
      </w:pPr>
      <w:r>
        <w:t>1</w:t>
      </w:r>
      <w:r w:rsidR="00C22F0D">
        <w:t>6</w:t>
      </w:r>
      <w:r w:rsidR="00F748FF">
        <w:t>.</w:t>
      </w:r>
      <w:r w:rsidR="00F748FF">
        <w:tab/>
      </w:r>
      <w:r w:rsidR="00CB1FBD">
        <w:t>Packing instructions with specifications for combination packagings generally follow a standard layout</w:t>
      </w:r>
      <w:r w:rsidR="000C74F6">
        <w:t xml:space="preserve"> (see for instance P</w:t>
      </w:r>
      <w:r w:rsidR="008400D3">
        <w:t>001, P002, P010 and P</w:t>
      </w:r>
      <w:r w:rsidR="00AC6D79">
        <w:t>110(a) to P144</w:t>
      </w:r>
      <w:r w:rsidR="00905529">
        <w:t>)</w:t>
      </w:r>
      <w:r w:rsidR="00F748FF">
        <w:t>.</w:t>
      </w:r>
      <w:r w:rsidR="00905529">
        <w:t xml:space="preserve"> One exception is P505. Although the layout in P505 is more compact, </w:t>
      </w:r>
      <w:r w:rsidR="00564209">
        <w:t xml:space="preserve">the secretariat </w:t>
      </w:r>
      <w:r w:rsidR="00905529">
        <w:t>believe</w:t>
      </w:r>
      <w:r w:rsidR="00564209">
        <w:t>s</w:t>
      </w:r>
      <w:r w:rsidR="00905529">
        <w:t xml:space="preserve"> that the</w:t>
      </w:r>
      <w:r w:rsidR="006D2313">
        <w:t xml:space="preserve"> standard layout used in other packing instructions </w:t>
      </w:r>
      <w:r w:rsidR="00C75A5F">
        <w:t xml:space="preserve">is </w:t>
      </w:r>
      <w:r w:rsidR="006D2313">
        <w:t xml:space="preserve">visually clearer and more rapidly understandable. </w:t>
      </w:r>
      <w:r w:rsidR="00083D85">
        <w:t>T</w:t>
      </w:r>
      <w:r w:rsidR="006D2313">
        <w:t>here is</w:t>
      </w:r>
      <w:r w:rsidR="00083D85">
        <w:t xml:space="preserve"> also benefit in applying consistent layouts throughout </w:t>
      </w:r>
      <w:r w:rsidR="00206A70">
        <w:t xml:space="preserve">the regulations </w:t>
      </w:r>
      <w:r w:rsidR="00083D85">
        <w:t>as much as possible</w:t>
      </w:r>
      <w:r w:rsidR="007668F3">
        <w:t>. We therefore propose to restructure the</w:t>
      </w:r>
      <w:r w:rsidR="00B048BA">
        <w:t xml:space="preserve"> section on combination packagings in P505 to match the standard layout.</w:t>
      </w:r>
      <w:r w:rsidR="007B4CC7">
        <w:t xml:space="preserve"> Furthermore, </w:t>
      </w:r>
      <w:r w:rsidR="008243EB">
        <w:t>we propose to unify the header for maximum capacity/net mass</w:t>
      </w:r>
      <w:r w:rsidR="003828AC">
        <w:t xml:space="preserve"> in combination packagings and single packagings, as is done in other</w:t>
      </w:r>
      <w:r w:rsidR="00ED0E67">
        <w:t xml:space="preserve"> packing instructions </w:t>
      </w:r>
      <w:r w:rsidR="00425B82">
        <w:t xml:space="preserve">with combination packagings and single packagings </w:t>
      </w:r>
      <w:r w:rsidR="00ED0E67">
        <w:t>such as P001, P002 and P010.</w:t>
      </w:r>
    </w:p>
    <w:p w14:paraId="4AD604B6" w14:textId="77777777" w:rsidR="00E06BA7" w:rsidRDefault="00E06BA7">
      <w:pPr>
        <w:suppressAutoHyphens w:val="0"/>
        <w:kinsoku/>
        <w:overflowPunct/>
        <w:autoSpaceDE/>
        <w:autoSpaceDN/>
        <w:adjustRightInd/>
        <w:snapToGrid/>
        <w:spacing w:after="200" w:line="276" w:lineRule="auto"/>
        <w:rPr>
          <w:b/>
        </w:rPr>
      </w:pPr>
      <w:r>
        <w:br w:type="page"/>
      </w:r>
    </w:p>
    <w:p w14:paraId="7E65A1A6" w14:textId="6F9F3C37" w:rsidR="00F748FF" w:rsidRDefault="00F748FF" w:rsidP="00F748FF">
      <w:pPr>
        <w:pStyle w:val="H23G"/>
      </w:pPr>
      <w:r>
        <w:lastRenderedPageBreak/>
        <w:tab/>
      </w:r>
      <w:r>
        <w:tab/>
        <w:t xml:space="preserve">Proposal </w:t>
      </w:r>
      <w:r w:rsidR="00B048BA">
        <w:t>8</w:t>
      </w:r>
    </w:p>
    <w:p w14:paraId="1BF7580A" w14:textId="5F326F52" w:rsidR="00F748FF" w:rsidRDefault="00F748FF" w:rsidP="00F748FF">
      <w:pPr>
        <w:pStyle w:val="SingleTxtG"/>
        <w:ind w:left="2268" w:hanging="1134"/>
      </w:pPr>
      <w:r>
        <w:t>4.1.4.1, P5</w:t>
      </w:r>
      <w:r w:rsidR="00B048BA">
        <w:t>05</w:t>
      </w:r>
      <w:r>
        <w:tab/>
      </w:r>
      <w:r w:rsidR="00B048BA">
        <w:t xml:space="preserve">Amend </w:t>
      </w:r>
      <w:r w:rsidR="00ED03E9">
        <w:t>rows 3 and 4 under the heading to read as follows:</w:t>
      </w:r>
    </w:p>
    <w:tbl>
      <w:tblPr>
        <w:tblW w:w="50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2501"/>
        <w:gridCol w:w="3582"/>
        <w:gridCol w:w="3557"/>
      </w:tblGrid>
      <w:tr w:rsidR="007B4CC7" w:rsidRPr="001D28C6" w14:paraId="7A6255C0" w14:textId="77777777" w:rsidTr="00EF5B02">
        <w:trPr>
          <w:trHeight w:val="20"/>
        </w:trPr>
        <w:tc>
          <w:tcPr>
            <w:tcW w:w="3155" w:type="pct"/>
            <w:gridSpan w:val="2"/>
            <w:tcBorders>
              <w:top w:val="single" w:sz="6" w:space="0" w:color="auto"/>
              <w:left w:val="single" w:sz="6" w:space="0" w:color="auto"/>
              <w:bottom w:val="single" w:sz="6" w:space="0" w:color="auto"/>
              <w:right w:val="single" w:sz="6" w:space="0" w:color="auto"/>
            </w:tcBorders>
            <w:shd w:val="clear" w:color="auto" w:fill="auto"/>
          </w:tcPr>
          <w:p w14:paraId="6FE37B19" w14:textId="77777777" w:rsidR="007B4CC7" w:rsidRPr="001D28C6" w:rsidRDefault="007B4CC7" w:rsidP="00EF5B02">
            <w:pPr>
              <w:pStyle w:val="Pnormal"/>
              <w:rPr>
                <w:b/>
                <w:bCs/>
              </w:rPr>
            </w:pPr>
          </w:p>
        </w:tc>
        <w:tc>
          <w:tcPr>
            <w:tcW w:w="1845" w:type="pct"/>
            <w:tcBorders>
              <w:top w:val="single" w:sz="6" w:space="0" w:color="auto"/>
              <w:left w:val="single" w:sz="6" w:space="0" w:color="auto"/>
              <w:bottom w:val="single" w:sz="6" w:space="0" w:color="auto"/>
              <w:right w:val="single" w:sz="6" w:space="0" w:color="auto"/>
            </w:tcBorders>
            <w:shd w:val="clear" w:color="auto" w:fill="auto"/>
            <w:vAlign w:val="center"/>
          </w:tcPr>
          <w:p w14:paraId="04F65D34" w14:textId="77777777" w:rsidR="007B4CC7" w:rsidRPr="001D28C6" w:rsidRDefault="007B4CC7" w:rsidP="00EF5B02">
            <w:pPr>
              <w:pStyle w:val="Pnormal"/>
              <w:jc w:val="center"/>
              <w:rPr>
                <w:b/>
                <w:bCs/>
              </w:rPr>
            </w:pPr>
            <w:r w:rsidRPr="001D28C6">
              <w:rPr>
                <w:b/>
                <w:bCs/>
              </w:rPr>
              <w:t>Maximum capacity</w:t>
            </w:r>
            <w:r>
              <w:rPr>
                <w:b/>
                <w:bCs/>
              </w:rPr>
              <w:t>/maximum net mass</w:t>
            </w:r>
          </w:p>
        </w:tc>
      </w:tr>
      <w:tr w:rsidR="007B4CC7" w:rsidRPr="00E35622" w14:paraId="45A066D6" w14:textId="77777777" w:rsidTr="00EF5B02">
        <w:trPr>
          <w:trHeight w:val="20"/>
        </w:trPr>
        <w:tc>
          <w:tcPr>
            <w:tcW w:w="500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298099FE" w14:textId="77777777" w:rsidR="007B4CC7" w:rsidRPr="00E35622" w:rsidRDefault="007B4CC7" w:rsidP="00EF5B02">
            <w:pPr>
              <w:pStyle w:val="Pnormal"/>
              <w:jc w:val="left"/>
            </w:pPr>
            <w:r w:rsidRPr="00E35622">
              <w:rPr>
                <w:b/>
              </w:rPr>
              <w:t>Combination packagings</w:t>
            </w:r>
          </w:p>
        </w:tc>
      </w:tr>
      <w:tr w:rsidR="007B4CC7" w:rsidRPr="00E35622" w14:paraId="09EFDD79" w14:textId="77777777" w:rsidTr="00EF5B02">
        <w:trPr>
          <w:trHeight w:val="20"/>
        </w:trPr>
        <w:tc>
          <w:tcPr>
            <w:tcW w:w="1297" w:type="pct"/>
            <w:tcBorders>
              <w:top w:val="single" w:sz="6" w:space="0" w:color="auto"/>
              <w:left w:val="single" w:sz="6" w:space="0" w:color="auto"/>
              <w:bottom w:val="single" w:sz="6" w:space="0" w:color="auto"/>
              <w:right w:val="single" w:sz="6" w:space="0" w:color="auto"/>
            </w:tcBorders>
            <w:shd w:val="clear" w:color="auto" w:fill="auto"/>
          </w:tcPr>
          <w:p w14:paraId="3595F71C" w14:textId="77777777" w:rsidR="007B4CC7" w:rsidRPr="00E35622" w:rsidRDefault="007B4CC7" w:rsidP="00EF5B02">
            <w:pPr>
              <w:pStyle w:val="Pnormal"/>
              <w:ind w:left="113" w:hanging="113"/>
              <w:jc w:val="left"/>
            </w:pPr>
            <w:r w:rsidRPr="00E35622">
              <w:rPr>
                <w:b/>
              </w:rPr>
              <w:t>Inner packaging</w:t>
            </w:r>
            <w:r>
              <w:rPr>
                <w:b/>
              </w:rPr>
              <w:t>s</w:t>
            </w:r>
          </w:p>
        </w:tc>
        <w:tc>
          <w:tcPr>
            <w:tcW w:w="3703" w:type="pct"/>
            <w:gridSpan w:val="2"/>
            <w:tcBorders>
              <w:top w:val="single" w:sz="6" w:space="0" w:color="auto"/>
              <w:left w:val="single" w:sz="6" w:space="0" w:color="auto"/>
              <w:bottom w:val="single" w:sz="6" w:space="0" w:color="auto"/>
              <w:right w:val="single" w:sz="6" w:space="0" w:color="auto"/>
            </w:tcBorders>
            <w:shd w:val="clear" w:color="auto" w:fill="auto"/>
          </w:tcPr>
          <w:p w14:paraId="5535BF11" w14:textId="77777777" w:rsidR="007B4CC7" w:rsidRPr="00E35622" w:rsidRDefault="007B4CC7" w:rsidP="00EF5B02">
            <w:pPr>
              <w:pStyle w:val="Pnormal"/>
              <w:jc w:val="left"/>
            </w:pPr>
            <w:r w:rsidRPr="00E35622">
              <w:rPr>
                <w:b/>
              </w:rPr>
              <w:t>Outer packaging</w:t>
            </w:r>
            <w:r>
              <w:rPr>
                <w:b/>
              </w:rPr>
              <w:t>s</w:t>
            </w:r>
          </w:p>
        </w:tc>
      </w:tr>
      <w:tr w:rsidR="007B4CC7" w:rsidRPr="00E35622" w14:paraId="3DE95119" w14:textId="77777777" w:rsidTr="00EF5B02">
        <w:trPr>
          <w:trHeight w:val="20"/>
        </w:trPr>
        <w:tc>
          <w:tcPr>
            <w:tcW w:w="1297" w:type="pct"/>
            <w:tcBorders>
              <w:top w:val="single" w:sz="6" w:space="0" w:color="auto"/>
              <w:left w:val="single" w:sz="6" w:space="0" w:color="auto"/>
              <w:bottom w:val="single" w:sz="6" w:space="0" w:color="auto"/>
              <w:right w:val="single" w:sz="6" w:space="0" w:color="auto"/>
            </w:tcBorders>
            <w:shd w:val="clear" w:color="auto" w:fill="auto"/>
          </w:tcPr>
          <w:p w14:paraId="52102CD1" w14:textId="77777777" w:rsidR="007B4CC7" w:rsidRDefault="007B4CC7" w:rsidP="00EF5B02">
            <w:pPr>
              <w:pStyle w:val="Pu4d2"/>
              <w:tabs>
                <w:tab w:val="right" w:pos="2180"/>
              </w:tabs>
            </w:pPr>
            <w:r w:rsidRPr="00E35622">
              <w:t>glass</w:t>
            </w:r>
            <w:r>
              <w:tab/>
              <w:t xml:space="preserve">5 </w:t>
            </w:r>
            <w:r w:rsidRPr="00901B22">
              <w:rPr>
                <w:i/>
                <w:iCs/>
              </w:rPr>
              <w:t>l</w:t>
            </w:r>
          </w:p>
          <w:p w14:paraId="5194412A" w14:textId="77777777" w:rsidR="007B4CC7" w:rsidRDefault="007B4CC7" w:rsidP="00EF5B02">
            <w:pPr>
              <w:pStyle w:val="Pud2"/>
              <w:tabs>
                <w:tab w:val="right" w:pos="2180"/>
              </w:tabs>
            </w:pPr>
            <w:r w:rsidRPr="00E35622">
              <w:t>plastics</w:t>
            </w:r>
            <w:r>
              <w:tab/>
              <w:t xml:space="preserve">5 </w:t>
            </w:r>
            <w:r w:rsidRPr="00901B22">
              <w:rPr>
                <w:i/>
                <w:iCs/>
              </w:rPr>
              <w:t>l</w:t>
            </w:r>
          </w:p>
          <w:p w14:paraId="3F94D009" w14:textId="77777777" w:rsidR="007B4CC7" w:rsidRPr="00E35622" w:rsidRDefault="007B4CC7" w:rsidP="00EF5B02">
            <w:pPr>
              <w:pStyle w:val="Pud2"/>
              <w:tabs>
                <w:tab w:val="right" w:pos="2180"/>
              </w:tabs>
              <w:rPr>
                <w:b/>
              </w:rPr>
            </w:pPr>
            <w:r w:rsidRPr="00E35622">
              <w:t>metal</w:t>
            </w:r>
            <w:r>
              <w:tab/>
              <w:t xml:space="preserve">5 </w:t>
            </w:r>
            <w:r w:rsidRPr="00901B22">
              <w:rPr>
                <w:i/>
                <w:iCs/>
              </w:rPr>
              <w:t>l</w:t>
            </w:r>
          </w:p>
        </w:tc>
        <w:tc>
          <w:tcPr>
            <w:tcW w:w="1858" w:type="pct"/>
            <w:tcBorders>
              <w:top w:val="single" w:sz="6" w:space="0" w:color="auto"/>
              <w:left w:val="single" w:sz="6" w:space="0" w:color="auto"/>
              <w:bottom w:val="single" w:sz="6" w:space="0" w:color="auto"/>
              <w:right w:val="single" w:sz="6" w:space="0" w:color="auto"/>
            </w:tcBorders>
            <w:shd w:val="clear" w:color="auto" w:fill="auto"/>
          </w:tcPr>
          <w:p w14:paraId="4AFDB2B3" w14:textId="77777777" w:rsidR="007B4CC7" w:rsidRPr="005D2259" w:rsidRDefault="007B4CC7" w:rsidP="00EF5B02">
            <w:pPr>
              <w:pStyle w:val="Pu4d2"/>
              <w:rPr>
                <w:b/>
                <w:bCs/>
              </w:rPr>
            </w:pPr>
            <w:r w:rsidRPr="005D2259">
              <w:rPr>
                <w:b/>
                <w:bCs/>
              </w:rPr>
              <w:t>Boxes</w:t>
            </w:r>
          </w:p>
          <w:p w14:paraId="01BD572C" w14:textId="77777777" w:rsidR="007B4CC7" w:rsidRDefault="007B4CC7" w:rsidP="00EF5B02">
            <w:pPr>
              <w:pStyle w:val="Pb04h02ud2"/>
            </w:pPr>
            <w:r>
              <w:t xml:space="preserve">aluminium </w:t>
            </w:r>
            <w:r w:rsidRPr="00E35622">
              <w:t>(4B</w:t>
            </w:r>
            <w:r>
              <w:t>)</w:t>
            </w:r>
          </w:p>
          <w:p w14:paraId="57C5D3CD" w14:textId="77777777" w:rsidR="007B4CC7" w:rsidRDefault="007B4CC7" w:rsidP="00EF5B02">
            <w:pPr>
              <w:pStyle w:val="Pb04h02ud2"/>
            </w:pPr>
            <w:r>
              <w:t>natural wood</w:t>
            </w:r>
            <w:r w:rsidRPr="00E35622">
              <w:t xml:space="preserve">, </w:t>
            </w:r>
            <w:r>
              <w:t>ordinary (</w:t>
            </w:r>
            <w:r w:rsidRPr="00E35622">
              <w:t>4C1</w:t>
            </w:r>
            <w:r>
              <w:t>)</w:t>
            </w:r>
          </w:p>
          <w:p w14:paraId="5B5B4EBE" w14:textId="77777777" w:rsidR="007B4CC7" w:rsidRDefault="007B4CC7" w:rsidP="00EF5B02">
            <w:pPr>
              <w:pStyle w:val="Pb04h02ud2"/>
            </w:pPr>
            <w:r>
              <w:t>natural wood, sift-proof walls</w:t>
            </w:r>
            <w:r w:rsidRPr="00E35622">
              <w:t xml:space="preserve"> </w:t>
            </w:r>
            <w:r>
              <w:t>(</w:t>
            </w:r>
            <w:r w:rsidRPr="00E35622">
              <w:t>4C2</w:t>
            </w:r>
            <w:r>
              <w:t>)</w:t>
            </w:r>
          </w:p>
          <w:p w14:paraId="58E8B5C0" w14:textId="77777777" w:rsidR="007B4CC7" w:rsidRDefault="007B4CC7" w:rsidP="00EF5B02">
            <w:pPr>
              <w:pStyle w:val="Pb04h02ud2"/>
            </w:pPr>
            <w:r>
              <w:t>plywood (</w:t>
            </w:r>
            <w:r w:rsidRPr="00E35622">
              <w:t>4D</w:t>
            </w:r>
            <w:r>
              <w:t>)</w:t>
            </w:r>
          </w:p>
          <w:p w14:paraId="729161B6" w14:textId="77777777" w:rsidR="007B4CC7" w:rsidRDefault="007B4CC7" w:rsidP="00EF5B02">
            <w:pPr>
              <w:pStyle w:val="Pb04h02ud2"/>
            </w:pPr>
            <w:r>
              <w:t>fibreboard (</w:t>
            </w:r>
            <w:r w:rsidRPr="00E35622">
              <w:t>4G</w:t>
            </w:r>
            <w:r>
              <w:t>)</w:t>
            </w:r>
          </w:p>
          <w:p w14:paraId="4E5E7096" w14:textId="77777777" w:rsidR="007B4CC7" w:rsidRDefault="007B4CC7" w:rsidP="00EF5B02">
            <w:pPr>
              <w:pStyle w:val="Pb04h02ud2"/>
            </w:pPr>
            <w:r>
              <w:t>plastics, solid (</w:t>
            </w:r>
            <w:r w:rsidRPr="00E35622">
              <w:t>4H2)</w:t>
            </w:r>
          </w:p>
          <w:p w14:paraId="181212DF" w14:textId="77777777" w:rsidR="007B4CC7" w:rsidRPr="001C7228" w:rsidRDefault="007B4CC7" w:rsidP="00EF5B02">
            <w:pPr>
              <w:pStyle w:val="Pu4d2"/>
              <w:rPr>
                <w:b/>
                <w:bCs/>
              </w:rPr>
            </w:pPr>
            <w:r w:rsidRPr="001C7228">
              <w:rPr>
                <w:b/>
                <w:bCs/>
              </w:rPr>
              <w:t>Drums</w:t>
            </w:r>
          </w:p>
          <w:p w14:paraId="086AA977" w14:textId="77777777" w:rsidR="007B4CC7" w:rsidRDefault="007B4CC7" w:rsidP="00EF5B02">
            <w:pPr>
              <w:pStyle w:val="Pb04h02ud2"/>
            </w:pPr>
            <w:r>
              <w:t xml:space="preserve">aluminium, removable head </w:t>
            </w:r>
            <w:r w:rsidRPr="00E35622">
              <w:t>(1B2</w:t>
            </w:r>
            <w:r>
              <w:t>)</w:t>
            </w:r>
          </w:p>
          <w:p w14:paraId="7EF3F366" w14:textId="77777777" w:rsidR="007B4CC7" w:rsidRDefault="007B4CC7" w:rsidP="00EF5B02">
            <w:pPr>
              <w:pStyle w:val="Pb04h02ud2"/>
            </w:pPr>
            <w:r>
              <w:t xml:space="preserve">fibre </w:t>
            </w:r>
            <w:r>
              <w:rPr>
                <w:lang w:val="en-US"/>
              </w:rPr>
              <w:t>(</w:t>
            </w:r>
            <w:r w:rsidRPr="00E35622">
              <w:t>1G</w:t>
            </w:r>
            <w:r>
              <w:t>)</w:t>
            </w:r>
          </w:p>
          <w:p w14:paraId="6FCD8098" w14:textId="77777777" w:rsidR="007B4CC7" w:rsidRDefault="007B4CC7" w:rsidP="00EF5B02">
            <w:pPr>
              <w:pStyle w:val="Pb04h02ud2"/>
            </w:pPr>
            <w:r>
              <w:t xml:space="preserve">other metal, removable head </w:t>
            </w:r>
            <w:r w:rsidRPr="00E35622">
              <w:t>(1N2</w:t>
            </w:r>
            <w:r>
              <w:t>)</w:t>
            </w:r>
          </w:p>
          <w:p w14:paraId="39CB40D4" w14:textId="77777777" w:rsidR="007B4CC7" w:rsidRDefault="007B4CC7" w:rsidP="00EF5B02">
            <w:pPr>
              <w:pStyle w:val="Pb04h02ud2"/>
            </w:pPr>
            <w:r>
              <w:t xml:space="preserve">plastics, removable head </w:t>
            </w:r>
            <w:r w:rsidRPr="00E35622">
              <w:t>(1H2</w:t>
            </w:r>
            <w:r>
              <w:t>)</w:t>
            </w:r>
          </w:p>
          <w:p w14:paraId="4582D75D" w14:textId="77777777" w:rsidR="007B4CC7" w:rsidRDefault="007B4CC7" w:rsidP="00EF5B02">
            <w:pPr>
              <w:pStyle w:val="Pb04h02ud2"/>
            </w:pPr>
            <w:r>
              <w:t>plywood (</w:t>
            </w:r>
            <w:r w:rsidRPr="00E35622">
              <w:t>1D)</w:t>
            </w:r>
          </w:p>
          <w:p w14:paraId="478CD62A" w14:textId="77777777" w:rsidR="007B4CC7" w:rsidRPr="00F51D38" w:rsidRDefault="007B4CC7" w:rsidP="00EF5B02">
            <w:pPr>
              <w:pStyle w:val="Pu4d2"/>
              <w:rPr>
                <w:b/>
                <w:bCs/>
              </w:rPr>
            </w:pPr>
            <w:r w:rsidRPr="00F51D38">
              <w:rPr>
                <w:b/>
                <w:bCs/>
              </w:rPr>
              <w:t>Jerricans</w:t>
            </w:r>
          </w:p>
          <w:p w14:paraId="0100D8C3" w14:textId="77777777" w:rsidR="007B4CC7" w:rsidRDefault="007B4CC7" w:rsidP="00EF5B02">
            <w:pPr>
              <w:pStyle w:val="Pb04h02ud2"/>
            </w:pPr>
            <w:r>
              <w:t xml:space="preserve">aluminium, removable head </w:t>
            </w:r>
            <w:r w:rsidRPr="00E35622">
              <w:t>(3B2</w:t>
            </w:r>
            <w:r>
              <w:t>)</w:t>
            </w:r>
          </w:p>
          <w:p w14:paraId="1888599B" w14:textId="77777777" w:rsidR="007B4CC7" w:rsidRPr="00E35622" w:rsidRDefault="007B4CC7" w:rsidP="00EF5B02">
            <w:pPr>
              <w:pStyle w:val="Pb04h02ud2"/>
              <w:rPr>
                <w:b/>
              </w:rPr>
            </w:pPr>
            <w:r>
              <w:t xml:space="preserve">plastics, removable head </w:t>
            </w:r>
            <w:r w:rsidRPr="00E35622">
              <w:t>(3H2)</w:t>
            </w:r>
          </w:p>
        </w:tc>
        <w:tc>
          <w:tcPr>
            <w:tcW w:w="1845" w:type="pct"/>
            <w:tcBorders>
              <w:top w:val="single" w:sz="6" w:space="0" w:color="auto"/>
              <w:left w:val="single" w:sz="6" w:space="0" w:color="auto"/>
              <w:bottom w:val="single" w:sz="6" w:space="0" w:color="auto"/>
              <w:right w:val="single" w:sz="6" w:space="0" w:color="auto"/>
            </w:tcBorders>
            <w:shd w:val="clear" w:color="auto" w:fill="auto"/>
          </w:tcPr>
          <w:p w14:paraId="41E23B98" w14:textId="77777777" w:rsidR="007B4CC7" w:rsidRDefault="007B4CC7" w:rsidP="00EF5B02">
            <w:pPr>
              <w:pStyle w:val="Pu4d2"/>
              <w:jc w:val="center"/>
            </w:pPr>
          </w:p>
          <w:p w14:paraId="1F15029C" w14:textId="77777777" w:rsidR="007B4CC7" w:rsidRDefault="007B4CC7" w:rsidP="00EF5B02">
            <w:pPr>
              <w:pStyle w:val="Pud2"/>
              <w:jc w:val="center"/>
            </w:pPr>
            <w:r>
              <w:t>125 kg</w:t>
            </w:r>
          </w:p>
          <w:p w14:paraId="0411E84D" w14:textId="77777777" w:rsidR="007B4CC7" w:rsidRDefault="007B4CC7" w:rsidP="00EF5B02">
            <w:pPr>
              <w:pStyle w:val="Pud2"/>
              <w:jc w:val="center"/>
            </w:pPr>
            <w:r>
              <w:t>125 kg</w:t>
            </w:r>
          </w:p>
          <w:p w14:paraId="3E098C58" w14:textId="77777777" w:rsidR="007B4CC7" w:rsidRDefault="007B4CC7" w:rsidP="00EF5B02">
            <w:pPr>
              <w:pStyle w:val="Pud2"/>
              <w:jc w:val="center"/>
            </w:pPr>
            <w:r>
              <w:t>125 kg</w:t>
            </w:r>
          </w:p>
          <w:p w14:paraId="0F59D28E" w14:textId="77777777" w:rsidR="007B4CC7" w:rsidRDefault="007B4CC7" w:rsidP="00EF5B02">
            <w:pPr>
              <w:pStyle w:val="Pud2"/>
              <w:jc w:val="center"/>
            </w:pPr>
            <w:r>
              <w:t>125 kg</w:t>
            </w:r>
          </w:p>
          <w:p w14:paraId="03EF491D" w14:textId="77777777" w:rsidR="007B4CC7" w:rsidRDefault="007B4CC7" w:rsidP="00EF5B02">
            <w:pPr>
              <w:pStyle w:val="Pud2"/>
              <w:jc w:val="center"/>
            </w:pPr>
            <w:r>
              <w:t>125 kg</w:t>
            </w:r>
          </w:p>
          <w:p w14:paraId="0DD48181" w14:textId="77777777" w:rsidR="007B4CC7" w:rsidRDefault="007B4CC7" w:rsidP="00EF5B02">
            <w:pPr>
              <w:pStyle w:val="Pud2"/>
              <w:jc w:val="center"/>
            </w:pPr>
            <w:r>
              <w:t>125 kg</w:t>
            </w:r>
          </w:p>
          <w:p w14:paraId="2C78EC89" w14:textId="77777777" w:rsidR="007B4CC7" w:rsidRDefault="007B4CC7" w:rsidP="00EF5B02">
            <w:pPr>
              <w:pStyle w:val="Pu4d2"/>
              <w:jc w:val="center"/>
            </w:pPr>
          </w:p>
          <w:p w14:paraId="3616FFDD" w14:textId="77777777" w:rsidR="007B4CC7" w:rsidRDefault="007B4CC7" w:rsidP="00EF5B02">
            <w:pPr>
              <w:pStyle w:val="Pud2"/>
              <w:jc w:val="center"/>
            </w:pPr>
            <w:r>
              <w:t>125 kg</w:t>
            </w:r>
          </w:p>
          <w:p w14:paraId="2B628EB0" w14:textId="77777777" w:rsidR="007B4CC7" w:rsidRDefault="007B4CC7" w:rsidP="00EF5B02">
            <w:pPr>
              <w:pStyle w:val="Pud2"/>
              <w:jc w:val="center"/>
            </w:pPr>
            <w:r>
              <w:t>125 kg</w:t>
            </w:r>
          </w:p>
          <w:p w14:paraId="7F08C1C3" w14:textId="77777777" w:rsidR="007B4CC7" w:rsidRDefault="007B4CC7" w:rsidP="00EF5B02">
            <w:pPr>
              <w:pStyle w:val="Pud2"/>
              <w:jc w:val="center"/>
            </w:pPr>
            <w:r>
              <w:t>125 kg</w:t>
            </w:r>
          </w:p>
          <w:p w14:paraId="0DFE4F27" w14:textId="77777777" w:rsidR="007B4CC7" w:rsidRDefault="007B4CC7" w:rsidP="00EF5B02">
            <w:pPr>
              <w:pStyle w:val="Pud2"/>
              <w:jc w:val="center"/>
            </w:pPr>
            <w:r>
              <w:t>125 kg</w:t>
            </w:r>
          </w:p>
          <w:p w14:paraId="702F41A3" w14:textId="77777777" w:rsidR="007B4CC7" w:rsidRDefault="007B4CC7" w:rsidP="00EF5B02">
            <w:pPr>
              <w:pStyle w:val="Pud2"/>
              <w:jc w:val="center"/>
            </w:pPr>
            <w:r>
              <w:t>125 kg</w:t>
            </w:r>
          </w:p>
          <w:p w14:paraId="5FF60C70" w14:textId="77777777" w:rsidR="007B4CC7" w:rsidRDefault="007B4CC7" w:rsidP="00EF5B02">
            <w:pPr>
              <w:pStyle w:val="Pu4d2"/>
              <w:jc w:val="center"/>
            </w:pPr>
          </w:p>
          <w:p w14:paraId="7D481933" w14:textId="77777777" w:rsidR="007B4CC7" w:rsidRDefault="007B4CC7" w:rsidP="00EF5B02">
            <w:pPr>
              <w:pStyle w:val="Pud2"/>
              <w:jc w:val="center"/>
            </w:pPr>
            <w:r>
              <w:t>125 kg</w:t>
            </w:r>
          </w:p>
          <w:p w14:paraId="51FBA4AD" w14:textId="77777777" w:rsidR="007B4CC7" w:rsidRPr="00E35622" w:rsidRDefault="007B4CC7" w:rsidP="00EF5B02">
            <w:pPr>
              <w:pStyle w:val="Pu2d4"/>
              <w:jc w:val="center"/>
            </w:pPr>
            <w:r>
              <w:t>125 kg</w:t>
            </w:r>
          </w:p>
        </w:tc>
      </w:tr>
      <w:tr w:rsidR="007B4CC7" w:rsidRPr="001D28C6" w14:paraId="301BBF0F" w14:textId="77777777" w:rsidTr="00EF5B02">
        <w:trPr>
          <w:trHeight w:val="20"/>
        </w:trPr>
        <w:tc>
          <w:tcPr>
            <w:tcW w:w="5000" w:type="pct"/>
            <w:gridSpan w:val="3"/>
            <w:tcBorders>
              <w:top w:val="single" w:sz="6" w:space="0" w:color="auto"/>
              <w:left w:val="single" w:sz="6" w:space="0" w:color="auto"/>
              <w:bottom w:val="single" w:sz="6" w:space="0" w:color="auto"/>
              <w:right w:val="single" w:sz="6" w:space="0" w:color="auto"/>
            </w:tcBorders>
            <w:shd w:val="clear" w:color="auto" w:fill="auto"/>
          </w:tcPr>
          <w:p w14:paraId="3AD8F42A" w14:textId="77777777" w:rsidR="007B4CC7" w:rsidRPr="001D28C6" w:rsidRDefault="007B4CC7" w:rsidP="00EF5B02">
            <w:pPr>
              <w:pStyle w:val="Pnormal"/>
              <w:rPr>
                <w:b/>
                <w:bCs/>
              </w:rPr>
            </w:pPr>
            <w:r w:rsidRPr="001D28C6">
              <w:rPr>
                <w:b/>
                <w:bCs/>
              </w:rPr>
              <w:t>Single packagings</w:t>
            </w:r>
          </w:p>
        </w:tc>
      </w:tr>
    </w:tbl>
    <w:p w14:paraId="5B0ACAEB" w14:textId="0BB5D9D7" w:rsidR="00C014B3" w:rsidRDefault="00C014B3" w:rsidP="00C014B3">
      <w:pPr>
        <w:pStyle w:val="H1G"/>
      </w:pPr>
      <w:r>
        <w:tab/>
        <w:t>9.</w:t>
      </w:r>
      <w:r>
        <w:tab/>
      </w:r>
      <w:r w:rsidR="00814B95">
        <w:t>Special packing provision in P603</w:t>
      </w:r>
    </w:p>
    <w:p w14:paraId="48178455" w14:textId="11B6CC6D" w:rsidR="00C014B3" w:rsidRDefault="003E4ECB" w:rsidP="00C014B3">
      <w:pPr>
        <w:pStyle w:val="SingleTxtG"/>
      </w:pPr>
      <w:r>
        <w:t>1</w:t>
      </w:r>
      <w:r w:rsidR="00C22F0D">
        <w:t>7</w:t>
      </w:r>
      <w:r w:rsidR="00C014B3">
        <w:t>.</w:t>
      </w:r>
      <w:r w:rsidR="00C014B3">
        <w:tab/>
      </w:r>
      <w:r w:rsidR="00347BE6">
        <w:t xml:space="preserve">P603 is the only packing instruction in the Model Regulations which contains a special packing </w:t>
      </w:r>
      <w:r w:rsidR="00863BB9">
        <w:t>provision</w:t>
      </w:r>
      <w:r w:rsidR="00347BE6">
        <w:t xml:space="preserve"> without a code.</w:t>
      </w:r>
      <w:r w:rsidR="001F5136">
        <w:t xml:space="preserve"> P603</w:t>
      </w:r>
      <w:r w:rsidR="006F257C">
        <w:t xml:space="preserve"> only applies to UN 3507</w:t>
      </w:r>
      <w:r w:rsidR="00FC4BC0">
        <w:t xml:space="preserve"> </w:t>
      </w:r>
      <w:r w:rsidR="00FC4BC0" w:rsidRPr="00FC4BC0">
        <w:t>URANIUM HEXAFLUORIDE, RADIOACTIVE MATERIAL, EXCEPTED PACKAGE, less than 0.1 kg per package, non-fissile or fissile-excepted</w:t>
      </w:r>
      <w:r w:rsidR="00FC4BC0">
        <w:t>.</w:t>
      </w:r>
      <w:r w:rsidR="00160AF0">
        <w:t xml:space="preserve"> The special packing provision reads: “</w:t>
      </w:r>
      <w:r w:rsidR="00826C87" w:rsidRPr="00826C87">
        <w:t>In the case of fissile-excepted material, limits specified in 2.7.2.3.5 shall be met.</w:t>
      </w:r>
      <w:r w:rsidR="00160AF0">
        <w:t>”.</w:t>
      </w:r>
    </w:p>
    <w:p w14:paraId="183E288A" w14:textId="579EF586" w:rsidR="00A719CC" w:rsidRDefault="003E4ECB" w:rsidP="00826C87">
      <w:pPr>
        <w:pStyle w:val="SingleTxtG"/>
        <w:rPr>
          <w:rFonts w:asciiTheme="majorBidi" w:hAnsiTheme="majorBidi" w:cstheme="majorBidi"/>
        </w:rPr>
      </w:pPr>
      <w:r>
        <w:t>1</w:t>
      </w:r>
      <w:r w:rsidR="00C22F0D">
        <w:t>8</w:t>
      </w:r>
      <w:r w:rsidR="00FC4BC0">
        <w:t>.</w:t>
      </w:r>
      <w:r w:rsidR="00FC4BC0">
        <w:tab/>
        <w:t>According to the guiding principles</w:t>
      </w:r>
      <w:r w:rsidR="000B72A5">
        <w:t xml:space="preserve"> </w:t>
      </w:r>
      <w:r w:rsidR="000B72A5">
        <w:rPr>
          <w:lang w:val="en-US"/>
        </w:rPr>
        <w:t>(part</w:t>
      </w:r>
      <w:r w:rsidR="00937BFE">
        <w:rPr>
          <w:lang w:val="en-US"/>
        </w:rPr>
        <w:t xml:space="preserve"> 4, A.</w:t>
      </w:r>
      <w:r w:rsidR="008D0EAF">
        <w:rPr>
          <w:lang w:val="en-US"/>
        </w:rPr>
        <w:t>2, §</w:t>
      </w:r>
      <w:r w:rsidR="00786C6E">
        <w:rPr>
          <w:lang w:val="en-US"/>
        </w:rPr>
        <w:t xml:space="preserve">9), </w:t>
      </w:r>
      <w:r w:rsidR="00F719C7">
        <w:rPr>
          <w:lang w:val="en-US"/>
        </w:rPr>
        <w:t xml:space="preserve">special packing provisions are used for </w:t>
      </w:r>
      <w:r w:rsidR="00F719C7" w:rsidRPr="00365AA6">
        <w:rPr>
          <w:rFonts w:asciiTheme="majorBidi" w:hAnsiTheme="majorBidi" w:cstheme="majorBidi"/>
        </w:rPr>
        <w:t>provisions which are relevant only for a small number of substances or articles among many others that are assigned to a particular packing instruction</w:t>
      </w:r>
      <w:r w:rsidR="00AB3228">
        <w:rPr>
          <w:rFonts w:asciiTheme="majorBidi" w:hAnsiTheme="majorBidi" w:cstheme="majorBidi"/>
        </w:rPr>
        <w:t>.</w:t>
      </w:r>
      <w:r w:rsidR="00443C53">
        <w:rPr>
          <w:rFonts w:asciiTheme="majorBidi" w:hAnsiTheme="majorBidi" w:cstheme="majorBidi"/>
        </w:rPr>
        <w:t xml:space="preserve"> </w:t>
      </w:r>
      <w:r w:rsidR="00CE46B3">
        <w:rPr>
          <w:rFonts w:asciiTheme="majorBidi" w:hAnsiTheme="majorBidi" w:cstheme="majorBidi"/>
        </w:rPr>
        <w:t>On one hand, s</w:t>
      </w:r>
      <w:r w:rsidR="00443C53">
        <w:rPr>
          <w:rFonts w:asciiTheme="majorBidi" w:hAnsiTheme="majorBidi" w:cstheme="majorBidi"/>
        </w:rPr>
        <w:t>ince P603 only applies to one UN number, one could argue that</w:t>
      </w:r>
      <w:r w:rsidR="00F4713B">
        <w:rPr>
          <w:rFonts w:asciiTheme="majorBidi" w:hAnsiTheme="majorBidi" w:cstheme="majorBidi"/>
        </w:rPr>
        <w:t xml:space="preserve"> it would be better to include this provision as an additional</w:t>
      </w:r>
      <w:r w:rsidR="00F6722A">
        <w:rPr>
          <w:rFonts w:asciiTheme="majorBidi" w:hAnsiTheme="majorBidi" w:cstheme="majorBidi"/>
        </w:rPr>
        <w:t xml:space="preserve"> requirement</w:t>
      </w:r>
      <w:r w:rsidR="003033F6">
        <w:rPr>
          <w:rFonts w:asciiTheme="majorBidi" w:hAnsiTheme="majorBidi" w:cstheme="majorBidi"/>
        </w:rPr>
        <w:t xml:space="preserve"> instead of as a special packing provision</w:t>
      </w:r>
      <w:r w:rsidR="00CE46B3">
        <w:rPr>
          <w:rFonts w:asciiTheme="majorBidi" w:hAnsiTheme="majorBidi" w:cstheme="majorBidi"/>
        </w:rPr>
        <w:t xml:space="preserve"> (</w:t>
      </w:r>
      <w:r w:rsidR="00CE46B3" w:rsidRPr="00B36030">
        <w:rPr>
          <w:rFonts w:asciiTheme="majorBidi" w:hAnsiTheme="majorBidi" w:cstheme="majorBidi"/>
        </w:rPr>
        <w:t>see proposal 9a</w:t>
      </w:r>
      <w:r w:rsidR="00B36030">
        <w:rPr>
          <w:rFonts w:asciiTheme="majorBidi" w:hAnsiTheme="majorBidi" w:cstheme="majorBidi"/>
        </w:rPr>
        <w:t xml:space="preserve"> below</w:t>
      </w:r>
      <w:r w:rsidR="00CE46B3">
        <w:rPr>
          <w:rFonts w:asciiTheme="majorBidi" w:hAnsiTheme="majorBidi" w:cstheme="majorBidi"/>
        </w:rPr>
        <w:t xml:space="preserve">). On the other hand, since this provision applies to </w:t>
      </w:r>
      <w:r w:rsidR="00CB5E32">
        <w:rPr>
          <w:rFonts w:asciiTheme="majorBidi" w:hAnsiTheme="majorBidi" w:cstheme="majorBidi"/>
        </w:rPr>
        <w:t>fissile-excepted material but not to non-fissile</w:t>
      </w:r>
      <w:r w:rsidR="00E7524F">
        <w:rPr>
          <w:rFonts w:asciiTheme="majorBidi" w:hAnsiTheme="majorBidi" w:cstheme="majorBidi"/>
        </w:rPr>
        <w:t xml:space="preserve"> material, one could argue </w:t>
      </w:r>
      <w:r w:rsidR="001F04D5">
        <w:rPr>
          <w:rFonts w:asciiTheme="majorBidi" w:hAnsiTheme="majorBidi" w:cstheme="majorBidi"/>
        </w:rPr>
        <w:t>that a special packing provision</w:t>
      </w:r>
      <w:r w:rsidR="00D9428A">
        <w:rPr>
          <w:rFonts w:asciiTheme="majorBidi" w:hAnsiTheme="majorBidi" w:cstheme="majorBidi"/>
        </w:rPr>
        <w:t xml:space="preserve"> is warranted. In this case, however, there seems to be no reason </w:t>
      </w:r>
      <w:r w:rsidR="00863BB9">
        <w:rPr>
          <w:rFonts w:asciiTheme="majorBidi" w:hAnsiTheme="majorBidi" w:cstheme="majorBidi"/>
        </w:rPr>
        <w:t xml:space="preserve">not </w:t>
      </w:r>
      <w:r w:rsidR="00D9428A">
        <w:rPr>
          <w:rFonts w:asciiTheme="majorBidi" w:hAnsiTheme="majorBidi" w:cstheme="majorBidi"/>
        </w:rPr>
        <w:t xml:space="preserve">to assign it a </w:t>
      </w:r>
      <w:r w:rsidR="00D17A2E">
        <w:rPr>
          <w:rFonts w:asciiTheme="majorBidi" w:hAnsiTheme="majorBidi" w:cstheme="majorBidi"/>
        </w:rPr>
        <w:t>code (proposal 9b</w:t>
      </w:r>
      <w:r w:rsidR="00FD36D7">
        <w:rPr>
          <w:rFonts w:asciiTheme="majorBidi" w:hAnsiTheme="majorBidi" w:cstheme="majorBidi"/>
        </w:rPr>
        <w:t xml:space="preserve"> below</w:t>
      </w:r>
      <w:r w:rsidR="00D17A2E">
        <w:rPr>
          <w:rFonts w:asciiTheme="majorBidi" w:hAnsiTheme="majorBidi" w:cstheme="majorBidi"/>
        </w:rPr>
        <w:t xml:space="preserve">). This would be </w:t>
      </w:r>
      <w:proofErr w:type="gramStart"/>
      <w:r w:rsidR="00D17A2E">
        <w:rPr>
          <w:rFonts w:asciiTheme="majorBidi" w:hAnsiTheme="majorBidi" w:cstheme="majorBidi"/>
        </w:rPr>
        <w:t>similar to</w:t>
      </w:r>
      <w:proofErr w:type="gramEnd"/>
      <w:r w:rsidR="00D17A2E">
        <w:rPr>
          <w:rFonts w:asciiTheme="majorBidi" w:hAnsiTheme="majorBidi" w:cstheme="majorBidi"/>
        </w:rPr>
        <w:t xml:space="preserve"> the case of</w:t>
      </w:r>
      <w:r w:rsidR="0013785C">
        <w:rPr>
          <w:rFonts w:asciiTheme="majorBidi" w:hAnsiTheme="majorBidi" w:cstheme="majorBidi"/>
        </w:rPr>
        <w:t xml:space="preserve"> P207, which only applie</w:t>
      </w:r>
      <w:r w:rsidR="00C7147F">
        <w:rPr>
          <w:rFonts w:asciiTheme="majorBidi" w:hAnsiTheme="majorBidi" w:cstheme="majorBidi"/>
        </w:rPr>
        <w:t>s</w:t>
      </w:r>
      <w:r w:rsidR="0013785C">
        <w:rPr>
          <w:rFonts w:asciiTheme="majorBidi" w:hAnsiTheme="majorBidi" w:cstheme="majorBidi"/>
        </w:rPr>
        <w:t xml:space="preserve"> to UN 1950 AEROSOLS but has a special packing provision (PP87) which only</w:t>
      </w:r>
      <w:r w:rsidR="00C7147F">
        <w:rPr>
          <w:rFonts w:asciiTheme="majorBidi" w:hAnsiTheme="majorBidi" w:cstheme="majorBidi"/>
        </w:rPr>
        <w:t xml:space="preserve"> applies to waste aerosols.</w:t>
      </w:r>
    </w:p>
    <w:p w14:paraId="26D2559C" w14:textId="173BB9EA" w:rsidR="00C7147F" w:rsidRPr="00826C87" w:rsidRDefault="003E4ECB" w:rsidP="00826C87">
      <w:pPr>
        <w:pStyle w:val="SingleTxtG"/>
        <w:rPr>
          <w:rFonts w:asciiTheme="majorBidi" w:hAnsiTheme="majorBidi" w:cstheme="majorBidi"/>
        </w:rPr>
      </w:pPr>
      <w:r>
        <w:rPr>
          <w:rFonts w:asciiTheme="majorBidi" w:hAnsiTheme="majorBidi" w:cstheme="majorBidi"/>
        </w:rPr>
        <w:t>1</w:t>
      </w:r>
      <w:r w:rsidR="006A4CE4">
        <w:rPr>
          <w:rFonts w:asciiTheme="majorBidi" w:hAnsiTheme="majorBidi" w:cstheme="majorBidi"/>
        </w:rPr>
        <w:t>9</w:t>
      </w:r>
      <w:r w:rsidR="00C7147F">
        <w:rPr>
          <w:rFonts w:asciiTheme="majorBidi" w:hAnsiTheme="majorBidi" w:cstheme="majorBidi"/>
        </w:rPr>
        <w:t>.</w:t>
      </w:r>
      <w:r w:rsidR="00C7147F">
        <w:rPr>
          <w:rFonts w:asciiTheme="majorBidi" w:hAnsiTheme="majorBidi" w:cstheme="majorBidi"/>
        </w:rPr>
        <w:tab/>
      </w:r>
      <w:r w:rsidR="00C7147F" w:rsidRPr="003407E3">
        <w:rPr>
          <w:rFonts w:asciiTheme="majorBidi" w:hAnsiTheme="majorBidi" w:cstheme="majorBidi"/>
          <w:b/>
          <w:bCs/>
        </w:rPr>
        <w:t>The Sub-Committee is requested to decide which of the following two proposal</w:t>
      </w:r>
      <w:r w:rsidR="003407E3">
        <w:rPr>
          <w:rFonts w:asciiTheme="majorBidi" w:hAnsiTheme="majorBidi" w:cstheme="majorBidi"/>
          <w:b/>
          <w:bCs/>
        </w:rPr>
        <w:t>s</w:t>
      </w:r>
      <w:r w:rsidR="00C7147F" w:rsidRPr="003407E3">
        <w:rPr>
          <w:rFonts w:asciiTheme="majorBidi" w:hAnsiTheme="majorBidi" w:cstheme="majorBidi"/>
          <w:b/>
          <w:bCs/>
        </w:rPr>
        <w:t>, if any, are more adequate</w:t>
      </w:r>
      <w:r w:rsidR="003407E3" w:rsidRPr="003407E3">
        <w:rPr>
          <w:rFonts w:asciiTheme="majorBidi" w:hAnsiTheme="majorBidi" w:cstheme="majorBidi"/>
          <w:b/>
          <w:bCs/>
        </w:rPr>
        <w:t>.</w:t>
      </w:r>
    </w:p>
    <w:p w14:paraId="493C82B3" w14:textId="12F51746" w:rsidR="00C014B3" w:rsidRDefault="00C014B3" w:rsidP="00C014B3">
      <w:pPr>
        <w:pStyle w:val="H23G"/>
      </w:pPr>
      <w:r>
        <w:tab/>
      </w:r>
      <w:r>
        <w:tab/>
        <w:t xml:space="preserve">Proposal </w:t>
      </w:r>
      <w:r w:rsidR="003407E3">
        <w:t>9a</w:t>
      </w:r>
    </w:p>
    <w:p w14:paraId="316EF45B" w14:textId="00307004" w:rsidR="00C014B3" w:rsidRDefault="00C014B3" w:rsidP="00C014B3">
      <w:pPr>
        <w:pStyle w:val="SingleTxtG"/>
        <w:ind w:left="2268" w:hanging="1134"/>
      </w:pPr>
      <w:r>
        <w:t xml:space="preserve">4.1.4.1, </w:t>
      </w:r>
      <w:r w:rsidR="003407E3">
        <w:t>P603</w:t>
      </w:r>
      <w:r>
        <w:tab/>
      </w:r>
      <w:r w:rsidR="0067596C">
        <w:t xml:space="preserve">Add a new additional requirement reading “4. </w:t>
      </w:r>
      <w:r w:rsidR="0067596C" w:rsidRPr="0067596C">
        <w:t>In the case of fissile-excepted material, limits specified in 2.7.2.3.5 shall be met.</w:t>
      </w:r>
      <w:r w:rsidR="0067596C">
        <w:t xml:space="preserve">”. Delete the </w:t>
      </w:r>
      <w:r w:rsidR="007B2014">
        <w:t>entire row for special packing provisions.</w:t>
      </w:r>
    </w:p>
    <w:p w14:paraId="28521FF8" w14:textId="77777777" w:rsidR="00985355" w:rsidRDefault="00985355">
      <w:pPr>
        <w:suppressAutoHyphens w:val="0"/>
        <w:kinsoku/>
        <w:overflowPunct/>
        <w:autoSpaceDE/>
        <w:autoSpaceDN/>
        <w:adjustRightInd/>
        <w:snapToGrid/>
        <w:spacing w:after="200" w:line="276" w:lineRule="auto"/>
        <w:rPr>
          <w:b/>
        </w:rPr>
      </w:pPr>
      <w:r>
        <w:br w:type="page"/>
      </w:r>
    </w:p>
    <w:p w14:paraId="4F68E8ED" w14:textId="3B151EA0" w:rsidR="007B2014" w:rsidRDefault="007B2014" w:rsidP="007B2014">
      <w:pPr>
        <w:pStyle w:val="H23G"/>
      </w:pPr>
      <w:r>
        <w:lastRenderedPageBreak/>
        <w:tab/>
      </w:r>
      <w:r>
        <w:tab/>
        <w:t>Proposal 9</w:t>
      </w:r>
      <w:r w:rsidR="004826FC">
        <w:t>b</w:t>
      </w:r>
    </w:p>
    <w:p w14:paraId="6732793F" w14:textId="13CEECD4" w:rsidR="002C6CB7" w:rsidRDefault="002C6CB7" w:rsidP="007B2014">
      <w:pPr>
        <w:pStyle w:val="SingleTxtG"/>
        <w:ind w:left="2268" w:hanging="1134"/>
      </w:pPr>
      <w:r>
        <w:t>3.2.2, UN 3507</w:t>
      </w:r>
      <w:r>
        <w:tab/>
        <w:t xml:space="preserve">In column </w:t>
      </w:r>
      <w:r w:rsidR="00854CEC">
        <w:t>(9), insert “PPXX”.</w:t>
      </w:r>
    </w:p>
    <w:p w14:paraId="06BCBBAB" w14:textId="6A7D6256" w:rsidR="007B2014" w:rsidRDefault="007B2014" w:rsidP="007B2014">
      <w:pPr>
        <w:pStyle w:val="SingleTxtG"/>
        <w:ind w:left="2268" w:hanging="1134"/>
      </w:pPr>
      <w:r>
        <w:t>4.1.4.1, P603</w:t>
      </w:r>
      <w:r>
        <w:tab/>
        <w:t>Assign code “PP</w:t>
      </w:r>
      <w:r w:rsidR="006520D2">
        <w:t>XX” to the existing special packing provision.</w:t>
      </w:r>
    </w:p>
    <w:p w14:paraId="08A10D0C" w14:textId="51C8F890" w:rsidR="00C014B3" w:rsidRDefault="00C014B3" w:rsidP="00C014B3">
      <w:pPr>
        <w:pStyle w:val="H1G"/>
      </w:pPr>
      <w:r>
        <w:tab/>
      </w:r>
      <w:r w:rsidR="003E4ECB">
        <w:t>10</w:t>
      </w:r>
      <w:r>
        <w:t>.</w:t>
      </w:r>
      <w:r>
        <w:tab/>
        <w:t>Other amendments</w:t>
      </w:r>
    </w:p>
    <w:p w14:paraId="257E2B80" w14:textId="2AC444E3" w:rsidR="00C014B3" w:rsidRDefault="006A4CE4" w:rsidP="00C014B3">
      <w:pPr>
        <w:pStyle w:val="SingleTxtG"/>
      </w:pPr>
      <w:r>
        <w:t>20</w:t>
      </w:r>
      <w:r w:rsidR="00C014B3">
        <w:t>.</w:t>
      </w:r>
      <w:r w:rsidR="00C014B3">
        <w:tab/>
        <w:t xml:space="preserve">Proposal </w:t>
      </w:r>
      <w:r w:rsidR="00985355">
        <w:t>10</w:t>
      </w:r>
      <w:r w:rsidR="00C014B3">
        <w:t xml:space="preserve"> contains a collection of minor amendments to improve consistency and readability.</w:t>
      </w:r>
    </w:p>
    <w:p w14:paraId="7457926E" w14:textId="5C587666" w:rsidR="00C014B3" w:rsidRDefault="00C014B3" w:rsidP="00C014B3">
      <w:pPr>
        <w:pStyle w:val="H23G"/>
      </w:pPr>
      <w:r>
        <w:tab/>
      </w:r>
      <w:r>
        <w:tab/>
        <w:t xml:space="preserve">Proposal </w:t>
      </w:r>
      <w:r w:rsidR="003E4ECB">
        <w:t>10</w:t>
      </w:r>
    </w:p>
    <w:p w14:paraId="5E998A5C" w14:textId="77777777" w:rsidR="00C014B3" w:rsidRDefault="00C014B3" w:rsidP="00C014B3">
      <w:pPr>
        <w:pStyle w:val="SingleTxtG"/>
        <w:ind w:left="2268" w:hanging="1134"/>
      </w:pPr>
      <w:r>
        <w:t>4.1.4.1, P208</w:t>
      </w:r>
      <w:r>
        <w:tab/>
        <w:t>In table 1, remove the header row containing column numbers.</w:t>
      </w:r>
    </w:p>
    <w:p w14:paraId="2565449C" w14:textId="6F938854" w:rsidR="001B3FF9" w:rsidRDefault="001B3FF9" w:rsidP="00E41948">
      <w:pPr>
        <w:pStyle w:val="SingleTxtG"/>
        <w:ind w:left="2268" w:hanging="1134"/>
      </w:pPr>
      <w:r>
        <w:t>4.1.4.1, P404</w:t>
      </w:r>
      <w:r>
        <w:tab/>
        <w:t>Amend the second row under the heading</w:t>
      </w:r>
      <w:r w:rsidR="00865E01">
        <w:t xml:space="preserve"> to read as follows: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9623"/>
      </w:tblGrid>
      <w:tr w:rsidR="001B3F02" w:rsidRPr="00517370" w14:paraId="1817F70D" w14:textId="77777777" w:rsidTr="00EF5B02">
        <w:trPr>
          <w:trHeight w:val="20"/>
          <w:jc w:val="center"/>
        </w:trPr>
        <w:tc>
          <w:tcPr>
            <w:tcW w:w="5000" w:type="pct"/>
          </w:tcPr>
          <w:p w14:paraId="594152B5" w14:textId="77777777" w:rsidR="001B3F02" w:rsidRPr="00517370" w:rsidRDefault="001B3F02" w:rsidP="00EF5B02">
            <w:pPr>
              <w:pStyle w:val="Ph08"/>
            </w:pPr>
            <w:r w:rsidRPr="00517370">
              <w:t xml:space="preserve">The following packagings are authorized, provided that the general provisions of </w:t>
            </w:r>
            <w:r w:rsidRPr="00EF5B02">
              <w:rPr>
                <w:b/>
                <w:bCs/>
              </w:rPr>
              <w:t>4.1.1</w:t>
            </w:r>
            <w:r w:rsidRPr="00517370">
              <w:t xml:space="preserve"> and </w:t>
            </w:r>
            <w:r w:rsidRPr="00EF5B02">
              <w:rPr>
                <w:b/>
                <w:bCs/>
              </w:rPr>
              <w:t>4.1.3</w:t>
            </w:r>
            <w:r w:rsidRPr="00517370">
              <w:t xml:space="preserve"> are met: </w:t>
            </w:r>
          </w:p>
          <w:p w14:paraId="3A0EBC67" w14:textId="77777777" w:rsidR="001B3F02" w:rsidRPr="00517370" w:rsidRDefault="001B3F02" w:rsidP="00EF5B02">
            <w:pPr>
              <w:pStyle w:val="Ph08"/>
            </w:pPr>
            <w:r w:rsidRPr="00517370">
              <w:t>(1)</w:t>
            </w:r>
            <w:r w:rsidRPr="00517370">
              <w:tab/>
              <w:t>Combination packagings</w:t>
            </w:r>
            <w:r>
              <w:t>:</w:t>
            </w:r>
          </w:p>
          <w:p w14:paraId="625E7C4E" w14:textId="77777777" w:rsidR="001B3F02" w:rsidRDefault="001B3F02" w:rsidP="00EF5B02">
            <w:pPr>
              <w:pStyle w:val="Pb08h08"/>
            </w:pPr>
            <w:r>
              <w:tab/>
            </w:r>
            <w:r w:rsidRPr="00517370">
              <w:t>Outer packagings:</w:t>
            </w:r>
          </w:p>
          <w:p w14:paraId="5DD3A1B6" w14:textId="77777777" w:rsidR="001B3F02" w:rsidRDefault="001B3F02" w:rsidP="00EF5B02">
            <w:pPr>
              <w:pStyle w:val="Pb16h08"/>
            </w:pPr>
            <w:r>
              <w:tab/>
              <w:t xml:space="preserve">Drums </w:t>
            </w:r>
            <w:r w:rsidRPr="00517370">
              <w:t>(1A1, 1A2, 1B1, 1B2, 1N1, 1N2, 1H1, 1H2, 1D, 1G</w:t>
            </w:r>
            <w:proofErr w:type="gramStart"/>
            <w:r>
              <w:t>);</w:t>
            </w:r>
            <w:proofErr w:type="gramEnd"/>
          </w:p>
          <w:p w14:paraId="1AEFBA1B" w14:textId="77777777" w:rsidR="001B3F02" w:rsidRPr="00517370" w:rsidRDefault="001B3F02" w:rsidP="00EF5B02">
            <w:pPr>
              <w:pStyle w:val="Pb16h08"/>
            </w:pPr>
            <w:r>
              <w:tab/>
              <w:t>Boxes (</w:t>
            </w:r>
            <w:r w:rsidRPr="00517370">
              <w:t>4A, 4B, 4N, 4C1,4C2, 4D,</w:t>
            </w:r>
            <w:r>
              <w:t xml:space="preserve"> </w:t>
            </w:r>
            <w:r w:rsidRPr="00517370">
              <w:t>4F, 4G or 4H2)</w:t>
            </w:r>
            <w:r>
              <w:t>.</w:t>
            </w:r>
          </w:p>
          <w:p w14:paraId="79C3625D" w14:textId="77777777" w:rsidR="001B3F02" w:rsidRDefault="001B3F02" w:rsidP="00EF5B02">
            <w:pPr>
              <w:pStyle w:val="Pb08h08"/>
            </w:pPr>
            <w:r>
              <w:tab/>
            </w:r>
            <w:r w:rsidRPr="00517370">
              <w:t>Inner packagings:</w:t>
            </w:r>
          </w:p>
          <w:p w14:paraId="57A191B4" w14:textId="77777777" w:rsidR="001B3F02" w:rsidRPr="00517370" w:rsidRDefault="001B3F02" w:rsidP="00EF5B02">
            <w:pPr>
              <w:pStyle w:val="Pb16h08"/>
            </w:pPr>
            <w:r>
              <w:tab/>
            </w:r>
            <w:r w:rsidRPr="00517370">
              <w:t xml:space="preserve">Metal receptacles with a maximum net mass of 15 kg each. Inner packagings shall be hermetically </w:t>
            </w:r>
            <w:proofErr w:type="gramStart"/>
            <w:r w:rsidRPr="00517370">
              <w:t>sealed;</w:t>
            </w:r>
            <w:proofErr w:type="gramEnd"/>
          </w:p>
          <w:p w14:paraId="6C5F9369" w14:textId="77777777" w:rsidR="001B3F02" w:rsidRPr="00517370" w:rsidRDefault="001B3F02" w:rsidP="00EF5B02">
            <w:pPr>
              <w:pStyle w:val="Pb16h08"/>
            </w:pPr>
            <w:r w:rsidRPr="00517370">
              <w:tab/>
              <w:t xml:space="preserve">Glass receptacles, with a maximum net mass of 1 kg each, having closures with gaskets, cushioned on all </w:t>
            </w:r>
            <w:proofErr w:type="gramStart"/>
            <w:r w:rsidRPr="00517370">
              <w:t>sides</w:t>
            </w:r>
            <w:proofErr w:type="gramEnd"/>
            <w:r w:rsidRPr="00517370">
              <w:t xml:space="preserve"> and contained in hermetically sealed metal cans.</w:t>
            </w:r>
          </w:p>
          <w:p w14:paraId="29A70800" w14:textId="77777777" w:rsidR="001B3F02" w:rsidRPr="00517370" w:rsidRDefault="001B3F02" w:rsidP="00EF5B02">
            <w:pPr>
              <w:pStyle w:val="Ph08"/>
            </w:pPr>
            <w:r>
              <w:tab/>
            </w:r>
            <w:r w:rsidRPr="00517370">
              <w:t>Outer packagings shall have a maximum net mass of 125 kg.</w:t>
            </w:r>
          </w:p>
          <w:p w14:paraId="07EAAE5D" w14:textId="77777777" w:rsidR="001B3F02" w:rsidRPr="00517370" w:rsidRDefault="001B3F02" w:rsidP="00EF5B02">
            <w:pPr>
              <w:pStyle w:val="Ph08"/>
            </w:pPr>
            <w:r>
              <w:tab/>
            </w:r>
            <w:r w:rsidRPr="00517370">
              <w:t>Inner packagings shall have threaded closures or closures physically held in place by any means capable of preventing back-off or loosening of the closure by impact or vibration during transport.</w:t>
            </w:r>
          </w:p>
          <w:p w14:paraId="512FC867" w14:textId="77777777" w:rsidR="001B3F02" w:rsidRDefault="001B3F02" w:rsidP="00EF5B02">
            <w:pPr>
              <w:pStyle w:val="Ph08"/>
            </w:pPr>
            <w:r w:rsidRPr="00517370">
              <w:t>(2)</w:t>
            </w:r>
            <w:r w:rsidRPr="00517370">
              <w:tab/>
              <w:t>Metal packagings:</w:t>
            </w:r>
          </w:p>
          <w:p w14:paraId="3127EE1C" w14:textId="77777777" w:rsidR="001B3F02" w:rsidRDefault="001B3F02" w:rsidP="00EF5B02">
            <w:pPr>
              <w:pStyle w:val="Pb08h08"/>
            </w:pPr>
            <w:r>
              <w:tab/>
              <w:t xml:space="preserve">Drums </w:t>
            </w:r>
            <w:r w:rsidRPr="00517370">
              <w:t>(1A1, 1A2, 1B1, 1B2, 1N1, 1N2</w:t>
            </w:r>
            <w:proofErr w:type="gramStart"/>
            <w:r>
              <w:t>);</w:t>
            </w:r>
            <w:proofErr w:type="gramEnd"/>
          </w:p>
          <w:p w14:paraId="63E68814" w14:textId="77777777" w:rsidR="001B3F02" w:rsidRDefault="001B3F02" w:rsidP="00EF5B02">
            <w:pPr>
              <w:pStyle w:val="Pb08h08"/>
            </w:pPr>
            <w:r>
              <w:tab/>
              <w:t>Jerricans (</w:t>
            </w:r>
            <w:r w:rsidRPr="00517370">
              <w:t>3A1, 3A2, 3B1 and 3B2).</w:t>
            </w:r>
          </w:p>
          <w:p w14:paraId="1DFF544A" w14:textId="77777777" w:rsidR="001B3F02" w:rsidRPr="00517370" w:rsidRDefault="001B3F02" w:rsidP="00EF5B02">
            <w:pPr>
              <w:pStyle w:val="Pb08h08"/>
            </w:pPr>
            <w:r w:rsidRPr="00517370">
              <w:t>Maximum gross mass: 150 kg</w:t>
            </w:r>
          </w:p>
          <w:p w14:paraId="6751595F" w14:textId="77777777" w:rsidR="001B3F02" w:rsidRDefault="001B3F02" w:rsidP="00EF5B02">
            <w:pPr>
              <w:pStyle w:val="Ph08"/>
            </w:pPr>
            <w:r w:rsidRPr="00517370">
              <w:t>(3)</w:t>
            </w:r>
            <w:r w:rsidRPr="00517370">
              <w:tab/>
              <w:t>Composite packagings:</w:t>
            </w:r>
          </w:p>
          <w:p w14:paraId="36DE7E15" w14:textId="77777777" w:rsidR="001B3F02" w:rsidRDefault="001B3F02" w:rsidP="00EF5B02">
            <w:pPr>
              <w:pStyle w:val="Pb08h08"/>
            </w:pPr>
            <w:r>
              <w:tab/>
            </w:r>
            <w:r w:rsidRPr="00517370">
              <w:t>Plastics receptacle in a steel or aluminium drum (6HA1 or 6HB1)</w:t>
            </w:r>
            <w:r>
              <w:t>.</w:t>
            </w:r>
          </w:p>
          <w:p w14:paraId="1097CD0A" w14:textId="77777777" w:rsidR="001B3F02" w:rsidRPr="00517370" w:rsidRDefault="001B3F02" w:rsidP="00EF5B02">
            <w:pPr>
              <w:pStyle w:val="Pb08h08"/>
            </w:pPr>
            <w:r w:rsidRPr="00517370">
              <w:t>Maximum gross mass: 150 kg</w:t>
            </w:r>
          </w:p>
          <w:p w14:paraId="2AA1B135" w14:textId="77777777" w:rsidR="001B3F02" w:rsidRPr="00517370" w:rsidRDefault="001B3F02" w:rsidP="00EF5B02">
            <w:pPr>
              <w:pStyle w:val="Ph08"/>
            </w:pPr>
            <w:r>
              <w:t>(4)</w:t>
            </w:r>
            <w:r>
              <w:tab/>
            </w:r>
            <w:r w:rsidRPr="00517370">
              <w:t>Pressure receptacles, provided that the general provisions of 4.1.3.6 are met.</w:t>
            </w:r>
          </w:p>
        </w:tc>
      </w:tr>
    </w:tbl>
    <w:p w14:paraId="354EB934" w14:textId="77777777" w:rsidR="00E41948" w:rsidRPr="00163701" w:rsidRDefault="00E41948" w:rsidP="00AD0F31">
      <w:pPr>
        <w:pStyle w:val="SingleTxtG"/>
        <w:spacing w:before="120"/>
        <w:ind w:left="2268" w:hanging="1134"/>
      </w:pPr>
      <w:r>
        <w:t>4.1.4.1, P520</w:t>
      </w:r>
      <w:r>
        <w:tab/>
        <w:t>In (1), replace “, jerricans” by “and jerricans”.</w:t>
      </w:r>
    </w:p>
    <w:p w14:paraId="6DED21DD" w14:textId="77777777" w:rsidR="008F43F8" w:rsidRPr="00163701" w:rsidRDefault="008F43F8" w:rsidP="008F43F8">
      <w:pPr>
        <w:pStyle w:val="SingleTxtG"/>
        <w:ind w:left="2268" w:hanging="1134"/>
      </w:pPr>
      <w:r>
        <w:t>4.1.4.1, P910</w:t>
      </w:r>
      <w:r>
        <w:tab/>
        <w:t>In the additional requirement, at the end of the first sentence, replace the semicolon by a full stop and delete the paragraph break so that the first two sentences are displayed in a single paragraph.</w:t>
      </w:r>
    </w:p>
    <w:p w14:paraId="3E019220" w14:textId="77777777" w:rsidR="004E1CE4" w:rsidRPr="00163701" w:rsidRDefault="004E1CE4" w:rsidP="004E1CE4">
      <w:pPr>
        <w:pStyle w:val="SingleTxtG"/>
        <w:ind w:left="2268" w:hanging="1134"/>
      </w:pPr>
      <w:r>
        <w:t>4.1.4.2, IBC520</w:t>
      </w:r>
      <w:r>
        <w:tab/>
        <w:t>For UN 3109, in the entry for “</w:t>
      </w:r>
      <w:r w:rsidRPr="006565BC">
        <w:t>tert-Butyl hydroperoxide, not more than 72 % with water</w:t>
      </w:r>
      <w:r>
        <w:t>”, remove the horizontal line between the rows for IBC types “31A” and “31HA1”.</w:t>
      </w:r>
    </w:p>
    <w:p w14:paraId="53BAE908" w14:textId="0C796A7B" w:rsidR="004E1CE4" w:rsidRPr="00163701" w:rsidRDefault="004E1CE4" w:rsidP="004E1CE4">
      <w:pPr>
        <w:pStyle w:val="SingleTxtG"/>
        <w:ind w:left="2268" w:hanging="1134"/>
      </w:pPr>
      <w:r>
        <w:t>4.1.4.</w:t>
      </w:r>
      <w:r w:rsidR="0011715D">
        <w:t>3, LP</w:t>
      </w:r>
      <w:r w:rsidR="00D96C8F">
        <w:t>906</w:t>
      </w:r>
      <w:r w:rsidR="00D96C8F">
        <w:tab/>
        <w:t xml:space="preserve">In the second row under the heading, in the second sentence, replace “For a </w:t>
      </w:r>
      <w:proofErr w:type="gramStart"/>
      <w:r w:rsidR="00D96C8F">
        <w:t>batteries</w:t>
      </w:r>
      <w:proofErr w:type="gramEnd"/>
      <w:r w:rsidR="00D96C8F">
        <w:t>” by “For batteries”</w:t>
      </w:r>
      <w:r>
        <w:t>.</w:t>
      </w:r>
    </w:p>
    <w:p w14:paraId="3C4173EF" w14:textId="6C53C51F" w:rsidR="00163701" w:rsidRPr="00546553" w:rsidRDefault="00546553" w:rsidP="00546553">
      <w:pPr>
        <w:spacing w:before="240"/>
        <w:jc w:val="center"/>
        <w:rPr>
          <w:u w:val="single"/>
          <w:lang w:val="en-US"/>
        </w:rPr>
      </w:pPr>
      <w:r>
        <w:rPr>
          <w:u w:val="single"/>
          <w:lang w:val="en-US"/>
        </w:rPr>
        <w:tab/>
      </w:r>
      <w:r>
        <w:rPr>
          <w:u w:val="single"/>
          <w:lang w:val="en-US"/>
        </w:rPr>
        <w:tab/>
      </w:r>
      <w:r>
        <w:rPr>
          <w:u w:val="single"/>
          <w:lang w:val="en-US"/>
        </w:rPr>
        <w:tab/>
      </w:r>
    </w:p>
    <w:sectPr w:rsidR="00163701" w:rsidRPr="00546553" w:rsidSect="00FA31FC">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EB6D5" w14:textId="77777777" w:rsidR="00A53721" w:rsidRPr="00C47B2E" w:rsidRDefault="00A53721" w:rsidP="00C47B2E">
      <w:pPr>
        <w:pStyle w:val="Footer"/>
      </w:pPr>
    </w:p>
  </w:endnote>
  <w:endnote w:type="continuationSeparator" w:id="0">
    <w:p w14:paraId="65E2C0BA" w14:textId="77777777" w:rsidR="00A53721" w:rsidRPr="00C47B2E" w:rsidRDefault="00A53721" w:rsidP="00C47B2E">
      <w:pPr>
        <w:pStyle w:val="Footer"/>
      </w:pPr>
    </w:p>
  </w:endnote>
  <w:endnote w:type="continuationNotice" w:id="1">
    <w:p w14:paraId="2FA72EF5" w14:textId="77777777" w:rsidR="00A53721" w:rsidRPr="00C47B2E" w:rsidRDefault="00A5372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98C4" w14:textId="32B17B1E" w:rsidR="00D94B05" w:rsidRPr="00FA31FC" w:rsidRDefault="00FA31FC" w:rsidP="00FA31FC">
    <w:pPr>
      <w:pStyle w:val="Footer"/>
      <w:tabs>
        <w:tab w:val="right" w:pos="9598"/>
        <w:tab w:val="right" w:pos="9638"/>
      </w:tabs>
      <w:rPr>
        <w:sz w:val="18"/>
      </w:rPr>
    </w:pPr>
    <w:r w:rsidRPr="00FA31FC">
      <w:rPr>
        <w:b/>
        <w:sz w:val="18"/>
      </w:rPr>
      <w:fldChar w:fldCharType="begin"/>
    </w:r>
    <w:r w:rsidRPr="00FA31FC">
      <w:rPr>
        <w:b/>
        <w:sz w:val="18"/>
      </w:rPr>
      <w:instrText xml:space="preserve"> PAGE  \* MERGEFORMAT </w:instrText>
    </w:r>
    <w:r w:rsidRPr="00FA31FC">
      <w:rPr>
        <w:b/>
        <w:sz w:val="18"/>
      </w:rPr>
      <w:fldChar w:fldCharType="separate"/>
    </w:r>
    <w:r w:rsidRPr="00FA31FC">
      <w:rPr>
        <w:b/>
        <w:noProof/>
        <w:sz w:val="18"/>
      </w:rPr>
      <w:t>2</w:t>
    </w:r>
    <w:r w:rsidRPr="00FA31F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FB06" w14:textId="4A23D25C" w:rsidR="00D94B05" w:rsidRPr="00FA31FC" w:rsidRDefault="00FA31FC" w:rsidP="00834DBC">
    <w:pPr>
      <w:pStyle w:val="Footer"/>
      <w:tabs>
        <w:tab w:val="right" w:pos="9598"/>
        <w:tab w:val="right" w:pos="9638"/>
      </w:tabs>
      <w:rPr>
        <w:sz w:val="18"/>
      </w:rPr>
    </w:pPr>
    <w:r>
      <w:rPr>
        <w:b/>
        <w:sz w:val="18"/>
      </w:rPr>
      <w:tab/>
    </w:r>
    <w:r w:rsidRPr="00FA31FC">
      <w:rPr>
        <w:sz w:val="18"/>
      </w:rPr>
      <w:fldChar w:fldCharType="begin"/>
    </w:r>
    <w:r w:rsidRPr="00FA31FC">
      <w:rPr>
        <w:sz w:val="18"/>
      </w:rPr>
      <w:instrText xml:space="preserve"> PAGE  \* MERGEFORMAT </w:instrText>
    </w:r>
    <w:r w:rsidRPr="00FA31FC">
      <w:rPr>
        <w:sz w:val="18"/>
      </w:rPr>
      <w:fldChar w:fldCharType="separate"/>
    </w:r>
    <w:r w:rsidRPr="00FA31FC">
      <w:rPr>
        <w:noProof/>
        <w:sz w:val="18"/>
      </w:rPr>
      <w:t>3</w:t>
    </w:r>
    <w:r w:rsidRPr="00FA31FC">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0648" w14:textId="77777777" w:rsidR="00D94B05" w:rsidRPr="00FA31FC"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18DFDD03" wp14:editId="5F2E7290">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3EB4E" w14:textId="77777777" w:rsidR="00A53721" w:rsidRPr="00C47B2E" w:rsidRDefault="00A53721" w:rsidP="00C47B2E">
      <w:pPr>
        <w:tabs>
          <w:tab w:val="right" w:pos="2155"/>
        </w:tabs>
        <w:spacing w:after="80" w:line="240" w:lineRule="auto"/>
        <w:ind w:left="680"/>
      </w:pPr>
      <w:r>
        <w:rPr>
          <w:u w:val="single"/>
        </w:rPr>
        <w:tab/>
      </w:r>
    </w:p>
  </w:footnote>
  <w:footnote w:type="continuationSeparator" w:id="0">
    <w:p w14:paraId="1612D291" w14:textId="77777777" w:rsidR="00A53721" w:rsidRPr="00C47B2E" w:rsidRDefault="00A53721" w:rsidP="005E716E">
      <w:pPr>
        <w:tabs>
          <w:tab w:val="right" w:pos="2155"/>
        </w:tabs>
        <w:spacing w:after="80" w:line="240" w:lineRule="auto"/>
        <w:ind w:left="680"/>
      </w:pPr>
      <w:r>
        <w:rPr>
          <w:u w:val="single"/>
        </w:rPr>
        <w:tab/>
      </w:r>
    </w:p>
  </w:footnote>
  <w:footnote w:type="continuationNotice" w:id="1">
    <w:p w14:paraId="7A6BE554" w14:textId="77777777" w:rsidR="00A53721" w:rsidRPr="00C47B2E" w:rsidRDefault="00A53721" w:rsidP="00C47B2E">
      <w:pPr>
        <w:pStyle w:val="Footer"/>
      </w:pPr>
    </w:p>
  </w:footnote>
  <w:footnote w:id="2">
    <w:p w14:paraId="2610A253" w14:textId="77777777" w:rsidR="00673144" w:rsidRPr="00653AAE" w:rsidRDefault="00673144" w:rsidP="00673144">
      <w:pPr>
        <w:pStyle w:val="FootnoteText"/>
        <w:rPr>
          <w:lang w:val="fr-CH"/>
        </w:rPr>
      </w:pPr>
      <w:r>
        <w:rPr>
          <w:rStyle w:val="FootnoteReference"/>
        </w:rPr>
        <w:tab/>
      </w:r>
      <w:r w:rsidRPr="00653AAE">
        <w:rPr>
          <w:rStyle w:val="FootnoteReference"/>
          <w:sz w:val="20"/>
          <w:vertAlign w:val="baseline"/>
        </w:rPr>
        <w:t>*</w:t>
      </w:r>
      <w:r>
        <w:rPr>
          <w:rStyle w:val="FootnoteReference"/>
          <w:sz w:val="20"/>
          <w:vertAlign w:val="baseline"/>
        </w:rPr>
        <w:tab/>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3FD8" w14:textId="26D21EA6" w:rsidR="00FA31FC" w:rsidRPr="00FA31FC" w:rsidRDefault="0084554E">
    <w:pPr>
      <w:pStyle w:val="Header"/>
    </w:pPr>
    <w:fldSimple w:instr=" TITLE  \* MERGEFORMAT ">
      <w:r w:rsidR="0068205F">
        <w:t>ST/SG/AC.10/C.3/2022/76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6E9D" w14:textId="0DB6664C" w:rsidR="00D94B05" w:rsidRPr="00FA31FC" w:rsidRDefault="0084554E" w:rsidP="00FA31FC">
    <w:pPr>
      <w:pStyle w:val="Header"/>
      <w:jc w:val="right"/>
    </w:pPr>
    <w:fldSimple w:instr=" TITLE  \* MERGEFORMAT ">
      <w:r w:rsidR="0068205F">
        <w:t>ST/SG/AC.10/C.3/2022/76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FC"/>
    <w:rsid w:val="0000364F"/>
    <w:rsid w:val="00005AD9"/>
    <w:rsid w:val="000069EF"/>
    <w:rsid w:val="000071EA"/>
    <w:rsid w:val="000123A1"/>
    <w:rsid w:val="000158D3"/>
    <w:rsid w:val="00021DCE"/>
    <w:rsid w:val="00027DA5"/>
    <w:rsid w:val="00027DC6"/>
    <w:rsid w:val="000371BA"/>
    <w:rsid w:val="00040BEB"/>
    <w:rsid w:val="00044638"/>
    <w:rsid w:val="00046E92"/>
    <w:rsid w:val="000514F3"/>
    <w:rsid w:val="0005488B"/>
    <w:rsid w:val="00055E99"/>
    <w:rsid w:val="0006004F"/>
    <w:rsid w:val="00063C90"/>
    <w:rsid w:val="00071003"/>
    <w:rsid w:val="000758A0"/>
    <w:rsid w:val="0007756B"/>
    <w:rsid w:val="000819ED"/>
    <w:rsid w:val="000831FD"/>
    <w:rsid w:val="00083910"/>
    <w:rsid w:val="00083D85"/>
    <w:rsid w:val="00084005"/>
    <w:rsid w:val="000909D7"/>
    <w:rsid w:val="00090A65"/>
    <w:rsid w:val="000972AA"/>
    <w:rsid w:val="000B72A5"/>
    <w:rsid w:val="000C6D28"/>
    <w:rsid w:val="000C74F6"/>
    <w:rsid w:val="000D0327"/>
    <w:rsid w:val="000D171A"/>
    <w:rsid w:val="000D68C0"/>
    <w:rsid w:val="000D6C86"/>
    <w:rsid w:val="000E3F60"/>
    <w:rsid w:val="000E439B"/>
    <w:rsid w:val="000E4E29"/>
    <w:rsid w:val="000F6F3D"/>
    <w:rsid w:val="00101B98"/>
    <w:rsid w:val="00106746"/>
    <w:rsid w:val="001111A8"/>
    <w:rsid w:val="0011715D"/>
    <w:rsid w:val="001216A1"/>
    <w:rsid w:val="001316CB"/>
    <w:rsid w:val="0013785C"/>
    <w:rsid w:val="001514D1"/>
    <w:rsid w:val="00160A63"/>
    <w:rsid w:val="00160AF0"/>
    <w:rsid w:val="00163701"/>
    <w:rsid w:val="001661A6"/>
    <w:rsid w:val="001671F8"/>
    <w:rsid w:val="0017048C"/>
    <w:rsid w:val="0017084C"/>
    <w:rsid w:val="00183D95"/>
    <w:rsid w:val="00191316"/>
    <w:rsid w:val="00192A8C"/>
    <w:rsid w:val="001A6080"/>
    <w:rsid w:val="001B3F02"/>
    <w:rsid w:val="001B3FF9"/>
    <w:rsid w:val="001B7446"/>
    <w:rsid w:val="001C1451"/>
    <w:rsid w:val="001C4182"/>
    <w:rsid w:val="001D039E"/>
    <w:rsid w:val="001D04DF"/>
    <w:rsid w:val="001D3583"/>
    <w:rsid w:val="001D3E9E"/>
    <w:rsid w:val="001E29AC"/>
    <w:rsid w:val="001E5685"/>
    <w:rsid w:val="001E5A09"/>
    <w:rsid w:val="001F0349"/>
    <w:rsid w:val="001F04D5"/>
    <w:rsid w:val="001F29FA"/>
    <w:rsid w:val="001F5136"/>
    <w:rsid w:val="00205630"/>
    <w:rsid w:val="00206A70"/>
    <w:rsid w:val="002172A1"/>
    <w:rsid w:val="002221C6"/>
    <w:rsid w:val="00223E8A"/>
    <w:rsid w:val="00226EEE"/>
    <w:rsid w:val="00230AB0"/>
    <w:rsid w:val="00240236"/>
    <w:rsid w:val="002404D0"/>
    <w:rsid w:val="00240FA9"/>
    <w:rsid w:val="002410D8"/>
    <w:rsid w:val="00242A5F"/>
    <w:rsid w:val="00242D5F"/>
    <w:rsid w:val="00247E2C"/>
    <w:rsid w:val="00252EB8"/>
    <w:rsid w:val="00261085"/>
    <w:rsid w:val="0026276A"/>
    <w:rsid w:val="0027333A"/>
    <w:rsid w:val="00273C8B"/>
    <w:rsid w:val="00274581"/>
    <w:rsid w:val="00275511"/>
    <w:rsid w:val="00283FB9"/>
    <w:rsid w:val="00287F38"/>
    <w:rsid w:val="00292D24"/>
    <w:rsid w:val="002A32CB"/>
    <w:rsid w:val="002A471C"/>
    <w:rsid w:val="002B245D"/>
    <w:rsid w:val="002B4117"/>
    <w:rsid w:val="002C1528"/>
    <w:rsid w:val="002C650F"/>
    <w:rsid w:val="002C6CB7"/>
    <w:rsid w:val="002D4597"/>
    <w:rsid w:val="002D5B2C"/>
    <w:rsid w:val="002D6C53"/>
    <w:rsid w:val="002E0148"/>
    <w:rsid w:val="002F03C5"/>
    <w:rsid w:val="002F5595"/>
    <w:rsid w:val="002F5DE8"/>
    <w:rsid w:val="00302DA7"/>
    <w:rsid w:val="00303068"/>
    <w:rsid w:val="003033F6"/>
    <w:rsid w:val="0030426D"/>
    <w:rsid w:val="003253B0"/>
    <w:rsid w:val="00330365"/>
    <w:rsid w:val="00334F6A"/>
    <w:rsid w:val="003407E3"/>
    <w:rsid w:val="00342AC8"/>
    <w:rsid w:val="00343302"/>
    <w:rsid w:val="00347BE6"/>
    <w:rsid w:val="003506EA"/>
    <w:rsid w:val="00350DAF"/>
    <w:rsid w:val="00352A54"/>
    <w:rsid w:val="00355248"/>
    <w:rsid w:val="0036723F"/>
    <w:rsid w:val="0037215F"/>
    <w:rsid w:val="003761C2"/>
    <w:rsid w:val="00376484"/>
    <w:rsid w:val="00377BD6"/>
    <w:rsid w:val="0038260D"/>
    <w:rsid w:val="003828AC"/>
    <w:rsid w:val="00397668"/>
    <w:rsid w:val="003979DE"/>
    <w:rsid w:val="003A713C"/>
    <w:rsid w:val="003A76D9"/>
    <w:rsid w:val="003B054A"/>
    <w:rsid w:val="003B4550"/>
    <w:rsid w:val="003C11DA"/>
    <w:rsid w:val="003C37DF"/>
    <w:rsid w:val="003D1328"/>
    <w:rsid w:val="003D2A18"/>
    <w:rsid w:val="003E2854"/>
    <w:rsid w:val="003E34DD"/>
    <w:rsid w:val="003E4ECB"/>
    <w:rsid w:val="0040779E"/>
    <w:rsid w:val="0041168D"/>
    <w:rsid w:val="00413386"/>
    <w:rsid w:val="00414520"/>
    <w:rsid w:val="00421493"/>
    <w:rsid w:val="00422683"/>
    <w:rsid w:val="00422DB3"/>
    <w:rsid w:val="00425B82"/>
    <w:rsid w:val="00443C53"/>
    <w:rsid w:val="00453268"/>
    <w:rsid w:val="00461253"/>
    <w:rsid w:val="00464C62"/>
    <w:rsid w:val="0047684A"/>
    <w:rsid w:val="004826FC"/>
    <w:rsid w:val="004830CE"/>
    <w:rsid w:val="004858F5"/>
    <w:rsid w:val="004879B0"/>
    <w:rsid w:val="00491D01"/>
    <w:rsid w:val="004A2249"/>
    <w:rsid w:val="004A2814"/>
    <w:rsid w:val="004B04AD"/>
    <w:rsid w:val="004B2317"/>
    <w:rsid w:val="004B5DF7"/>
    <w:rsid w:val="004B7386"/>
    <w:rsid w:val="004C0622"/>
    <w:rsid w:val="004C09AF"/>
    <w:rsid w:val="004D0B2A"/>
    <w:rsid w:val="004D4D17"/>
    <w:rsid w:val="004D7D83"/>
    <w:rsid w:val="004E1CE4"/>
    <w:rsid w:val="004E2450"/>
    <w:rsid w:val="004E5E46"/>
    <w:rsid w:val="005005BB"/>
    <w:rsid w:val="00501D1F"/>
    <w:rsid w:val="005042C2"/>
    <w:rsid w:val="005145A4"/>
    <w:rsid w:val="00517872"/>
    <w:rsid w:val="005204A2"/>
    <w:rsid w:val="00525C64"/>
    <w:rsid w:val="00530849"/>
    <w:rsid w:val="00535F37"/>
    <w:rsid w:val="00546553"/>
    <w:rsid w:val="00561C1C"/>
    <w:rsid w:val="00564209"/>
    <w:rsid w:val="0057561C"/>
    <w:rsid w:val="005819CE"/>
    <w:rsid w:val="00585167"/>
    <w:rsid w:val="00590252"/>
    <w:rsid w:val="00592376"/>
    <w:rsid w:val="005A25B6"/>
    <w:rsid w:val="005A2EF3"/>
    <w:rsid w:val="005A3B00"/>
    <w:rsid w:val="005B3198"/>
    <w:rsid w:val="005B7E1C"/>
    <w:rsid w:val="005C0309"/>
    <w:rsid w:val="005C16A8"/>
    <w:rsid w:val="005C27C7"/>
    <w:rsid w:val="005D115C"/>
    <w:rsid w:val="005D2964"/>
    <w:rsid w:val="005E56C6"/>
    <w:rsid w:val="005E5AEE"/>
    <w:rsid w:val="005E65B5"/>
    <w:rsid w:val="005E716E"/>
    <w:rsid w:val="00602D2C"/>
    <w:rsid w:val="00636EDD"/>
    <w:rsid w:val="00641703"/>
    <w:rsid w:val="00645B4B"/>
    <w:rsid w:val="006476E1"/>
    <w:rsid w:val="00650E13"/>
    <w:rsid w:val="006520D2"/>
    <w:rsid w:val="00654A2C"/>
    <w:rsid w:val="006565BC"/>
    <w:rsid w:val="006604A2"/>
    <w:rsid w:val="006604DF"/>
    <w:rsid w:val="00663F8D"/>
    <w:rsid w:val="006679A8"/>
    <w:rsid w:val="00671529"/>
    <w:rsid w:val="00673144"/>
    <w:rsid w:val="0067596C"/>
    <w:rsid w:val="0068205F"/>
    <w:rsid w:val="00684ABD"/>
    <w:rsid w:val="00685137"/>
    <w:rsid w:val="00687516"/>
    <w:rsid w:val="00687856"/>
    <w:rsid w:val="0069039B"/>
    <w:rsid w:val="006A16C1"/>
    <w:rsid w:val="006A3415"/>
    <w:rsid w:val="006A4CE4"/>
    <w:rsid w:val="006B01AE"/>
    <w:rsid w:val="006C13F0"/>
    <w:rsid w:val="006C610C"/>
    <w:rsid w:val="006C77E0"/>
    <w:rsid w:val="006D2313"/>
    <w:rsid w:val="006F1DD0"/>
    <w:rsid w:val="006F257C"/>
    <w:rsid w:val="00701A61"/>
    <w:rsid w:val="0070489D"/>
    <w:rsid w:val="00710A25"/>
    <w:rsid w:val="00720187"/>
    <w:rsid w:val="007268F9"/>
    <w:rsid w:val="007321B8"/>
    <w:rsid w:val="0073259F"/>
    <w:rsid w:val="00750282"/>
    <w:rsid w:val="0075073F"/>
    <w:rsid w:val="007531E1"/>
    <w:rsid w:val="00755DCE"/>
    <w:rsid w:val="00757739"/>
    <w:rsid w:val="00762516"/>
    <w:rsid w:val="007638A5"/>
    <w:rsid w:val="00764440"/>
    <w:rsid w:val="007668F3"/>
    <w:rsid w:val="00770B33"/>
    <w:rsid w:val="0077101B"/>
    <w:rsid w:val="007756D9"/>
    <w:rsid w:val="0078184E"/>
    <w:rsid w:val="00786C6E"/>
    <w:rsid w:val="007A094E"/>
    <w:rsid w:val="007B03EB"/>
    <w:rsid w:val="007B2014"/>
    <w:rsid w:val="007B4CC7"/>
    <w:rsid w:val="007B7A9F"/>
    <w:rsid w:val="007C44A4"/>
    <w:rsid w:val="007C52B0"/>
    <w:rsid w:val="007C5DA8"/>
    <w:rsid w:val="007C6033"/>
    <w:rsid w:val="007C6BF4"/>
    <w:rsid w:val="00804A03"/>
    <w:rsid w:val="008147C8"/>
    <w:rsid w:val="00814B95"/>
    <w:rsid w:val="00816324"/>
    <w:rsid w:val="0081753A"/>
    <w:rsid w:val="008243EB"/>
    <w:rsid w:val="00826C87"/>
    <w:rsid w:val="008316B0"/>
    <w:rsid w:val="00834DBC"/>
    <w:rsid w:val="008400D3"/>
    <w:rsid w:val="00844BCF"/>
    <w:rsid w:val="0084554E"/>
    <w:rsid w:val="00850B69"/>
    <w:rsid w:val="008524F9"/>
    <w:rsid w:val="00854CEC"/>
    <w:rsid w:val="00857D23"/>
    <w:rsid w:val="00863BB9"/>
    <w:rsid w:val="008654C6"/>
    <w:rsid w:val="00865E01"/>
    <w:rsid w:val="00867C7B"/>
    <w:rsid w:val="0087295F"/>
    <w:rsid w:val="008744DF"/>
    <w:rsid w:val="00884955"/>
    <w:rsid w:val="00894249"/>
    <w:rsid w:val="008B44C0"/>
    <w:rsid w:val="008C2D9D"/>
    <w:rsid w:val="008C43FA"/>
    <w:rsid w:val="008C4C0E"/>
    <w:rsid w:val="008C5E74"/>
    <w:rsid w:val="008D0EAF"/>
    <w:rsid w:val="008E7D5F"/>
    <w:rsid w:val="008F43F8"/>
    <w:rsid w:val="00905529"/>
    <w:rsid w:val="009107FF"/>
    <w:rsid w:val="00910D17"/>
    <w:rsid w:val="0091116E"/>
    <w:rsid w:val="00916C3D"/>
    <w:rsid w:val="00917F69"/>
    <w:rsid w:val="00920DED"/>
    <w:rsid w:val="00926825"/>
    <w:rsid w:val="00937BFE"/>
    <w:rsid w:val="009411B4"/>
    <w:rsid w:val="00946945"/>
    <w:rsid w:val="00946F1D"/>
    <w:rsid w:val="00953D6F"/>
    <w:rsid w:val="00962AAB"/>
    <w:rsid w:val="00982E4D"/>
    <w:rsid w:val="00985355"/>
    <w:rsid w:val="00991A76"/>
    <w:rsid w:val="009A09E5"/>
    <w:rsid w:val="009A55D6"/>
    <w:rsid w:val="009D0139"/>
    <w:rsid w:val="009D26AC"/>
    <w:rsid w:val="009D277A"/>
    <w:rsid w:val="009D57A6"/>
    <w:rsid w:val="009D614F"/>
    <w:rsid w:val="009D717D"/>
    <w:rsid w:val="009D72AA"/>
    <w:rsid w:val="009E2D6E"/>
    <w:rsid w:val="009E532C"/>
    <w:rsid w:val="009E75B5"/>
    <w:rsid w:val="009F35AA"/>
    <w:rsid w:val="009F5CDC"/>
    <w:rsid w:val="00A072D7"/>
    <w:rsid w:val="00A154FE"/>
    <w:rsid w:val="00A21299"/>
    <w:rsid w:val="00A32F36"/>
    <w:rsid w:val="00A42256"/>
    <w:rsid w:val="00A432B3"/>
    <w:rsid w:val="00A439A7"/>
    <w:rsid w:val="00A4593F"/>
    <w:rsid w:val="00A465CA"/>
    <w:rsid w:val="00A53164"/>
    <w:rsid w:val="00A53721"/>
    <w:rsid w:val="00A561D5"/>
    <w:rsid w:val="00A621A4"/>
    <w:rsid w:val="00A64B4C"/>
    <w:rsid w:val="00A66665"/>
    <w:rsid w:val="00A669C6"/>
    <w:rsid w:val="00A719CC"/>
    <w:rsid w:val="00A71C8E"/>
    <w:rsid w:val="00A75E2A"/>
    <w:rsid w:val="00A775CF"/>
    <w:rsid w:val="00A84DD8"/>
    <w:rsid w:val="00A900E7"/>
    <w:rsid w:val="00A90DE7"/>
    <w:rsid w:val="00A953B7"/>
    <w:rsid w:val="00AA0EB6"/>
    <w:rsid w:val="00AA1CCB"/>
    <w:rsid w:val="00AA48B6"/>
    <w:rsid w:val="00AB3228"/>
    <w:rsid w:val="00AB394E"/>
    <w:rsid w:val="00AB3F12"/>
    <w:rsid w:val="00AC6D79"/>
    <w:rsid w:val="00AD0359"/>
    <w:rsid w:val="00AD0F31"/>
    <w:rsid w:val="00AD1A9C"/>
    <w:rsid w:val="00AD51B8"/>
    <w:rsid w:val="00AE4C18"/>
    <w:rsid w:val="00AF5DE1"/>
    <w:rsid w:val="00AF6360"/>
    <w:rsid w:val="00B02A7E"/>
    <w:rsid w:val="00B04823"/>
    <w:rsid w:val="00B048BA"/>
    <w:rsid w:val="00B06045"/>
    <w:rsid w:val="00B07D46"/>
    <w:rsid w:val="00B1000E"/>
    <w:rsid w:val="00B206DD"/>
    <w:rsid w:val="00B263D4"/>
    <w:rsid w:val="00B267BB"/>
    <w:rsid w:val="00B26919"/>
    <w:rsid w:val="00B36030"/>
    <w:rsid w:val="00B427F7"/>
    <w:rsid w:val="00B42904"/>
    <w:rsid w:val="00B508C8"/>
    <w:rsid w:val="00B52EF4"/>
    <w:rsid w:val="00B55965"/>
    <w:rsid w:val="00B67DFA"/>
    <w:rsid w:val="00B777AD"/>
    <w:rsid w:val="00BA05D7"/>
    <w:rsid w:val="00BB134E"/>
    <w:rsid w:val="00BB1623"/>
    <w:rsid w:val="00BB5534"/>
    <w:rsid w:val="00BC2937"/>
    <w:rsid w:val="00BC6BBA"/>
    <w:rsid w:val="00BE1BE9"/>
    <w:rsid w:val="00BF24BD"/>
    <w:rsid w:val="00C0069E"/>
    <w:rsid w:val="00C014B3"/>
    <w:rsid w:val="00C03015"/>
    <w:rsid w:val="00C0358D"/>
    <w:rsid w:val="00C134F3"/>
    <w:rsid w:val="00C22F0D"/>
    <w:rsid w:val="00C2666C"/>
    <w:rsid w:val="00C35A27"/>
    <w:rsid w:val="00C43E17"/>
    <w:rsid w:val="00C475B6"/>
    <w:rsid w:val="00C47B2E"/>
    <w:rsid w:val="00C51A7C"/>
    <w:rsid w:val="00C537FE"/>
    <w:rsid w:val="00C55481"/>
    <w:rsid w:val="00C57577"/>
    <w:rsid w:val="00C7147F"/>
    <w:rsid w:val="00C74BB2"/>
    <w:rsid w:val="00C75A5F"/>
    <w:rsid w:val="00C86AC5"/>
    <w:rsid w:val="00C937AF"/>
    <w:rsid w:val="00CA331B"/>
    <w:rsid w:val="00CA5930"/>
    <w:rsid w:val="00CB00AD"/>
    <w:rsid w:val="00CB1FBD"/>
    <w:rsid w:val="00CB5E32"/>
    <w:rsid w:val="00CB71ED"/>
    <w:rsid w:val="00CB7F1D"/>
    <w:rsid w:val="00CC1834"/>
    <w:rsid w:val="00CC500C"/>
    <w:rsid w:val="00CD2428"/>
    <w:rsid w:val="00CE27C8"/>
    <w:rsid w:val="00CE2DD6"/>
    <w:rsid w:val="00CE43FC"/>
    <w:rsid w:val="00CE46B3"/>
    <w:rsid w:val="00CF0188"/>
    <w:rsid w:val="00CF259F"/>
    <w:rsid w:val="00D06626"/>
    <w:rsid w:val="00D111BB"/>
    <w:rsid w:val="00D15AD1"/>
    <w:rsid w:val="00D17A2E"/>
    <w:rsid w:val="00D319AF"/>
    <w:rsid w:val="00D4313E"/>
    <w:rsid w:val="00D44C50"/>
    <w:rsid w:val="00D47849"/>
    <w:rsid w:val="00D51A4E"/>
    <w:rsid w:val="00D61732"/>
    <w:rsid w:val="00D6183B"/>
    <w:rsid w:val="00D63CD2"/>
    <w:rsid w:val="00D63D37"/>
    <w:rsid w:val="00D660E4"/>
    <w:rsid w:val="00D7012B"/>
    <w:rsid w:val="00D75B20"/>
    <w:rsid w:val="00D7748B"/>
    <w:rsid w:val="00D84663"/>
    <w:rsid w:val="00D87DC2"/>
    <w:rsid w:val="00D9428A"/>
    <w:rsid w:val="00D94B05"/>
    <w:rsid w:val="00D96C8F"/>
    <w:rsid w:val="00DA5013"/>
    <w:rsid w:val="00DB1654"/>
    <w:rsid w:val="00DB2D10"/>
    <w:rsid w:val="00DB612C"/>
    <w:rsid w:val="00DB7B6D"/>
    <w:rsid w:val="00DC4C7F"/>
    <w:rsid w:val="00DD7918"/>
    <w:rsid w:val="00DF505B"/>
    <w:rsid w:val="00E005C7"/>
    <w:rsid w:val="00E01260"/>
    <w:rsid w:val="00E01BE1"/>
    <w:rsid w:val="00E02C2B"/>
    <w:rsid w:val="00E06BA7"/>
    <w:rsid w:val="00E17424"/>
    <w:rsid w:val="00E21C27"/>
    <w:rsid w:val="00E26BCF"/>
    <w:rsid w:val="00E26C68"/>
    <w:rsid w:val="00E279B0"/>
    <w:rsid w:val="00E31DAB"/>
    <w:rsid w:val="00E349B9"/>
    <w:rsid w:val="00E41948"/>
    <w:rsid w:val="00E42EC1"/>
    <w:rsid w:val="00E52109"/>
    <w:rsid w:val="00E64F08"/>
    <w:rsid w:val="00E71929"/>
    <w:rsid w:val="00E71AF9"/>
    <w:rsid w:val="00E7524F"/>
    <w:rsid w:val="00E75317"/>
    <w:rsid w:val="00E75BBC"/>
    <w:rsid w:val="00E81B68"/>
    <w:rsid w:val="00E90186"/>
    <w:rsid w:val="00EB3C51"/>
    <w:rsid w:val="00EC0CE6"/>
    <w:rsid w:val="00EC7C1D"/>
    <w:rsid w:val="00ED03E9"/>
    <w:rsid w:val="00ED0E67"/>
    <w:rsid w:val="00ED551E"/>
    <w:rsid w:val="00ED6770"/>
    <w:rsid w:val="00ED6C48"/>
    <w:rsid w:val="00EE23F5"/>
    <w:rsid w:val="00EE3045"/>
    <w:rsid w:val="00EE5069"/>
    <w:rsid w:val="00F01FC8"/>
    <w:rsid w:val="00F03B4B"/>
    <w:rsid w:val="00F06CBE"/>
    <w:rsid w:val="00F070C4"/>
    <w:rsid w:val="00F12DB1"/>
    <w:rsid w:val="00F1733B"/>
    <w:rsid w:val="00F23719"/>
    <w:rsid w:val="00F26826"/>
    <w:rsid w:val="00F26B3E"/>
    <w:rsid w:val="00F276F4"/>
    <w:rsid w:val="00F35036"/>
    <w:rsid w:val="00F360E8"/>
    <w:rsid w:val="00F4098C"/>
    <w:rsid w:val="00F4109F"/>
    <w:rsid w:val="00F4713B"/>
    <w:rsid w:val="00F549D7"/>
    <w:rsid w:val="00F65F5D"/>
    <w:rsid w:val="00F6722A"/>
    <w:rsid w:val="00F719C7"/>
    <w:rsid w:val="00F748FF"/>
    <w:rsid w:val="00F824D3"/>
    <w:rsid w:val="00F86A3A"/>
    <w:rsid w:val="00F90140"/>
    <w:rsid w:val="00FA31FC"/>
    <w:rsid w:val="00FA5492"/>
    <w:rsid w:val="00FB05C5"/>
    <w:rsid w:val="00FB5696"/>
    <w:rsid w:val="00FC36CD"/>
    <w:rsid w:val="00FC4BC0"/>
    <w:rsid w:val="00FD050A"/>
    <w:rsid w:val="00FD22E2"/>
    <w:rsid w:val="00FD36D7"/>
    <w:rsid w:val="00FE3966"/>
    <w:rsid w:val="00FF3A2E"/>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7BE5A"/>
  <w15:docId w15:val="{4278497B-1DCF-4C13-9ACC-CA4381E3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673144"/>
    <w:rPr>
      <w:b/>
      <w:sz w:val="28"/>
    </w:rPr>
  </w:style>
  <w:style w:type="character" w:customStyle="1" w:styleId="SingleTxtGChar">
    <w:name w:val="_ Single Txt_G Char"/>
    <w:link w:val="SingleTxtG"/>
    <w:qFormat/>
    <w:rsid w:val="00673144"/>
  </w:style>
  <w:style w:type="character" w:customStyle="1" w:styleId="H1GChar">
    <w:name w:val="_ H_1_G Char"/>
    <w:link w:val="H1G"/>
    <w:qFormat/>
    <w:rsid w:val="00673144"/>
    <w:rPr>
      <w:b/>
      <w:sz w:val="24"/>
    </w:rPr>
  </w:style>
  <w:style w:type="paragraph" w:customStyle="1" w:styleId="Pnormal">
    <w:name w:val="P_normal"/>
    <w:basedOn w:val="Normal"/>
    <w:link w:val="PnormalChar"/>
    <w:qFormat/>
    <w:rsid w:val="005204A2"/>
    <w:pPr>
      <w:suppressAutoHyphens w:val="0"/>
      <w:kinsoku/>
      <w:overflowPunct/>
      <w:autoSpaceDE/>
      <w:autoSpaceDN/>
      <w:adjustRightInd/>
      <w:snapToGrid/>
      <w:spacing w:before="80" w:after="80" w:line="240" w:lineRule="auto"/>
      <w:jc w:val="both"/>
    </w:pPr>
    <w:rPr>
      <w:rFonts w:eastAsia="Times New Roman"/>
      <w:lang w:eastAsia="en-US"/>
    </w:rPr>
  </w:style>
  <w:style w:type="character" w:customStyle="1" w:styleId="PnormalChar">
    <w:name w:val="P_normal Char"/>
    <w:basedOn w:val="DefaultParagraphFont"/>
    <w:link w:val="Pnormal"/>
    <w:rsid w:val="005204A2"/>
    <w:rPr>
      <w:rFonts w:eastAsia="Times New Roman"/>
      <w:lang w:eastAsia="en-US"/>
    </w:rPr>
  </w:style>
  <w:style w:type="paragraph" w:customStyle="1" w:styleId="Ph08">
    <w:name w:val="P_h0.8"/>
    <w:basedOn w:val="Pnormal"/>
    <w:link w:val="Ph08Char"/>
    <w:qFormat/>
    <w:rsid w:val="005204A2"/>
    <w:pPr>
      <w:ind w:left="454" w:hanging="454"/>
    </w:pPr>
  </w:style>
  <w:style w:type="character" w:customStyle="1" w:styleId="Ph08Char">
    <w:name w:val="P_h0.8 Char"/>
    <w:basedOn w:val="PnormalChar"/>
    <w:link w:val="Ph08"/>
    <w:rsid w:val="005204A2"/>
    <w:rPr>
      <w:rFonts w:eastAsia="Times New Roman"/>
      <w:lang w:eastAsia="en-US"/>
    </w:rPr>
  </w:style>
  <w:style w:type="paragraph" w:customStyle="1" w:styleId="Pu4d2">
    <w:name w:val="P_u4_d2"/>
    <w:basedOn w:val="Pnormal"/>
    <w:link w:val="Pu4d2Char"/>
    <w:qFormat/>
    <w:rsid w:val="005204A2"/>
    <w:pPr>
      <w:spacing w:after="40"/>
    </w:pPr>
  </w:style>
  <w:style w:type="paragraph" w:customStyle="1" w:styleId="Pud2">
    <w:name w:val="P_ud2"/>
    <w:basedOn w:val="Pnormal"/>
    <w:link w:val="Pud2Char"/>
    <w:qFormat/>
    <w:rsid w:val="005204A2"/>
    <w:pPr>
      <w:spacing w:before="40" w:after="40"/>
    </w:pPr>
  </w:style>
  <w:style w:type="character" w:customStyle="1" w:styleId="Pu4d2Char">
    <w:name w:val="P_u4_d2 Char"/>
    <w:basedOn w:val="PnormalChar"/>
    <w:link w:val="Pu4d2"/>
    <w:rsid w:val="005204A2"/>
    <w:rPr>
      <w:rFonts w:eastAsia="Times New Roman"/>
      <w:lang w:eastAsia="en-US"/>
    </w:rPr>
  </w:style>
  <w:style w:type="character" w:customStyle="1" w:styleId="Pud2Char">
    <w:name w:val="P_ud2 Char"/>
    <w:basedOn w:val="PnormalChar"/>
    <w:link w:val="Pud2"/>
    <w:rsid w:val="005204A2"/>
    <w:rPr>
      <w:rFonts w:eastAsia="Times New Roman"/>
      <w:lang w:eastAsia="en-US"/>
    </w:rPr>
  </w:style>
  <w:style w:type="paragraph" w:customStyle="1" w:styleId="Pb08h08">
    <w:name w:val="P_b0.8h0.8"/>
    <w:basedOn w:val="Pnormal"/>
    <w:link w:val="Pb08h08Char"/>
    <w:qFormat/>
    <w:rsid w:val="005204A2"/>
    <w:pPr>
      <w:ind w:left="908" w:hanging="454"/>
    </w:pPr>
  </w:style>
  <w:style w:type="character" w:customStyle="1" w:styleId="Pb08h08Char">
    <w:name w:val="P_b0.8h0.8 Char"/>
    <w:basedOn w:val="PnormalChar"/>
    <w:link w:val="Pb08h08"/>
    <w:rsid w:val="005204A2"/>
    <w:rPr>
      <w:rFonts w:eastAsia="Times New Roman"/>
      <w:lang w:eastAsia="en-US"/>
    </w:rPr>
  </w:style>
  <w:style w:type="paragraph" w:customStyle="1" w:styleId="Pb16h08">
    <w:name w:val="P_b1.6_h0.8"/>
    <w:basedOn w:val="Pnormal"/>
    <w:link w:val="Pb16h08Char"/>
    <w:qFormat/>
    <w:rsid w:val="005204A2"/>
    <w:pPr>
      <w:ind w:left="1361" w:hanging="454"/>
    </w:pPr>
  </w:style>
  <w:style w:type="character" w:customStyle="1" w:styleId="Pb16h08Char">
    <w:name w:val="P_b1.6_h0.8 Char"/>
    <w:basedOn w:val="PnormalChar"/>
    <w:link w:val="Pb16h08"/>
    <w:rsid w:val="005204A2"/>
    <w:rPr>
      <w:rFonts w:eastAsia="Times New Roman"/>
      <w:lang w:eastAsia="en-US"/>
    </w:rPr>
  </w:style>
  <w:style w:type="paragraph" w:customStyle="1" w:styleId="Pb04h02ud2">
    <w:name w:val="P_b0.4_h0.2_ud2"/>
    <w:basedOn w:val="Pud2"/>
    <w:link w:val="Pb04h02ud2Char"/>
    <w:qFormat/>
    <w:rsid w:val="005204A2"/>
    <w:pPr>
      <w:ind w:left="340" w:hanging="113"/>
      <w:jc w:val="left"/>
    </w:pPr>
  </w:style>
  <w:style w:type="character" w:customStyle="1" w:styleId="Pb04h02ud2Char">
    <w:name w:val="P_b0.4_h0.2_ud2 Char"/>
    <w:basedOn w:val="DefaultParagraphFont"/>
    <w:link w:val="Pb04h02ud2"/>
    <w:rsid w:val="005204A2"/>
    <w:rPr>
      <w:rFonts w:eastAsia="Times New Roman"/>
      <w:lang w:eastAsia="en-US"/>
    </w:rPr>
  </w:style>
  <w:style w:type="paragraph" w:customStyle="1" w:styleId="Pu2d4">
    <w:name w:val="P_u2_d4"/>
    <w:basedOn w:val="Pnormal"/>
    <w:link w:val="Pu2d4Char"/>
    <w:qFormat/>
    <w:rsid w:val="005204A2"/>
    <w:pPr>
      <w:spacing w:before="40"/>
    </w:pPr>
  </w:style>
  <w:style w:type="character" w:customStyle="1" w:styleId="Pu2d4Char">
    <w:name w:val="P_u2_d4 Char"/>
    <w:basedOn w:val="PnormalChar"/>
    <w:link w:val="Pu2d4"/>
    <w:rsid w:val="005204A2"/>
    <w:rPr>
      <w:rFonts w:eastAsia="Times New Roman"/>
      <w:lang w:eastAsia="en-US"/>
    </w:rPr>
  </w:style>
  <w:style w:type="character" w:styleId="CommentReference">
    <w:name w:val="annotation reference"/>
    <w:basedOn w:val="DefaultParagraphFont"/>
    <w:uiPriority w:val="99"/>
    <w:semiHidden/>
    <w:unhideWhenUsed/>
    <w:rsid w:val="005204A2"/>
    <w:rPr>
      <w:sz w:val="16"/>
      <w:szCs w:val="16"/>
    </w:rPr>
  </w:style>
  <w:style w:type="paragraph" w:styleId="CommentText">
    <w:name w:val="annotation text"/>
    <w:basedOn w:val="Normal"/>
    <w:link w:val="CommentTextChar"/>
    <w:uiPriority w:val="99"/>
    <w:semiHidden/>
    <w:unhideWhenUsed/>
    <w:rsid w:val="005204A2"/>
    <w:pPr>
      <w:spacing w:line="240" w:lineRule="auto"/>
    </w:pPr>
  </w:style>
  <w:style w:type="character" w:customStyle="1" w:styleId="CommentTextChar">
    <w:name w:val="Comment Text Char"/>
    <w:basedOn w:val="DefaultParagraphFont"/>
    <w:link w:val="CommentText"/>
    <w:uiPriority w:val="99"/>
    <w:semiHidden/>
    <w:rsid w:val="005204A2"/>
  </w:style>
  <w:style w:type="paragraph" w:styleId="CommentSubject">
    <w:name w:val="annotation subject"/>
    <w:basedOn w:val="CommentText"/>
    <w:next w:val="CommentText"/>
    <w:link w:val="CommentSubjectChar"/>
    <w:uiPriority w:val="99"/>
    <w:semiHidden/>
    <w:unhideWhenUsed/>
    <w:rsid w:val="005204A2"/>
    <w:rPr>
      <w:b/>
      <w:bCs/>
    </w:rPr>
  </w:style>
  <w:style w:type="character" w:customStyle="1" w:styleId="CommentSubjectChar">
    <w:name w:val="Comment Subject Char"/>
    <w:basedOn w:val="CommentTextChar"/>
    <w:link w:val="CommentSubject"/>
    <w:uiPriority w:val="99"/>
    <w:semiHidden/>
    <w:rsid w:val="005204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3A6973-B6EA-45B6-819A-89426ECF890F}">
  <ds:schemaRefs>
    <ds:schemaRef ds:uri="http://schemas.microsoft.com/sharepoint/v3/contenttype/forms"/>
  </ds:schemaRefs>
</ds:datastoreItem>
</file>

<file path=customXml/itemProps2.xml><?xml version="1.0" encoding="utf-8"?>
<ds:datastoreItem xmlns:ds="http://schemas.openxmlformats.org/officeDocument/2006/customXml" ds:itemID="{4141115D-641A-483E-88D9-57AF939EA116}">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985ec44e-1bab-4c0b-9df0-6ba128686fc9"/>
    <ds:schemaRef ds:uri="4b4a1c0d-4a69-4996-a84a-fc699b9f49de"/>
    <ds:schemaRef ds:uri="acccb6d4-dbe5-46d2-b4d3-5733603d8cc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8548C8AE-5EB9-4692-8156-23EEBF52D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SGAC10_E.dotm</Template>
  <TotalTime>304</TotalTime>
  <Pages>7</Pages>
  <Words>2801</Words>
  <Characters>14633</Characters>
  <Application>Microsoft Office Word</Application>
  <DocSecurity>0</DocSecurity>
  <Lines>329</Lines>
  <Paragraphs>193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ST/SG/AC.10/C.3/2022/76</vt:lpstr>
      <vt:lpstr/>
    </vt:vector>
  </TitlesOfParts>
  <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ST/SG/AC.10/C.3/2022/76</dc:title>
  <dc:subject/>
  <dc:creator>Editorial</dc:creator>
  <cp:keywords/>
  <cp:lastModifiedBy>Laurence Berthet</cp:lastModifiedBy>
  <cp:revision>132</cp:revision>
  <cp:lastPrinted>2022-09-13T13:35:00Z</cp:lastPrinted>
  <dcterms:created xsi:type="dcterms:W3CDTF">2022-09-07T13:01:00Z</dcterms:created>
  <dcterms:modified xsi:type="dcterms:W3CDTF">2022-09-13T13:37:00Z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