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1CB520E8" w14:textId="77777777" w:rsidTr="006476E1">
        <w:trPr>
          <w:trHeight w:val="851"/>
        </w:trPr>
        <w:tc>
          <w:tcPr>
            <w:tcW w:w="1259" w:type="dxa"/>
            <w:tcBorders>
              <w:top w:val="nil"/>
              <w:left w:val="nil"/>
              <w:bottom w:val="single" w:sz="4" w:space="0" w:color="auto"/>
              <w:right w:val="nil"/>
            </w:tcBorders>
          </w:tcPr>
          <w:p w14:paraId="24FCA201" w14:textId="77777777" w:rsidR="00E52109" w:rsidRPr="002A32CB" w:rsidRDefault="00E52109" w:rsidP="004858F5"/>
        </w:tc>
        <w:tc>
          <w:tcPr>
            <w:tcW w:w="2236" w:type="dxa"/>
            <w:tcBorders>
              <w:top w:val="nil"/>
              <w:left w:val="nil"/>
              <w:bottom w:val="single" w:sz="4" w:space="0" w:color="auto"/>
              <w:right w:val="nil"/>
            </w:tcBorders>
            <w:vAlign w:val="bottom"/>
          </w:tcPr>
          <w:p w14:paraId="0ADFB87D"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43B548C2" w14:textId="042CD81E" w:rsidR="00E52109" w:rsidRDefault="000E3652" w:rsidP="000E3652">
            <w:pPr>
              <w:suppressAutoHyphens w:val="0"/>
              <w:jc w:val="right"/>
            </w:pPr>
            <w:r w:rsidRPr="000E3652">
              <w:rPr>
                <w:sz w:val="40"/>
              </w:rPr>
              <w:t>ST</w:t>
            </w:r>
            <w:r>
              <w:t>/SG/AC.10/C.3/2022/72</w:t>
            </w:r>
          </w:p>
        </w:tc>
      </w:tr>
      <w:tr w:rsidR="00E52109" w14:paraId="0F86B1B1" w14:textId="77777777" w:rsidTr="006476E1">
        <w:trPr>
          <w:trHeight w:val="2835"/>
        </w:trPr>
        <w:tc>
          <w:tcPr>
            <w:tcW w:w="1259" w:type="dxa"/>
            <w:tcBorders>
              <w:top w:val="single" w:sz="4" w:space="0" w:color="auto"/>
              <w:left w:val="nil"/>
              <w:bottom w:val="single" w:sz="12" w:space="0" w:color="auto"/>
              <w:right w:val="nil"/>
            </w:tcBorders>
          </w:tcPr>
          <w:p w14:paraId="6BBC235E" w14:textId="77777777" w:rsidR="00E52109" w:rsidRDefault="00E52109" w:rsidP="006476E1">
            <w:pPr>
              <w:spacing w:before="120"/>
              <w:jc w:val="center"/>
            </w:pPr>
            <w:r>
              <w:rPr>
                <w:noProof/>
                <w:lang w:val="fr-CH" w:eastAsia="fr-CH"/>
              </w:rPr>
              <w:drawing>
                <wp:inline distT="0" distB="0" distL="0" distR="0" wp14:anchorId="7D033E4E" wp14:editId="007A2981">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2BA5CB1B"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21B01C7E" w14:textId="77777777" w:rsidR="00D94B05" w:rsidRDefault="000E3652" w:rsidP="000E3652">
            <w:pPr>
              <w:suppressAutoHyphens w:val="0"/>
              <w:spacing w:before="240" w:line="240" w:lineRule="exact"/>
            </w:pPr>
            <w:r>
              <w:t>Distr.: General</w:t>
            </w:r>
          </w:p>
          <w:p w14:paraId="5FA34DE9" w14:textId="538377C6" w:rsidR="000E3652" w:rsidRDefault="0026298D" w:rsidP="000E3652">
            <w:pPr>
              <w:suppressAutoHyphens w:val="0"/>
              <w:spacing w:line="240" w:lineRule="exact"/>
            </w:pPr>
            <w:r>
              <w:t xml:space="preserve">9 </w:t>
            </w:r>
            <w:r w:rsidR="000E3652">
              <w:t>September 2022</w:t>
            </w:r>
          </w:p>
          <w:p w14:paraId="2C7148EC" w14:textId="77777777" w:rsidR="000E3652" w:rsidRDefault="000E3652" w:rsidP="000E3652">
            <w:pPr>
              <w:suppressAutoHyphens w:val="0"/>
              <w:spacing w:line="240" w:lineRule="exact"/>
            </w:pPr>
          </w:p>
          <w:p w14:paraId="126D8B53" w14:textId="11074F64" w:rsidR="000E3652" w:rsidRDefault="000E3652" w:rsidP="000E3652">
            <w:pPr>
              <w:suppressAutoHyphens w:val="0"/>
              <w:spacing w:line="240" w:lineRule="exact"/>
            </w:pPr>
            <w:r>
              <w:t>Original: English</w:t>
            </w:r>
          </w:p>
        </w:tc>
      </w:tr>
    </w:tbl>
    <w:p w14:paraId="7E4AC2CF" w14:textId="77777777" w:rsidR="000E3652" w:rsidRPr="006500BA" w:rsidRDefault="000E3652"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5207238" w14:textId="77777777" w:rsidR="000E3652" w:rsidRPr="006500BA" w:rsidRDefault="000E3652" w:rsidP="004858F5">
      <w:pPr>
        <w:spacing w:before="120"/>
        <w:rPr>
          <w:rFonts w:ascii="Helv" w:hAnsi="Helv" w:cs="Helv"/>
          <w:b/>
          <w:color w:val="000000"/>
        </w:rPr>
      </w:pPr>
      <w:r w:rsidRPr="006500BA">
        <w:rPr>
          <w:b/>
        </w:rPr>
        <w:t xml:space="preserve">Sub-Committee of Experts on the </w:t>
      </w:r>
      <w:r>
        <w:rPr>
          <w:b/>
        </w:rPr>
        <w:t>Transport of Dangerous Goods</w:t>
      </w:r>
    </w:p>
    <w:p w14:paraId="18CA7AEE" w14:textId="035B41FD" w:rsidR="000E3652" w:rsidRPr="006500BA" w:rsidRDefault="000E3652" w:rsidP="004858F5">
      <w:pPr>
        <w:spacing w:before="120"/>
        <w:rPr>
          <w:b/>
        </w:rPr>
      </w:pPr>
      <w:r>
        <w:rPr>
          <w:b/>
        </w:rPr>
        <w:t xml:space="preserve">Sixty-first </w:t>
      </w:r>
      <w:r w:rsidRPr="006500BA">
        <w:rPr>
          <w:b/>
        </w:rPr>
        <w:t>session</w:t>
      </w:r>
    </w:p>
    <w:p w14:paraId="2ADAB2DC" w14:textId="5EBB9450" w:rsidR="000E3652" w:rsidRPr="006500BA" w:rsidRDefault="000E3652" w:rsidP="004858F5">
      <w:r w:rsidRPr="006500BA">
        <w:t xml:space="preserve">Geneva, </w:t>
      </w:r>
      <w:r>
        <w:t>28 November</w:t>
      </w:r>
      <w:r w:rsidR="0026298D">
        <w:t>-</w:t>
      </w:r>
      <w:r>
        <w:t>6 December 2022</w:t>
      </w:r>
    </w:p>
    <w:p w14:paraId="230C76D1" w14:textId="1E744155" w:rsidR="000E3652" w:rsidRPr="006500BA" w:rsidRDefault="000E3652" w:rsidP="004858F5">
      <w:r w:rsidRPr="006500BA">
        <w:t xml:space="preserve">Item </w:t>
      </w:r>
      <w:r>
        <w:t>3</w:t>
      </w:r>
      <w:r w:rsidRPr="006500BA">
        <w:t xml:space="preserve"> of the provisional agenda</w:t>
      </w:r>
    </w:p>
    <w:p w14:paraId="2D3DE464" w14:textId="3D2EAE01" w:rsidR="00AF5DE1" w:rsidRDefault="000E3652" w:rsidP="004858F5">
      <w:pPr>
        <w:rPr>
          <w:b/>
          <w:bCs/>
        </w:rPr>
      </w:pPr>
      <w:r w:rsidRPr="000E3652">
        <w:rPr>
          <w:b/>
          <w:bCs/>
        </w:rPr>
        <w:t xml:space="preserve">Listing, </w:t>
      </w:r>
      <w:proofErr w:type="gramStart"/>
      <w:r w:rsidRPr="000E3652">
        <w:rPr>
          <w:b/>
          <w:bCs/>
        </w:rPr>
        <w:t>classification</w:t>
      </w:r>
      <w:proofErr w:type="gramEnd"/>
      <w:r w:rsidRPr="000E3652">
        <w:rPr>
          <w:b/>
          <w:bCs/>
        </w:rPr>
        <w:t xml:space="preserve"> and packing</w:t>
      </w:r>
    </w:p>
    <w:p w14:paraId="747A5BB2" w14:textId="77777777" w:rsidR="000E3652" w:rsidRPr="003C5896" w:rsidRDefault="000E3652" w:rsidP="000E3652">
      <w:pPr>
        <w:pStyle w:val="HChG"/>
      </w:pPr>
      <w:r w:rsidRPr="003C5896">
        <w:tab/>
      </w:r>
      <w:r w:rsidRPr="003C5896">
        <w:tab/>
      </w:r>
      <w:r w:rsidRPr="00626542">
        <w:t>Revision</w:t>
      </w:r>
      <w:r w:rsidRPr="00B403C5">
        <w:rPr>
          <w:lang w:val="en-US" w:eastAsia="ja-JP"/>
        </w:rPr>
        <w:t xml:space="preserve"> of classification of tetramethylammonium hydroxide</w:t>
      </w:r>
    </w:p>
    <w:p w14:paraId="151CAC82" w14:textId="49866929" w:rsidR="000E3652" w:rsidRDefault="000E3652" w:rsidP="000E3652">
      <w:pPr>
        <w:pStyle w:val="H1G"/>
        <w:spacing w:before="240" w:after="120"/>
        <w:rPr>
          <w:lang w:val="en-US"/>
        </w:rPr>
      </w:pPr>
      <w:r w:rsidRPr="003C5896">
        <w:tab/>
      </w:r>
      <w:r w:rsidRPr="003C5896">
        <w:tab/>
      </w:r>
      <w:r w:rsidR="005C14FB">
        <w:t xml:space="preserve">Submitted </w:t>
      </w:r>
      <w:r w:rsidRPr="00B403C5">
        <w:rPr>
          <w:lang w:val="en-US"/>
        </w:rPr>
        <w:t xml:space="preserve">by the </w:t>
      </w:r>
      <w:r w:rsidRPr="00886615">
        <w:rPr>
          <w:lang w:val="en-US"/>
        </w:rPr>
        <w:t>European Chemical Industry Council (</w:t>
      </w:r>
      <w:proofErr w:type="spellStart"/>
      <w:r w:rsidRPr="00886615">
        <w:rPr>
          <w:lang w:val="en-US"/>
        </w:rPr>
        <w:t>Cefic</w:t>
      </w:r>
      <w:proofErr w:type="spellEnd"/>
      <w:r w:rsidRPr="00886615">
        <w:rPr>
          <w:lang w:val="en-US"/>
        </w:rPr>
        <w:t>) and Dangerous Goods Advisory Council (DGAC)</w:t>
      </w:r>
      <w:r w:rsidR="00761D11">
        <w:rPr>
          <w:rStyle w:val="FootnoteReference"/>
          <w:lang w:val="en-US"/>
        </w:rPr>
        <w:footnoteReference w:id="2"/>
      </w:r>
    </w:p>
    <w:p w14:paraId="0812BFFC" w14:textId="77777777" w:rsidR="000E3652" w:rsidRDefault="000E3652" w:rsidP="000E3652">
      <w:pPr>
        <w:pStyle w:val="HChG"/>
        <w:spacing w:line="240" w:lineRule="atLeast"/>
        <w:ind w:left="0" w:right="1138" w:firstLine="0"/>
        <w:jc w:val="both"/>
      </w:pPr>
      <w:r w:rsidRPr="003C5896">
        <w:tab/>
      </w:r>
      <w:r>
        <w:t>I.</w:t>
      </w:r>
      <w:r w:rsidRPr="003C5896">
        <w:tab/>
        <w:t>Introduction</w:t>
      </w:r>
    </w:p>
    <w:p w14:paraId="525BE855" w14:textId="36A44B04" w:rsidR="000E3652" w:rsidRPr="000E3652" w:rsidRDefault="00A03FA8" w:rsidP="00107B5B">
      <w:pPr>
        <w:pStyle w:val="ListParagraph"/>
        <w:suppressAutoHyphens w:val="0"/>
        <w:kinsoku/>
        <w:overflowPunct/>
        <w:autoSpaceDE/>
        <w:autoSpaceDN/>
        <w:adjustRightInd/>
        <w:snapToGrid/>
        <w:spacing w:after="120"/>
        <w:ind w:left="1152" w:right="1152"/>
        <w:contextualSpacing w:val="0"/>
        <w:jc w:val="both"/>
        <w:rPr>
          <w:rFonts w:asciiTheme="majorBidi" w:eastAsiaTheme="majorBidi" w:hAnsiTheme="majorBidi" w:cstheme="majorBidi"/>
        </w:rPr>
      </w:pPr>
      <w:r>
        <w:rPr>
          <w:rFonts w:asciiTheme="majorBidi" w:hAnsiTheme="majorBidi" w:cstheme="majorBidi"/>
        </w:rPr>
        <w:t>1.</w:t>
      </w:r>
      <w:r>
        <w:rPr>
          <w:rFonts w:asciiTheme="majorBidi" w:hAnsiTheme="majorBidi" w:cstheme="majorBidi"/>
        </w:rPr>
        <w:tab/>
      </w:r>
      <w:r w:rsidR="000E3652" w:rsidRPr="000E3652">
        <w:rPr>
          <w:rFonts w:asciiTheme="majorBidi" w:hAnsiTheme="majorBidi" w:cstheme="majorBidi"/>
        </w:rPr>
        <w:t xml:space="preserve">At the sixtieth session of the Sub-Committee, </w:t>
      </w:r>
      <w:r w:rsidR="00C02601">
        <w:rPr>
          <w:rFonts w:asciiTheme="majorBidi" w:hAnsiTheme="majorBidi" w:cstheme="majorBidi"/>
        </w:rPr>
        <w:t xml:space="preserve">document </w:t>
      </w:r>
      <w:r w:rsidR="000E3652" w:rsidRPr="000E3652">
        <w:rPr>
          <w:rFonts w:asciiTheme="majorBidi" w:hAnsiTheme="majorBidi" w:cstheme="majorBidi"/>
        </w:rPr>
        <w:t xml:space="preserve">ST/SG/AC.10/C.3/2022/24 was submitted by the expert from the Netherlands proposing to reclassify tetramethylammonium hydroxide (TMAH) and its solutions </w:t>
      </w:r>
      <w:r w:rsidR="00932477" w:rsidRPr="000E3652">
        <w:rPr>
          <w:rFonts w:asciiTheme="majorBidi" w:hAnsiTheme="majorBidi" w:cstheme="majorBidi"/>
        </w:rPr>
        <w:t>based on</w:t>
      </w:r>
      <w:r w:rsidR="000E3652" w:rsidRPr="000E3652">
        <w:rPr>
          <w:rFonts w:asciiTheme="majorBidi" w:hAnsiTheme="majorBidi" w:cstheme="majorBidi"/>
        </w:rPr>
        <w:t xml:space="preserve"> human experience. That formal document was a follow-up to informal document </w:t>
      </w:r>
      <w:r w:rsidR="008023F5" w:rsidRPr="00447755">
        <w:t>INF.12</w:t>
      </w:r>
      <w:r w:rsidR="008023F5">
        <w:t xml:space="preserve"> </w:t>
      </w:r>
      <w:r w:rsidR="000E3652" w:rsidRPr="000E3652">
        <w:rPr>
          <w:rFonts w:asciiTheme="majorBidi" w:hAnsiTheme="majorBidi" w:cstheme="majorBidi"/>
        </w:rPr>
        <w:t>presented at the fifty-ninth session.</w:t>
      </w:r>
    </w:p>
    <w:p w14:paraId="2AECF127" w14:textId="2A29CCEE" w:rsidR="000E3652" w:rsidRDefault="00107B5B" w:rsidP="00107B5B">
      <w:pPr>
        <w:pStyle w:val="ListParagraph"/>
        <w:suppressAutoHyphens w:val="0"/>
        <w:kinsoku/>
        <w:overflowPunct/>
        <w:autoSpaceDE/>
        <w:autoSpaceDN/>
        <w:adjustRightInd/>
        <w:snapToGrid/>
        <w:spacing w:after="120"/>
        <w:ind w:left="1152" w:right="1152"/>
        <w:contextualSpacing w:val="0"/>
        <w:jc w:val="both"/>
        <w:rPr>
          <w:rFonts w:asciiTheme="majorBidi" w:eastAsiaTheme="majorBidi" w:hAnsiTheme="majorBidi" w:cstheme="majorBidi"/>
        </w:rPr>
      </w:pPr>
      <w:r>
        <w:rPr>
          <w:rFonts w:asciiTheme="majorBidi" w:eastAsiaTheme="majorBidi" w:hAnsiTheme="majorBidi" w:cstheme="majorBidi"/>
        </w:rPr>
        <w:t>2.</w:t>
      </w:r>
      <w:r>
        <w:rPr>
          <w:rFonts w:asciiTheme="majorBidi" w:eastAsiaTheme="majorBidi" w:hAnsiTheme="majorBidi" w:cstheme="majorBidi"/>
        </w:rPr>
        <w:tab/>
      </w:r>
      <w:r w:rsidR="000E3652" w:rsidRPr="00A872F4">
        <w:rPr>
          <w:rFonts w:asciiTheme="majorBidi" w:eastAsiaTheme="majorBidi" w:hAnsiTheme="majorBidi" w:cstheme="majorBidi"/>
        </w:rPr>
        <w:t xml:space="preserve">TMAH is mainly used in the semiconductor and display manufacturing industry. </w:t>
      </w:r>
      <w:r w:rsidR="000E3652">
        <w:rPr>
          <w:rFonts w:asciiTheme="majorBidi" w:eastAsiaTheme="majorBidi" w:hAnsiTheme="majorBidi" w:cstheme="majorBidi"/>
        </w:rPr>
        <w:t xml:space="preserve">It </w:t>
      </w:r>
      <w:r w:rsidR="000E3652" w:rsidRPr="00A872F4">
        <w:rPr>
          <w:rFonts w:asciiTheme="majorBidi" w:eastAsiaTheme="majorBidi" w:hAnsiTheme="majorBidi" w:cstheme="majorBidi"/>
        </w:rPr>
        <w:t xml:space="preserve">is used as a main substance in developers for photolithography and is one of the most critical substances in the microchip manufacturing process. As such, every </w:t>
      </w:r>
      <w:proofErr w:type="gramStart"/>
      <w:r w:rsidR="000E3652" w:rsidRPr="00A872F4">
        <w:rPr>
          <w:rFonts w:asciiTheme="majorBidi" w:eastAsiaTheme="majorBidi" w:hAnsiTheme="majorBidi" w:cstheme="majorBidi"/>
        </w:rPr>
        <w:t>chip</w:t>
      </w:r>
      <w:proofErr w:type="gramEnd"/>
      <w:r w:rsidR="000E3652" w:rsidRPr="00A872F4">
        <w:rPr>
          <w:rFonts w:asciiTheme="majorBidi" w:eastAsiaTheme="majorBidi" w:hAnsiTheme="majorBidi" w:cstheme="majorBidi"/>
        </w:rPr>
        <w:t xml:space="preserve"> and </w:t>
      </w:r>
      <w:r w:rsidR="0035417B">
        <w:rPr>
          <w:rFonts w:asciiTheme="majorBidi" w:eastAsiaTheme="majorBidi" w:hAnsiTheme="majorBidi" w:cstheme="majorBidi"/>
        </w:rPr>
        <w:t>Li</w:t>
      </w:r>
      <w:r w:rsidR="0035417B" w:rsidRPr="0035417B">
        <w:rPr>
          <w:rFonts w:asciiTheme="majorBidi" w:eastAsiaTheme="majorBidi" w:hAnsiTheme="majorBidi" w:cstheme="majorBidi"/>
        </w:rPr>
        <w:t xml:space="preserve">quid </w:t>
      </w:r>
      <w:r w:rsidR="0035417B">
        <w:rPr>
          <w:rFonts w:asciiTheme="majorBidi" w:eastAsiaTheme="majorBidi" w:hAnsiTheme="majorBidi" w:cstheme="majorBidi"/>
        </w:rPr>
        <w:t>C</w:t>
      </w:r>
      <w:r w:rsidR="0035417B" w:rsidRPr="0035417B">
        <w:rPr>
          <w:rFonts w:asciiTheme="majorBidi" w:eastAsiaTheme="majorBidi" w:hAnsiTheme="majorBidi" w:cstheme="majorBidi"/>
        </w:rPr>
        <w:t xml:space="preserve">rystal </w:t>
      </w:r>
      <w:r w:rsidR="0035417B">
        <w:rPr>
          <w:rFonts w:asciiTheme="majorBidi" w:eastAsiaTheme="majorBidi" w:hAnsiTheme="majorBidi" w:cstheme="majorBidi"/>
        </w:rPr>
        <w:t>D</w:t>
      </w:r>
      <w:r w:rsidR="0035417B" w:rsidRPr="0035417B">
        <w:rPr>
          <w:rFonts w:asciiTheme="majorBidi" w:eastAsiaTheme="majorBidi" w:hAnsiTheme="majorBidi" w:cstheme="majorBidi"/>
        </w:rPr>
        <w:t>isplay</w:t>
      </w:r>
      <w:r w:rsidR="00582835">
        <w:rPr>
          <w:rFonts w:asciiTheme="majorBidi" w:eastAsiaTheme="majorBidi" w:hAnsiTheme="majorBidi" w:cstheme="majorBidi"/>
        </w:rPr>
        <w:t xml:space="preserve"> (</w:t>
      </w:r>
      <w:r w:rsidR="00582835" w:rsidRPr="00A872F4">
        <w:rPr>
          <w:rFonts w:asciiTheme="majorBidi" w:eastAsiaTheme="majorBidi" w:hAnsiTheme="majorBidi" w:cstheme="majorBidi"/>
        </w:rPr>
        <w:t>LCD</w:t>
      </w:r>
      <w:r w:rsidR="00582835">
        <w:rPr>
          <w:rFonts w:asciiTheme="majorBidi" w:eastAsiaTheme="majorBidi" w:hAnsiTheme="majorBidi" w:cstheme="majorBidi"/>
        </w:rPr>
        <w:t xml:space="preserve">) or </w:t>
      </w:r>
      <w:r w:rsidR="00674CB8" w:rsidRPr="00674CB8">
        <w:rPr>
          <w:rFonts w:asciiTheme="majorBidi" w:eastAsiaTheme="majorBidi" w:hAnsiTheme="majorBidi" w:cstheme="majorBidi"/>
        </w:rPr>
        <w:t xml:space="preserve">Organic Light Emitting Diode </w:t>
      </w:r>
      <w:r w:rsidR="0035417B">
        <w:rPr>
          <w:rFonts w:asciiTheme="majorBidi" w:eastAsiaTheme="majorBidi" w:hAnsiTheme="majorBidi" w:cstheme="majorBidi"/>
        </w:rPr>
        <w:t>(</w:t>
      </w:r>
      <w:r w:rsidR="000E3652" w:rsidRPr="00A872F4">
        <w:rPr>
          <w:rFonts w:asciiTheme="majorBidi" w:eastAsiaTheme="majorBidi" w:hAnsiTheme="majorBidi" w:cstheme="majorBidi"/>
        </w:rPr>
        <w:t>OLED</w:t>
      </w:r>
      <w:r w:rsidR="0035417B">
        <w:rPr>
          <w:rFonts w:asciiTheme="majorBidi" w:eastAsiaTheme="majorBidi" w:hAnsiTheme="majorBidi" w:cstheme="majorBidi"/>
        </w:rPr>
        <w:t>)</w:t>
      </w:r>
      <w:r w:rsidR="000E3652" w:rsidRPr="00A872F4">
        <w:rPr>
          <w:rFonts w:asciiTheme="majorBidi" w:eastAsiaTheme="majorBidi" w:hAnsiTheme="majorBidi" w:cstheme="majorBidi"/>
        </w:rPr>
        <w:t xml:space="preserve"> display is manufactured using TMAH. </w:t>
      </w:r>
      <w:r w:rsidR="000E3652">
        <w:rPr>
          <w:rFonts w:asciiTheme="majorBidi" w:eastAsiaTheme="majorBidi" w:hAnsiTheme="majorBidi" w:cstheme="majorBidi"/>
        </w:rPr>
        <w:t xml:space="preserve">In these applications, </w:t>
      </w:r>
      <w:r w:rsidR="000E3652" w:rsidRPr="00A872F4">
        <w:rPr>
          <w:rFonts w:asciiTheme="majorBidi" w:eastAsiaTheme="majorBidi" w:hAnsiTheme="majorBidi" w:cstheme="majorBidi"/>
        </w:rPr>
        <w:t xml:space="preserve">TMAH is </w:t>
      </w:r>
      <w:proofErr w:type="gramStart"/>
      <w:r w:rsidR="000E3652" w:rsidRPr="00A872F4">
        <w:rPr>
          <w:rFonts w:asciiTheme="majorBidi" w:eastAsiaTheme="majorBidi" w:hAnsiTheme="majorBidi" w:cstheme="majorBidi"/>
        </w:rPr>
        <w:t xml:space="preserve">most commonly </w:t>
      </w:r>
      <w:r w:rsidR="000E3652">
        <w:rPr>
          <w:rFonts w:asciiTheme="majorBidi" w:eastAsiaTheme="majorBidi" w:hAnsiTheme="majorBidi" w:cstheme="majorBidi"/>
        </w:rPr>
        <w:t>shipped</w:t>
      </w:r>
      <w:proofErr w:type="gramEnd"/>
      <w:r w:rsidR="000E3652">
        <w:rPr>
          <w:rFonts w:asciiTheme="majorBidi" w:eastAsiaTheme="majorBidi" w:hAnsiTheme="majorBidi" w:cstheme="majorBidi"/>
        </w:rPr>
        <w:t xml:space="preserve"> as a simple aqueous solution containing only water and tetramethylammonium hydroxide in varying concentrations generally ranging from 2.5</w:t>
      </w:r>
      <w:r w:rsidR="007B4C1B">
        <w:rPr>
          <w:rFonts w:asciiTheme="majorBidi" w:eastAsiaTheme="majorBidi" w:hAnsiTheme="majorBidi" w:cstheme="majorBidi"/>
        </w:rPr>
        <w:t xml:space="preserve"> </w:t>
      </w:r>
      <w:r w:rsidR="000E3652">
        <w:rPr>
          <w:rFonts w:asciiTheme="majorBidi" w:eastAsiaTheme="majorBidi" w:hAnsiTheme="majorBidi" w:cstheme="majorBidi"/>
        </w:rPr>
        <w:t>% to 25</w:t>
      </w:r>
      <w:r w:rsidR="007B4C1B">
        <w:rPr>
          <w:rFonts w:asciiTheme="majorBidi" w:eastAsiaTheme="majorBidi" w:hAnsiTheme="majorBidi" w:cstheme="majorBidi"/>
        </w:rPr>
        <w:t xml:space="preserve"> </w:t>
      </w:r>
      <w:r w:rsidR="000E3652">
        <w:rPr>
          <w:rFonts w:asciiTheme="majorBidi" w:eastAsiaTheme="majorBidi" w:hAnsiTheme="majorBidi" w:cstheme="majorBidi"/>
        </w:rPr>
        <w:t>%, although the lower concentrations may contain additional constituents comprising less than 1</w:t>
      </w:r>
      <w:r w:rsidR="007B4C1B">
        <w:rPr>
          <w:rFonts w:asciiTheme="majorBidi" w:eastAsiaTheme="majorBidi" w:hAnsiTheme="majorBidi" w:cstheme="majorBidi"/>
        </w:rPr>
        <w:t xml:space="preserve"> </w:t>
      </w:r>
      <w:r w:rsidR="000E3652">
        <w:rPr>
          <w:rFonts w:asciiTheme="majorBidi" w:eastAsiaTheme="majorBidi" w:hAnsiTheme="majorBidi" w:cstheme="majorBidi"/>
        </w:rPr>
        <w:t>% of the total formulation. These aqueous solutions are packaged in a variety of packaging types, including IBCs, drums, boxes, jerricans, etc. The 25</w:t>
      </w:r>
      <w:r w:rsidR="007B4C1B">
        <w:rPr>
          <w:rFonts w:asciiTheme="majorBidi" w:eastAsiaTheme="majorBidi" w:hAnsiTheme="majorBidi" w:cstheme="majorBidi"/>
        </w:rPr>
        <w:t xml:space="preserve"> </w:t>
      </w:r>
      <w:r w:rsidR="000E3652">
        <w:rPr>
          <w:rFonts w:asciiTheme="majorBidi" w:eastAsiaTheme="majorBidi" w:hAnsiTheme="majorBidi" w:cstheme="majorBidi"/>
        </w:rPr>
        <w:t xml:space="preserve">% aqueous solutions are </w:t>
      </w:r>
      <w:proofErr w:type="gramStart"/>
      <w:r w:rsidR="000E3652">
        <w:rPr>
          <w:rFonts w:asciiTheme="majorBidi" w:eastAsiaTheme="majorBidi" w:hAnsiTheme="majorBidi" w:cstheme="majorBidi"/>
        </w:rPr>
        <w:t>most commonly packaged</w:t>
      </w:r>
      <w:proofErr w:type="gramEnd"/>
      <w:r w:rsidR="000E3652">
        <w:rPr>
          <w:rFonts w:asciiTheme="majorBidi" w:eastAsiaTheme="majorBidi" w:hAnsiTheme="majorBidi" w:cstheme="majorBidi"/>
        </w:rPr>
        <w:t xml:space="preserve"> </w:t>
      </w:r>
      <w:r w:rsidR="000E3652" w:rsidRPr="00A872F4">
        <w:rPr>
          <w:rFonts w:asciiTheme="majorBidi" w:eastAsiaTheme="majorBidi" w:hAnsiTheme="majorBidi" w:cstheme="majorBidi"/>
        </w:rPr>
        <w:t>in intermediate bulk containers (IBCs)</w:t>
      </w:r>
      <w:r w:rsidR="000E3652">
        <w:rPr>
          <w:rFonts w:asciiTheme="majorBidi" w:eastAsiaTheme="majorBidi" w:hAnsiTheme="majorBidi" w:cstheme="majorBidi"/>
        </w:rPr>
        <w:t xml:space="preserve"> and </w:t>
      </w:r>
      <w:r w:rsidR="00CB74D8">
        <w:rPr>
          <w:rFonts w:asciiTheme="majorBidi" w:eastAsiaTheme="majorBidi" w:hAnsiTheme="majorBidi" w:cstheme="majorBidi"/>
        </w:rPr>
        <w:t>the authors</w:t>
      </w:r>
      <w:r w:rsidR="000E3652">
        <w:rPr>
          <w:rFonts w:asciiTheme="majorBidi" w:eastAsiaTheme="majorBidi" w:hAnsiTheme="majorBidi" w:cstheme="majorBidi"/>
        </w:rPr>
        <w:t xml:space="preserve"> believe </w:t>
      </w:r>
      <w:r w:rsidR="000E3652" w:rsidRPr="00A872F4">
        <w:rPr>
          <w:rFonts w:asciiTheme="majorBidi" w:eastAsiaTheme="majorBidi" w:hAnsiTheme="majorBidi" w:cstheme="majorBidi"/>
        </w:rPr>
        <w:t xml:space="preserve">about 0.5 million IBCs of </w:t>
      </w:r>
      <w:r w:rsidR="000E3652">
        <w:rPr>
          <w:rFonts w:asciiTheme="majorBidi" w:eastAsiaTheme="majorBidi" w:hAnsiTheme="majorBidi" w:cstheme="majorBidi"/>
        </w:rPr>
        <w:t>25</w:t>
      </w:r>
      <w:r w:rsidR="007B4C1B">
        <w:rPr>
          <w:rFonts w:asciiTheme="majorBidi" w:eastAsiaTheme="majorBidi" w:hAnsiTheme="majorBidi" w:cstheme="majorBidi"/>
        </w:rPr>
        <w:t xml:space="preserve"> </w:t>
      </w:r>
      <w:r w:rsidR="000E3652">
        <w:rPr>
          <w:rFonts w:asciiTheme="majorBidi" w:eastAsiaTheme="majorBidi" w:hAnsiTheme="majorBidi" w:cstheme="majorBidi"/>
        </w:rPr>
        <w:t xml:space="preserve">% aqueous solutions </w:t>
      </w:r>
      <w:r w:rsidR="000E3652" w:rsidRPr="00A872F4">
        <w:rPr>
          <w:rFonts w:asciiTheme="majorBidi" w:eastAsiaTheme="majorBidi" w:hAnsiTheme="majorBidi" w:cstheme="majorBidi"/>
        </w:rPr>
        <w:t>are shipped worldwide on a yearly basis</w:t>
      </w:r>
      <w:r w:rsidR="000E3652">
        <w:rPr>
          <w:rFonts w:asciiTheme="majorBidi" w:eastAsiaTheme="majorBidi" w:hAnsiTheme="majorBidi" w:cstheme="majorBidi"/>
        </w:rPr>
        <w:t xml:space="preserve">. The shipped </w:t>
      </w:r>
      <w:r w:rsidR="000E3652" w:rsidRPr="00A872F4">
        <w:rPr>
          <w:rFonts w:asciiTheme="majorBidi" w:eastAsiaTheme="majorBidi" w:hAnsiTheme="majorBidi" w:cstheme="majorBidi"/>
        </w:rPr>
        <w:t xml:space="preserve">volume of </w:t>
      </w:r>
      <w:r w:rsidR="000E3652">
        <w:rPr>
          <w:rFonts w:asciiTheme="majorBidi" w:eastAsiaTheme="majorBidi" w:hAnsiTheme="majorBidi" w:cstheme="majorBidi"/>
        </w:rPr>
        <w:t xml:space="preserve">the lower concentrations </w:t>
      </w:r>
      <w:r w:rsidR="000E3652" w:rsidRPr="00A872F4">
        <w:rPr>
          <w:rFonts w:asciiTheme="majorBidi" w:eastAsiaTheme="majorBidi" w:hAnsiTheme="majorBidi" w:cstheme="majorBidi"/>
        </w:rPr>
        <w:t xml:space="preserve">is </w:t>
      </w:r>
      <w:r w:rsidR="000E3652">
        <w:rPr>
          <w:rFonts w:asciiTheme="majorBidi" w:eastAsiaTheme="majorBidi" w:hAnsiTheme="majorBidi" w:cstheme="majorBidi"/>
        </w:rPr>
        <w:t xml:space="preserve">almost certainly </w:t>
      </w:r>
      <w:r w:rsidR="000E3652" w:rsidRPr="00A872F4">
        <w:rPr>
          <w:rFonts w:asciiTheme="majorBidi" w:eastAsiaTheme="majorBidi" w:hAnsiTheme="majorBidi" w:cstheme="majorBidi"/>
        </w:rPr>
        <w:t>substantially higher.</w:t>
      </w:r>
    </w:p>
    <w:p w14:paraId="5EEC2AB3" w14:textId="7D22A845" w:rsidR="000E3652" w:rsidRPr="00C44ECF" w:rsidRDefault="00107B5B" w:rsidP="00107B5B">
      <w:pPr>
        <w:pStyle w:val="ListParagraph"/>
        <w:suppressAutoHyphens w:val="0"/>
        <w:kinsoku/>
        <w:overflowPunct/>
        <w:autoSpaceDE/>
        <w:autoSpaceDN/>
        <w:adjustRightInd/>
        <w:snapToGrid/>
        <w:spacing w:after="120"/>
        <w:ind w:left="1152" w:right="1152"/>
        <w:contextualSpacing w:val="0"/>
        <w:jc w:val="both"/>
        <w:rPr>
          <w:rFonts w:asciiTheme="majorBidi" w:eastAsiaTheme="majorBidi" w:hAnsiTheme="majorBidi" w:cstheme="majorBidi"/>
        </w:rPr>
      </w:pPr>
      <w:r>
        <w:rPr>
          <w:rFonts w:asciiTheme="majorBidi" w:eastAsiaTheme="majorBidi" w:hAnsiTheme="majorBidi" w:cstheme="majorBidi"/>
        </w:rPr>
        <w:t>3.</w:t>
      </w:r>
      <w:r>
        <w:rPr>
          <w:rFonts w:asciiTheme="majorBidi" w:eastAsiaTheme="majorBidi" w:hAnsiTheme="majorBidi" w:cstheme="majorBidi"/>
        </w:rPr>
        <w:tab/>
      </w:r>
      <w:r w:rsidR="000E3652" w:rsidRPr="00EE614F">
        <w:rPr>
          <w:rFonts w:asciiTheme="majorBidi" w:eastAsiaTheme="majorBidi" w:hAnsiTheme="majorBidi" w:cstheme="majorBidi"/>
        </w:rPr>
        <w:t xml:space="preserve">Updating the classification of TMAH </w:t>
      </w:r>
      <w:r w:rsidR="000E3652">
        <w:rPr>
          <w:rFonts w:asciiTheme="majorBidi" w:eastAsiaTheme="majorBidi" w:hAnsiTheme="majorBidi" w:cstheme="majorBidi"/>
        </w:rPr>
        <w:t xml:space="preserve">will help to </w:t>
      </w:r>
      <w:r w:rsidR="000E3652" w:rsidRPr="00EE614F">
        <w:rPr>
          <w:rFonts w:asciiTheme="majorBidi" w:eastAsiaTheme="majorBidi" w:hAnsiTheme="majorBidi" w:cstheme="majorBidi"/>
        </w:rPr>
        <w:t xml:space="preserve">ensure the safety of people, </w:t>
      </w:r>
      <w:proofErr w:type="gramStart"/>
      <w:r w:rsidR="000E3652" w:rsidRPr="00EE614F">
        <w:rPr>
          <w:rFonts w:asciiTheme="majorBidi" w:eastAsiaTheme="majorBidi" w:hAnsiTheme="majorBidi" w:cstheme="majorBidi"/>
        </w:rPr>
        <w:t>property</w:t>
      </w:r>
      <w:proofErr w:type="gramEnd"/>
      <w:r w:rsidR="000E3652" w:rsidRPr="00EE614F">
        <w:rPr>
          <w:rFonts w:asciiTheme="majorBidi" w:eastAsiaTheme="majorBidi" w:hAnsiTheme="majorBidi" w:cstheme="majorBidi"/>
        </w:rPr>
        <w:t xml:space="preserve"> and the environment. By doing so the Sub-Committee aligns itself with the Sustainable Development Goal 3: ensure healthy lives and promote well-being for all at all ages.</w:t>
      </w:r>
    </w:p>
    <w:p w14:paraId="252F0473" w14:textId="429ECCD1" w:rsidR="000E3652" w:rsidRDefault="000E3652" w:rsidP="000E3652">
      <w:pPr>
        <w:pStyle w:val="HChG"/>
        <w:spacing w:line="240" w:lineRule="atLeast"/>
        <w:ind w:left="720" w:right="1138" w:firstLine="0"/>
        <w:jc w:val="both"/>
      </w:pPr>
      <w:r>
        <w:lastRenderedPageBreak/>
        <w:t>I</w:t>
      </w:r>
      <w:r w:rsidRPr="003C5896">
        <w:tab/>
      </w:r>
      <w:proofErr w:type="spellStart"/>
      <w:r>
        <w:t>I</w:t>
      </w:r>
      <w:proofErr w:type="spellEnd"/>
      <w:r>
        <w:t>.</w:t>
      </w:r>
      <w:r w:rsidRPr="003C5896">
        <w:tab/>
      </w:r>
      <w:r>
        <w:t xml:space="preserve">Overview and </w:t>
      </w:r>
      <w:r w:rsidR="00AA2AC1">
        <w:t>d</w:t>
      </w:r>
      <w:r>
        <w:t>iscussion</w:t>
      </w:r>
    </w:p>
    <w:p w14:paraId="17CA6714" w14:textId="19DCF4BB" w:rsidR="000E3652" w:rsidRPr="00454E73" w:rsidRDefault="00107B5B" w:rsidP="00107B5B">
      <w:pPr>
        <w:pStyle w:val="ListParagraph"/>
        <w:suppressAutoHyphens w:val="0"/>
        <w:kinsoku/>
        <w:overflowPunct/>
        <w:autoSpaceDE/>
        <w:autoSpaceDN/>
        <w:adjustRightInd/>
        <w:snapToGrid/>
        <w:spacing w:after="120"/>
        <w:ind w:left="1152" w:right="1152"/>
        <w:contextualSpacing w:val="0"/>
        <w:jc w:val="both"/>
        <w:rPr>
          <w:rFonts w:asciiTheme="majorBidi" w:eastAsiaTheme="majorBidi" w:hAnsiTheme="majorBidi" w:cstheme="majorBidi"/>
        </w:rPr>
      </w:pPr>
      <w:r>
        <w:rPr>
          <w:rFonts w:asciiTheme="majorBidi" w:hAnsiTheme="majorBidi" w:cstheme="majorBidi"/>
        </w:rPr>
        <w:t>4.</w:t>
      </w:r>
      <w:r>
        <w:rPr>
          <w:rFonts w:asciiTheme="majorBidi" w:hAnsiTheme="majorBidi" w:cstheme="majorBidi"/>
        </w:rPr>
        <w:tab/>
      </w:r>
      <w:r w:rsidR="000E3652">
        <w:rPr>
          <w:rFonts w:asciiTheme="majorBidi" w:hAnsiTheme="majorBidi" w:cstheme="majorBidi"/>
        </w:rPr>
        <w:t xml:space="preserve">TMAH is currently listed in the Model Regulations as UN 3423, Class 8, </w:t>
      </w:r>
      <w:r w:rsidR="002E6769">
        <w:rPr>
          <w:rFonts w:asciiTheme="majorBidi" w:hAnsiTheme="majorBidi" w:cstheme="majorBidi"/>
        </w:rPr>
        <w:t>Packing Group (</w:t>
      </w:r>
      <w:r w:rsidR="000E3652">
        <w:rPr>
          <w:rFonts w:asciiTheme="majorBidi" w:hAnsiTheme="majorBidi" w:cstheme="majorBidi"/>
        </w:rPr>
        <w:t>PG</w:t>
      </w:r>
      <w:r w:rsidR="002E6769">
        <w:rPr>
          <w:rFonts w:asciiTheme="majorBidi" w:hAnsiTheme="majorBidi" w:cstheme="majorBidi"/>
        </w:rPr>
        <w:t>)</w:t>
      </w:r>
      <w:r w:rsidR="000E3652">
        <w:rPr>
          <w:rFonts w:asciiTheme="majorBidi" w:hAnsiTheme="majorBidi" w:cstheme="majorBidi"/>
        </w:rPr>
        <w:t xml:space="preserve"> II. TMAH solutions are listed as UN 1835, Class 8, PG II/III (without concentration limits). Both the informal </w:t>
      </w:r>
      <w:r w:rsidR="006C6BCD">
        <w:rPr>
          <w:rFonts w:asciiTheme="majorBidi" w:hAnsiTheme="majorBidi" w:cstheme="majorBidi"/>
        </w:rPr>
        <w:t>document</w:t>
      </w:r>
      <w:r w:rsidR="000E3652">
        <w:rPr>
          <w:rFonts w:asciiTheme="majorBidi" w:hAnsiTheme="majorBidi" w:cstheme="majorBidi"/>
        </w:rPr>
        <w:t xml:space="preserve"> presented at the fifty-ninth session and the </w:t>
      </w:r>
      <w:r w:rsidR="006F0AAB">
        <w:rPr>
          <w:rFonts w:asciiTheme="majorBidi" w:hAnsiTheme="majorBidi" w:cstheme="majorBidi"/>
        </w:rPr>
        <w:t>official document</w:t>
      </w:r>
      <w:r w:rsidR="000E3652">
        <w:rPr>
          <w:rFonts w:asciiTheme="majorBidi" w:hAnsiTheme="majorBidi" w:cstheme="majorBidi"/>
        </w:rPr>
        <w:t xml:space="preserve"> presented at the sixtieth session reported on </w:t>
      </w:r>
      <w:r w:rsidR="00A03FA8">
        <w:rPr>
          <w:rFonts w:asciiTheme="majorBidi" w:hAnsiTheme="majorBidi" w:cstheme="majorBidi"/>
        </w:rPr>
        <w:t>several</w:t>
      </w:r>
      <w:r w:rsidR="000E3652">
        <w:rPr>
          <w:rFonts w:asciiTheme="majorBidi" w:hAnsiTheme="majorBidi" w:cstheme="majorBidi"/>
        </w:rPr>
        <w:t xml:space="preserve"> workplace incidents where workers were exposed to solutions of TMAH in various formulations. </w:t>
      </w:r>
      <w:r w:rsidR="00A03FA8">
        <w:rPr>
          <w:rFonts w:asciiTheme="majorBidi" w:hAnsiTheme="majorBidi" w:cstheme="majorBidi"/>
        </w:rPr>
        <w:t>Most of</w:t>
      </w:r>
      <w:r w:rsidR="000E3652">
        <w:rPr>
          <w:rFonts w:asciiTheme="majorBidi" w:hAnsiTheme="majorBidi" w:cstheme="majorBidi"/>
        </w:rPr>
        <w:t xml:space="preserve"> these exposures were to simple aqueous solutions, </w:t>
      </w:r>
      <w:proofErr w:type="gramStart"/>
      <w:r w:rsidR="000E3652">
        <w:rPr>
          <w:rFonts w:asciiTheme="majorBidi" w:hAnsiTheme="majorBidi" w:cstheme="majorBidi"/>
        </w:rPr>
        <w:t>similar to</w:t>
      </w:r>
      <w:proofErr w:type="gramEnd"/>
      <w:r w:rsidR="000E3652">
        <w:rPr>
          <w:rFonts w:asciiTheme="majorBidi" w:hAnsiTheme="majorBidi" w:cstheme="majorBidi"/>
        </w:rPr>
        <w:t xml:space="preserve"> those discussed in paragraph 2 above, but others were more complex formulations and one of the more complex formulations contained significant concentrations of constituents other than TMAH and water to the extent that it raises the question whether it should even be characterized as a “TMAH solution” or would more properly be characterized as an ethoxylated alcohol solution.</w:t>
      </w:r>
    </w:p>
    <w:p w14:paraId="6EF0D75C" w14:textId="3A86231E" w:rsidR="00107B5B" w:rsidRPr="00107B5B" w:rsidRDefault="00107B5B" w:rsidP="00107B5B">
      <w:pPr>
        <w:pStyle w:val="ListParagraph"/>
        <w:suppressAutoHyphens w:val="0"/>
        <w:kinsoku/>
        <w:overflowPunct/>
        <w:autoSpaceDE/>
        <w:autoSpaceDN/>
        <w:adjustRightInd/>
        <w:snapToGrid/>
        <w:spacing w:after="120"/>
        <w:ind w:left="1152" w:right="1152"/>
        <w:contextualSpacing w:val="0"/>
        <w:jc w:val="both"/>
        <w:rPr>
          <w:rFonts w:asciiTheme="majorBidi" w:eastAsiaTheme="majorBidi" w:hAnsiTheme="majorBidi" w:cstheme="majorBidi"/>
        </w:rPr>
      </w:pPr>
      <w:r>
        <w:rPr>
          <w:rFonts w:asciiTheme="majorBidi" w:hAnsiTheme="majorBidi" w:cstheme="majorBidi"/>
        </w:rPr>
        <w:t>5.</w:t>
      </w:r>
      <w:r>
        <w:rPr>
          <w:rFonts w:asciiTheme="majorBidi" w:hAnsiTheme="majorBidi" w:cstheme="majorBidi"/>
        </w:rPr>
        <w:tab/>
      </w:r>
      <w:r w:rsidR="006F0AAB">
        <w:rPr>
          <w:rFonts w:asciiTheme="majorBidi" w:hAnsiTheme="majorBidi" w:cstheme="majorBidi"/>
        </w:rPr>
        <w:t>Based on</w:t>
      </w:r>
      <w:r w:rsidR="000E3652">
        <w:rPr>
          <w:rFonts w:asciiTheme="majorBidi" w:hAnsiTheme="majorBidi" w:cstheme="majorBidi"/>
        </w:rPr>
        <w:t xml:space="preserve"> these incidents, </w:t>
      </w:r>
      <w:r w:rsidR="00A03FA8">
        <w:rPr>
          <w:rFonts w:asciiTheme="majorBidi" w:hAnsiTheme="majorBidi" w:cstheme="majorBidi"/>
        </w:rPr>
        <w:t xml:space="preserve">document </w:t>
      </w:r>
      <w:r w:rsidR="000E3652" w:rsidRPr="005F0D65">
        <w:rPr>
          <w:rFonts w:asciiTheme="majorBidi" w:hAnsiTheme="majorBidi" w:cstheme="majorBidi"/>
        </w:rPr>
        <w:t>ST/SG/AC.10/C.3/2022/24</w:t>
      </w:r>
      <w:r w:rsidR="000E3652">
        <w:rPr>
          <w:rFonts w:asciiTheme="majorBidi" w:hAnsiTheme="majorBidi" w:cstheme="majorBidi"/>
        </w:rPr>
        <w:t xml:space="preserve"> proposed a revision of the classification of both the substance (UN 3423, TMAH solid) and UN 1835 (TMAH solutions). Two options were presented</w:t>
      </w:r>
      <w:r>
        <w:rPr>
          <w:rFonts w:asciiTheme="majorBidi" w:hAnsiTheme="majorBidi" w:cstheme="majorBidi"/>
        </w:rPr>
        <w:t>:</w:t>
      </w:r>
    </w:p>
    <w:p w14:paraId="4AE11FB0" w14:textId="2882CD40" w:rsidR="000E3652" w:rsidRPr="00F44797" w:rsidRDefault="00107B5B" w:rsidP="00107B5B">
      <w:pPr>
        <w:pStyle w:val="ListParagraph"/>
        <w:suppressAutoHyphens w:val="0"/>
        <w:kinsoku/>
        <w:overflowPunct/>
        <w:autoSpaceDE/>
        <w:autoSpaceDN/>
        <w:adjustRightInd/>
        <w:snapToGrid/>
        <w:spacing w:after="120"/>
        <w:ind w:left="1152" w:right="1152"/>
        <w:contextualSpacing w:val="0"/>
        <w:jc w:val="both"/>
        <w:rPr>
          <w:rFonts w:asciiTheme="majorBidi" w:eastAsiaTheme="majorBidi" w:hAnsiTheme="majorBidi" w:cstheme="majorBidi"/>
        </w:rPr>
      </w:pPr>
      <w:r>
        <w:rPr>
          <w:rFonts w:asciiTheme="majorBidi" w:hAnsiTheme="majorBidi" w:cstheme="majorBidi"/>
        </w:rPr>
        <w:tab/>
      </w:r>
      <w:r w:rsidR="000E3652">
        <w:rPr>
          <w:rFonts w:asciiTheme="majorBidi" w:hAnsiTheme="majorBidi" w:cstheme="majorBidi"/>
        </w:rPr>
        <w:t>Option 1 proposed:</w:t>
      </w:r>
    </w:p>
    <w:p w14:paraId="5E6B06D9" w14:textId="78A1861B" w:rsidR="000E3652" w:rsidRPr="00F44797" w:rsidRDefault="000E3652" w:rsidP="000E3652">
      <w:pPr>
        <w:pStyle w:val="Bullet1G"/>
        <w:rPr>
          <w:rFonts w:eastAsiaTheme="majorBidi"/>
        </w:rPr>
      </w:pPr>
      <w:r w:rsidRPr="00F44797">
        <w:t xml:space="preserve">to reclassify </w:t>
      </w:r>
      <w:r>
        <w:t xml:space="preserve">solid </w:t>
      </w:r>
      <w:r w:rsidRPr="00F44797">
        <w:t xml:space="preserve">TMAH </w:t>
      </w:r>
      <w:r>
        <w:t>(UN</w:t>
      </w:r>
      <w:r w:rsidR="00CD308A">
        <w:t xml:space="preserve"> </w:t>
      </w:r>
      <w:r>
        <w:t xml:space="preserve">3423) </w:t>
      </w:r>
      <w:r w:rsidRPr="00F44797">
        <w:t xml:space="preserve">as Class 6.1 (8), PG I, </w:t>
      </w:r>
      <w:r>
        <w:t>from Class 8, PG II, and to add special provision 279 to Column 6,</w:t>
      </w:r>
    </w:p>
    <w:p w14:paraId="4AF28EEB" w14:textId="67A2B06B" w:rsidR="000E3652" w:rsidRPr="00F44797" w:rsidRDefault="000E3652" w:rsidP="000E3652">
      <w:pPr>
        <w:pStyle w:val="Bullet1G"/>
        <w:rPr>
          <w:rFonts w:eastAsiaTheme="majorBidi"/>
        </w:rPr>
      </w:pPr>
      <w:r>
        <w:t xml:space="preserve">to add </w:t>
      </w:r>
      <w:r w:rsidRPr="00F44797">
        <w:t>a</w:t>
      </w:r>
      <w:r>
        <w:t xml:space="preserve"> new </w:t>
      </w:r>
      <w:proofErr w:type="gramStart"/>
      <w:r>
        <w:t>PG</w:t>
      </w:r>
      <w:proofErr w:type="gramEnd"/>
      <w:r>
        <w:t xml:space="preserve"> I </w:t>
      </w:r>
      <w:r w:rsidRPr="00F44797">
        <w:t>entry for TMAH solutions (UN</w:t>
      </w:r>
      <w:r w:rsidR="00CD308A">
        <w:t xml:space="preserve"> </w:t>
      </w:r>
      <w:r w:rsidRPr="00F44797">
        <w:t xml:space="preserve">1835) </w:t>
      </w:r>
      <w:r>
        <w:t>whereby concentrations with more than 8.75</w:t>
      </w:r>
      <w:r w:rsidR="00CD308A">
        <w:t xml:space="preserve"> </w:t>
      </w:r>
      <w:r>
        <w:t xml:space="preserve">% would be reclassified as 6.1 (8), PG I, and to add </w:t>
      </w:r>
      <w:r w:rsidR="00A03FA8">
        <w:t>special provision</w:t>
      </w:r>
      <w:r>
        <w:t xml:space="preserve"> 279 (matching the entry for the pure substance),</w:t>
      </w:r>
    </w:p>
    <w:p w14:paraId="5661B047" w14:textId="77777777" w:rsidR="000E3652" w:rsidRPr="002C4E19" w:rsidRDefault="000E3652" w:rsidP="000E3652">
      <w:pPr>
        <w:pStyle w:val="Bullet1G"/>
        <w:rPr>
          <w:rFonts w:eastAsiaTheme="majorBidi"/>
        </w:rPr>
      </w:pPr>
      <w:r>
        <w:t xml:space="preserve">to revise the PG II entry for TMAH solutions (UN 1835) so that it applies to solutions with not less than 2.38% but not more than 8.75%, and reclassify them to 6.1 (8), II from 8, II, and </w:t>
      </w:r>
    </w:p>
    <w:p w14:paraId="7CB464A3" w14:textId="03D4E30A" w:rsidR="000E3652" w:rsidRPr="00081F02" w:rsidRDefault="000E3652" w:rsidP="000E3652">
      <w:pPr>
        <w:pStyle w:val="Bullet1G"/>
        <w:rPr>
          <w:rFonts w:eastAsiaTheme="majorBidi"/>
        </w:rPr>
      </w:pPr>
      <w:r>
        <w:t>to revise the entry for PG III solutions so that it applies to solutions with less than 2.38</w:t>
      </w:r>
      <w:r w:rsidR="00CD308A">
        <w:t> </w:t>
      </w:r>
      <w:r>
        <w:t>%, but with no proposed change to the existing classification so that these would remain classified as currently listed, i.e., 8, III.</w:t>
      </w:r>
    </w:p>
    <w:p w14:paraId="2F85C10B" w14:textId="69D3F7C3" w:rsidR="000E3652" w:rsidRPr="00672143" w:rsidRDefault="00CD308A" w:rsidP="000E3652">
      <w:pPr>
        <w:pStyle w:val="Bullet1G"/>
        <w:rPr>
          <w:rFonts w:eastAsiaTheme="majorBidi"/>
        </w:rPr>
      </w:pPr>
      <w:r>
        <w:t>Special provision</w:t>
      </w:r>
      <w:r w:rsidR="000E3652">
        <w:t xml:space="preserve"> 223 would be assigned only to the PG III entry, as it is currently.</w:t>
      </w:r>
    </w:p>
    <w:p w14:paraId="0B8FC431" w14:textId="18BD7938" w:rsidR="000E3652" w:rsidRDefault="00A03FA8" w:rsidP="000E3652">
      <w:pPr>
        <w:pStyle w:val="SingleTxtG"/>
      </w:pPr>
      <w:r>
        <w:tab/>
      </w:r>
      <w:r>
        <w:tab/>
      </w:r>
      <w:r w:rsidR="000E3652">
        <w:t>Option 2 would not show concentration limits but would otherwise be identical to Option 1.</w:t>
      </w:r>
    </w:p>
    <w:p w14:paraId="25663B02" w14:textId="77777777" w:rsidR="000E3652" w:rsidRDefault="000E3652" w:rsidP="000E3652">
      <w:pPr>
        <w:pStyle w:val="SingleTxtG"/>
      </w:pPr>
      <w:r>
        <w:t>6.</w:t>
      </w:r>
      <w:r>
        <w:tab/>
      </w:r>
      <w:proofErr w:type="spellStart"/>
      <w:r>
        <w:t>Cefic</w:t>
      </w:r>
      <w:proofErr w:type="spellEnd"/>
      <w:r>
        <w:t xml:space="preserve"> and DGAC, along with most members of the Sub-Committee, agreed that these incidents of human experience warranted the addition of division 6.1 as an additional classification for the substance and for its solutions in higher concentration. However, </w:t>
      </w:r>
    </w:p>
    <w:p w14:paraId="6E88B49C" w14:textId="201BD6C5" w:rsidR="000E3652" w:rsidRPr="00162698" w:rsidRDefault="000E3652" w:rsidP="000E3652">
      <w:pPr>
        <w:pStyle w:val="Bullet1G"/>
        <w:rPr>
          <w:rFonts w:asciiTheme="minorHAnsi" w:eastAsiaTheme="minorEastAsia" w:hAnsiTheme="minorHAnsi" w:cstheme="minorBidi"/>
        </w:rPr>
      </w:pPr>
      <w:r w:rsidRPr="00162698">
        <w:t xml:space="preserve">noting the difficulties with </w:t>
      </w:r>
      <w:r>
        <w:t xml:space="preserve">assigning a </w:t>
      </w:r>
      <w:r w:rsidRPr="00162698">
        <w:t>packing group based solely on human experience,</w:t>
      </w:r>
    </w:p>
    <w:p w14:paraId="0D85C4A7" w14:textId="670B09B2" w:rsidR="000E3652" w:rsidRPr="00162698" w:rsidRDefault="000E3652" w:rsidP="000E3652">
      <w:pPr>
        <w:pStyle w:val="Bullet1G"/>
        <w:rPr>
          <w:rFonts w:asciiTheme="minorHAnsi" w:eastAsiaTheme="minorEastAsia" w:hAnsiTheme="minorHAnsi" w:cstheme="minorBidi"/>
        </w:rPr>
      </w:pPr>
      <w:r w:rsidRPr="00162698">
        <w:t>noting that available animal data indicates that aqueous solutions with less than 25</w:t>
      </w:r>
      <w:r w:rsidR="00977139">
        <w:t xml:space="preserve"> </w:t>
      </w:r>
      <w:r w:rsidRPr="00162698">
        <w:t>% TMAH should be assigned to PG II, not PG I,</w:t>
      </w:r>
    </w:p>
    <w:p w14:paraId="5FD5F76F" w14:textId="2085A24A" w:rsidR="000E3652" w:rsidRPr="000334E7" w:rsidRDefault="000E3652" w:rsidP="000E3652">
      <w:pPr>
        <w:pStyle w:val="Bullet1G"/>
        <w:rPr>
          <w:rFonts w:asciiTheme="minorHAnsi" w:eastAsiaTheme="minorEastAsia" w:hAnsiTheme="minorHAnsi" w:cstheme="minorBidi"/>
        </w:rPr>
      </w:pPr>
      <w:r w:rsidRPr="00162698">
        <w:t xml:space="preserve">noting that the proposal </w:t>
      </w:r>
      <w:r>
        <w:t xml:space="preserve">aimed </w:t>
      </w:r>
      <w:r w:rsidRPr="00162698">
        <w:t xml:space="preserve">to </w:t>
      </w:r>
      <w:r>
        <w:t>reclassify all solutions containing TMAH based solely on the concentration of TMAH without regard to the complexity of the formulation (i.e., without regard to the presence or absence of other constituents),</w:t>
      </w:r>
    </w:p>
    <w:p w14:paraId="1C7DA3B2" w14:textId="77777777" w:rsidR="00977139" w:rsidRDefault="000E3652" w:rsidP="00837AD1">
      <w:pPr>
        <w:pStyle w:val="Bullet1G"/>
        <w:numPr>
          <w:ilvl w:val="0"/>
          <w:numId w:val="8"/>
        </w:numPr>
      </w:pPr>
      <w:r>
        <w:t xml:space="preserve">noting that the proposal to classify all TMAH solutions </w:t>
      </w:r>
      <w:r w:rsidRPr="00162698">
        <w:t>with concentrations above 8.75% was based on one single incident where there was a</w:t>
      </w:r>
      <w:r>
        <w:t xml:space="preserve"> tragic outcome to an</w:t>
      </w:r>
      <w:r w:rsidRPr="00162698">
        <w:t xml:space="preserve"> exposure to a </w:t>
      </w:r>
      <w:r>
        <w:t>complex formulation containing multiple chemicals including a surfactant (the specific incident contained a type of surfactant known to also be used to enhance the efficacy of dermal medications) in an even greater concentration than the TMAH, and</w:t>
      </w:r>
      <w:r w:rsidR="00977139">
        <w:t xml:space="preserve"> </w:t>
      </w:r>
    </w:p>
    <w:p w14:paraId="5654235E" w14:textId="105EB620" w:rsidR="000E3652" w:rsidRPr="000E3652" w:rsidRDefault="000E3652" w:rsidP="00837AD1">
      <w:pPr>
        <w:pStyle w:val="Bullet1G"/>
      </w:pPr>
      <w:r w:rsidRPr="000E3652">
        <w:t xml:space="preserve">noting the significant implications for the carriage of aqueous solutions of TMAH if reclassified from PG II to PG I, including disallowing the use of IBCs, currently the </w:t>
      </w:r>
      <w:proofErr w:type="gramStart"/>
      <w:r w:rsidRPr="000E3652">
        <w:t>most commonly used</w:t>
      </w:r>
      <w:proofErr w:type="gramEnd"/>
      <w:r w:rsidRPr="000E3652">
        <w:t xml:space="preserve"> type of packaging, </w:t>
      </w:r>
    </w:p>
    <w:p w14:paraId="045B2DAC" w14:textId="3693A714" w:rsidR="000E3652" w:rsidRPr="000E3652" w:rsidRDefault="000E3652" w:rsidP="000E3652">
      <w:pPr>
        <w:pStyle w:val="SingleTxtG"/>
      </w:pPr>
      <w:proofErr w:type="spellStart"/>
      <w:r w:rsidRPr="000E3652">
        <w:t>Cefic</w:t>
      </w:r>
      <w:proofErr w:type="spellEnd"/>
      <w:r w:rsidRPr="000E3652">
        <w:t xml:space="preserve"> and DGAC submitted </w:t>
      </w:r>
      <w:r w:rsidR="00004CAB">
        <w:t xml:space="preserve">informal document </w:t>
      </w:r>
      <w:r w:rsidRPr="000E3652">
        <w:t xml:space="preserve">INF.22 </w:t>
      </w:r>
      <w:r w:rsidR="00004CAB">
        <w:t>(sixtieth session)</w:t>
      </w:r>
      <w:r w:rsidRPr="000E3652">
        <w:t xml:space="preserve"> suggesting that a careful review of the available data is necessary before a final decision on packing group assignments is made and offering to undertake such a review. The Sub-Committee welcomed this suggested review of data, and the expert from the Netherlands volunteered to submit a revised proposal to the next session </w:t>
      </w:r>
      <w:proofErr w:type="gramStart"/>
      <w:r w:rsidRPr="000E3652">
        <w:t>taking into account</w:t>
      </w:r>
      <w:proofErr w:type="gramEnd"/>
      <w:r w:rsidRPr="000E3652">
        <w:t xml:space="preserve"> the comments received.</w:t>
      </w:r>
    </w:p>
    <w:p w14:paraId="38F3CAB8" w14:textId="7115A9E0" w:rsidR="000E3652" w:rsidRPr="00162698" w:rsidRDefault="000E3652" w:rsidP="000E3652">
      <w:pPr>
        <w:pStyle w:val="SingleTxtG"/>
        <w:rPr>
          <w:rFonts w:asciiTheme="minorHAnsi" w:eastAsiaTheme="minorEastAsia" w:hAnsiTheme="minorHAnsi" w:cstheme="minorBidi"/>
        </w:rPr>
      </w:pPr>
      <w:r>
        <w:t>7.</w:t>
      </w:r>
      <w:r>
        <w:tab/>
        <w:t xml:space="preserve">Industry has undertaken that review of data as promised. Various studies and sources of information were evaluated. An overarching report was prepared by </w:t>
      </w:r>
      <w:r w:rsidR="00857583">
        <w:t>the</w:t>
      </w:r>
      <w:r w:rsidR="007B0190" w:rsidRPr="007B0190">
        <w:t xml:space="preserve"> </w:t>
      </w:r>
      <w:r w:rsidR="00857583">
        <w:t>I</w:t>
      </w:r>
      <w:r w:rsidR="00857583" w:rsidRPr="007B0190">
        <w:t xml:space="preserve">ndustrial </w:t>
      </w:r>
      <w:r w:rsidR="00857583">
        <w:t>H</w:t>
      </w:r>
      <w:r w:rsidR="00857583" w:rsidRPr="007B0190">
        <w:t xml:space="preserve">ealth </w:t>
      </w:r>
      <w:r w:rsidR="00857583">
        <w:t>and</w:t>
      </w:r>
      <w:r w:rsidR="00857583" w:rsidRPr="007B0190">
        <w:t xml:space="preserve"> </w:t>
      </w:r>
      <w:r w:rsidR="00857583">
        <w:t>S</w:t>
      </w:r>
      <w:r w:rsidR="00857583" w:rsidRPr="007B0190">
        <w:t xml:space="preserve">afety </w:t>
      </w:r>
      <w:r w:rsidR="00857583">
        <w:t>C</w:t>
      </w:r>
      <w:r w:rsidR="00857583" w:rsidRPr="007B0190">
        <w:t>onsultants</w:t>
      </w:r>
      <w:r w:rsidR="007B0190" w:rsidRPr="007B0190">
        <w:t xml:space="preserve"> </w:t>
      </w:r>
      <w:r w:rsidR="00A81F4D">
        <w:t>(</w:t>
      </w:r>
      <w:r w:rsidRPr="004C59E3">
        <w:t>IHSC, LLC</w:t>
      </w:r>
      <w:r w:rsidR="00A81F4D">
        <w:t>)</w:t>
      </w:r>
      <w:r>
        <w:t xml:space="preserve"> and a comprehensive study of the 8.75</w:t>
      </w:r>
      <w:r w:rsidR="00C82166">
        <w:t xml:space="preserve"> </w:t>
      </w:r>
      <w:r>
        <w:t xml:space="preserve">% incident was undertaken by Charles River. Those two reports are presented as Annex 1 and Annex 2 respectively. In short, </w:t>
      </w:r>
      <w:proofErr w:type="spellStart"/>
      <w:r w:rsidR="00B667C9" w:rsidRPr="000E3652">
        <w:t>Cefic</w:t>
      </w:r>
      <w:proofErr w:type="spellEnd"/>
      <w:r w:rsidR="00B667C9" w:rsidRPr="000E3652">
        <w:t xml:space="preserve"> and DGAC</w:t>
      </w:r>
      <w:r>
        <w:t xml:space="preserve"> find that the available data do support the addition of </w:t>
      </w:r>
      <w:r w:rsidR="00612C67">
        <w:t>d</w:t>
      </w:r>
      <w:r>
        <w:t xml:space="preserve">ivision 6.1 in the classification for the substance and many of its solutions, but also that the data show it is not feasible to develop a single set of cut-off values to determine the packing group of every formulation that happens to contain TMAH. These findings are consistent with the general approach to classification presented in the Model Regulations that assigns a classification for a mixture </w:t>
      </w:r>
      <w:proofErr w:type="gramStart"/>
      <w:r>
        <w:t>on the basis of</w:t>
      </w:r>
      <w:proofErr w:type="gramEnd"/>
      <w:r>
        <w:t xml:space="preserve"> the characteristics of the mixture, not primarily on the characteristics of the constituents in the mixture. Specifically, </w:t>
      </w:r>
      <w:proofErr w:type="spellStart"/>
      <w:r w:rsidR="00E86C6A" w:rsidRPr="000E3652">
        <w:t>Cefic</w:t>
      </w:r>
      <w:proofErr w:type="spellEnd"/>
      <w:r w:rsidR="00E86C6A" w:rsidRPr="000E3652">
        <w:t xml:space="preserve"> and DGAC</w:t>
      </w:r>
      <w:r>
        <w:t xml:space="preserve"> find that aqueous solutions can be reliably classified based on the concentration of TMAH in water, but that more complex formulations containing </w:t>
      </w:r>
      <w:proofErr w:type="gramStart"/>
      <w:r>
        <w:t>TMAH</w:t>
      </w:r>
      <w:proofErr w:type="gramEnd"/>
      <w:r>
        <w:t xml:space="preserve"> and other constituents are not susceptible to such an approach. In short, the available data do support the addition of division 6.1 in the classification for the substance and most of its solutions, but do not support the assignment of PG I to aqueous solutions containing less than 25</w:t>
      </w:r>
      <w:r w:rsidR="00E86C6A">
        <w:t xml:space="preserve"> </w:t>
      </w:r>
      <w:r>
        <w:t>% TMAH (see Annex 1)</w:t>
      </w:r>
      <w:r w:rsidR="005262F6">
        <w:t>.</w:t>
      </w:r>
    </w:p>
    <w:p w14:paraId="6FC091F3" w14:textId="77777777" w:rsidR="000E3652" w:rsidRDefault="000E3652" w:rsidP="000E3652">
      <w:pPr>
        <w:pStyle w:val="HChG"/>
        <w:spacing w:line="240" w:lineRule="atLeast"/>
        <w:ind w:right="1138"/>
        <w:jc w:val="both"/>
      </w:pPr>
      <w:r>
        <w:tab/>
        <w:t>III.</w:t>
      </w:r>
      <w:r>
        <w:tab/>
        <w:t>Classification by human experience should be refined by animal data</w:t>
      </w:r>
    </w:p>
    <w:p w14:paraId="49AC0EF0" w14:textId="28B06404" w:rsidR="000E3652" w:rsidRDefault="000E3652" w:rsidP="000E3652">
      <w:pPr>
        <w:pStyle w:val="SingleTxtG"/>
        <w:rPr>
          <w:lang w:val="en-US"/>
        </w:rPr>
      </w:pPr>
      <w:r>
        <w:rPr>
          <w:lang w:val="en-US"/>
        </w:rPr>
        <w:t>8.</w:t>
      </w:r>
      <w:r>
        <w:rPr>
          <w:lang w:val="en-US"/>
        </w:rPr>
        <w:tab/>
        <w:t xml:space="preserve">There have been </w:t>
      </w:r>
      <w:proofErr w:type="gramStart"/>
      <w:r>
        <w:rPr>
          <w:lang w:val="en-US"/>
        </w:rPr>
        <w:t>a number of</w:t>
      </w:r>
      <w:proofErr w:type="gramEnd"/>
      <w:r>
        <w:rPr>
          <w:lang w:val="en-US"/>
        </w:rPr>
        <w:t xml:space="preserve"> reported cases of worker exposure to TMAH where toxic effects were observed (see Table 1 of </w:t>
      </w:r>
      <w:r w:rsidR="00646644">
        <w:rPr>
          <w:lang w:val="en-US"/>
        </w:rPr>
        <w:t xml:space="preserve">document </w:t>
      </w:r>
      <w:r>
        <w:rPr>
          <w:color w:val="000000" w:themeColor="text1"/>
          <w:lang w:val="en-US"/>
        </w:rPr>
        <w:t>ST/SG/AC.10/C.3/2022/24)</w:t>
      </w:r>
      <w:r>
        <w:rPr>
          <w:lang w:val="en-US"/>
        </w:rPr>
        <w:t>. These reports support the conclusion that TMAH should be classified for acute toxicity in addition to corrosivity for transport.</w:t>
      </w:r>
    </w:p>
    <w:p w14:paraId="68C5EA2C" w14:textId="7A300D41" w:rsidR="000E3652" w:rsidRDefault="000E3652" w:rsidP="000E3652">
      <w:pPr>
        <w:pStyle w:val="SingleTxtG"/>
        <w:rPr>
          <w:lang w:val="en-US"/>
        </w:rPr>
      </w:pPr>
      <w:r>
        <w:rPr>
          <w:lang w:val="en-US"/>
        </w:rPr>
        <w:t>9.</w:t>
      </w:r>
      <w:r>
        <w:rPr>
          <w:lang w:val="en-US"/>
        </w:rPr>
        <w:tab/>
        <w:t xml:space="preserve">While incidental human exposure can certainly provide valuable information regarding potential hazards of chemicals, there are limitations inherent to retrospective observational studies of incidents that occurred in uncontrolled conditions. </w:t>
      </w:r>
      <w:r w:rsidRPr="00A52457">
        <w:rPr>
          <w:lang w:val="en-US"/>
        </w:rPr>
        <w:t>As discussed by Huang et al</w:t>
      </w:r>
      <w:r>
        <w:rPr>
          <w:lang w:val="en-US"/>
        </w:rPr>
        <w:t>.</w:t>
      </w:r>
      <w:r w:rsidR="00C2330E">
        <w:rPr>
          <w:rStyle w:val="FootnoteReference"/>
          <w:lang w:val="en-US"/>
        </w:rPr>
        <w:footnoteReference w:customMarkFollows="1" w:id="3"/>
        <w:t>1</w:t>
      </w:r>
      <w:r w:rsidRPr="00A52457">
        <w:rPr>
          <w:lang w:val="en-US"/>
        </w:rPr>
        <w:t xml:space="preserve">, a small number of included cases in retrospective studies does not allow an accurate assessment of the severity of TMAH poisoning. </w:t>
      </w:r>
      <w:r>
        <w:rPr>
          <w:lang w:val="en-US"/>
        </w:rPr>
        <w:t>For example, d</w:t>
      </w:r>
      <w:r w:rsidRPr="00A52457">
        <w:rPr>
          <w:lang w:val="en-US"/>
        </w:rPr>
        <w:t>ata collection</w:t>
      </w:r>
      <w:r>
        <w:rPr>
          <w:lang w:val="en-US"/>
        </w:rPr>
        <w:t xml:space="preserve"> is often based on telephone consultations which, they indicate, likely introduces additional variation among cases.</w:t>
      </w:r>
    </w:p>
    <w:p w14:paraId="0BB583C9" w14:textId="691EF0E7" w:rsidR="000E3652" w:rsidRDefault="000E3652" w:rsidP="000E3652">
      <w:pPr>
        <w:pStyle w:val="SingleTxtG"/>
        <w:rPr>
          <w:lang w:val="en-US"/>
        </w:rPr>
      </w:pPr>
      <w:r>
        <w:rPr>
          <w:lang w:val="en-US"/>
        </w:rPr>
        <w:t>10.</w:t>
      </w:r>
      <w:r>
        <w:rPr>
          <w:lang w:val="en-US"/>
        </w:rPr>
        <w:tab/>
      </w:r>
      <w:r w:rsidRPr="00CB7A9F">
        <w:rPr>
          <w:lang w:val="en-US"/>
        </w:rPr>
        <w:t xml:space="preserve">As </w:t>
      </w:r>
      <w:r>
        <w:rPr>
          <w:lang w:val="en-US"/>
        </w:rPr>
        <w:t>stated</w:t>
      </w:r>
      <w:r w:rsidRPr="00CB7A9F">
        <w:rPr>
          <w:lang w:val="en-US"/>
        </w:rPr>
        <w:t xml:space="preserve"> in the Model Regulations, whenever human experience indicates a characteristic of corrosivity and/or toxicity, the relevant hazard class should be assigned accordingly. </w:t>
      </w:r>
      <w:r>
        <w:rPr>
          <w:lang w:val="en-US"/>
        </w:rPr>
        <w:t xml:space="preserve">It is far more complicated to assign a packing group on this basis. </w:t>
      </w:r>
      <w:r w:rsidRPr="00CB7A9F">
        <w:rPr>
          <w:lang w:val="en-US"/>
        </w:rPr>
        <w:t xml:space="preserve">Due to the absence of defining criteria for classification by human experience, due to the variability in the </w:t>
      </w:r>
      <w:r>
        <w:rPr>
          <w:lang w:val="en-US"/>
        </w:rPr>
        <w:t xml:space="preserve">exposure times </w:t>
      </w:r>
      <w:r w:rsidRPr="00CB7A9F">
        <w:rPr>
          <w:lang w:val="en-US"/>
        </w:rPr>
        <w:t xml:space="preserve">and </w:t>
      </w:r>
      <w:r>
        <w:rPr>
          <w:lang w:val="en-US"/>
        </w:rPr>
        <w:t xml:space="preserve">in </w:t>
      </w:r>
      <w:r w:rsidRPr="00CB7A9F">
        <w:rPr>
          <w:lang w:val="en-US"/>
        </w:rPr>
        <w:t xml:space="preserve">the reporting of such incidents, </w:t>
      </w:r>
      <w:r w:rsidRPr="006937EA">
        <w:rPr>
          <w:lang w:val="en-US"/>
        </w:rPr>
        <w:t xml:space="preserve">and </w:t>
      </w:r>
      <w:r>
        <w:rPr>
          <w:lang w:val="en-US"/>
        </w:rPr>
        <w:t xml:space="preserve">due to </w:t>
      </w:r>
      <w:r w:rsidRPr="006937EA">
        <w:rPr>
          <w:lang w:val="en-US"/>
        </w:rPr>
        <w:t>the variability</w:t>
      </w:r>
      <w:r>
        <w:rPr>
          <w:lang w:val="en-US"/>
        </w:rPr>
        <w:t xml:space="preserve"> of circumstances</w:t>
      </w:r>
      <w:r w:rsidRPr="006937EA">
        <w:rPr>
          <w:lang w:val="en-US"/>
        </w:rPr>
        <w:t>, lack of reproducibility, and lack of control</w:t>
      </w:r>
      <w:r>
        <w:rPr>
          <w:lang w:val="en-US"/>
        </w:rPr>
        <w:t>s</w:t>
      </w:r>
      <w:r w:rsidRPr="006937EA">
        <w:rPr>
          <w:lang w:val="en-US"/>
        </w:rPr>
        <w:t xml:space="preserve"> o</w:t>
      </w:r>
      <w:r>
        <w:rPr>
          <w:lang w:val="en-US"/>
        </w:rPr>
        <w:t>f</w:t>
      </w:r>
      <w:r w:rsidRPr="006937EA">
        <w:rPr>
          <w:lang w:val="en-US"/>
        </w:rPr>
        <w:t xml:space="preserve"> incidents of human exposure, </w:t>
      </w:r>
      <w:r>
        <w:rPr>
          <w:lang w:val="en-US"/>
        </w:rPr>
        <w:t xml:space="preserve">it is difficult to make a complete classification solely </w:t>
      </w:r>
      <w:proofErr w:type="gramStart"/>
      <w:r>
        <w:rPr>
          <w:lang w:val="en-US"/>
        </w:rPr>
        <w:t>on the basis of</w:t>
      </w:r>
      <w:proofErr w:type="gramEnd"/>
      <w:r>
        <w:rPr>
          <w:lang w:val="en-US"/>
        </w:rPr>
        <w:t xml:space="preserve"> human experience. Consistent, </w:t>
      </w:r>
      <w:r w:rsidRPr="00CB7A9F">
        <w:rPr>
          <w:lang w:val="en-US"/>
        </w:rPr>
        <w:t>reliable</w:t>
      </w:r>
      <w:r>
        <w:rPr>
          <w:lang w:val="en-US"/>
        </w:rPr>
        <w:t>,</w:t>
      </w:r>
      <w:r w:rsidRPr="00CB7A9F">
        <w:rPr>
          <w:lang w:val="en-US"/>
        </w:rPr>
        <w:t xml:space="preserve"> </w:t>
      </w:r>
      <w:r>
        <w:rPr>
          <w:lang w:val="en-US"/>
        </w:rPr>
        <w:t xml:space="preserve">applicable, </w:t>
      </w:r>
      <w:r w:rsidRPr="00CB7A9F">
        <w:rPr>
          <w:lang w:val="en-US"/>
        </w:rPr>
        <w:t>experimentally derived animal data should be used to refine</w:t>
      </w:r>
      <w:r>
        <w:rPr>
          <w:lang w:val="en-US"/>
        </w:rPr>
        <w:t xml:space="preserve">, </w:t>
      </w:r>
      <w:r w:rsidRPr="00CB7A9F">
        <w:rPr>
          <w:lang w:val="en-US"/>
        </w:rPr>
        <w:t>but not override</w:t>
      </w:r>
      <w:r>
        <w:rPr>
          <w:lang w:val="en-US"/>
        </w:rPr>
        <w:t>,</w:t>
      </w:r>
      <w:r w:rsidRPr="00CB7A9F">
        <w:rPr>
          <w:lang w:val="en-US"/>
        </w:rPr>
        <w:t xml:space="preserve"> data from human experience</w:t>
      </w:r>
      <w:r>
        <w:rPr>
          <w:lang w:val="en-US"/>
        </w:rPr>
        <w:t xml:space="preserve"> when available</w:t>
      </w:r>
      <w:r w:rsidRPr="00CB7A9F">
        <w:rPr>
          <w:lang w:val="en-US"/>
        </w:rPr>
        <w:t>.</w:t>
      </w:r>
    </w:p>
    <w:p w14:paraId="4D8D7BC7" w14:textId="297AC7FB" w:rsidR="000E3652" w:rsidRPr="00CB7A9F" w:rsidRDefault="000E3652" w:rsidP="000E3652">
      <w:pPr>
        <w:pStyle w:val="SingleTxtG"/>
        <w:rPr>
          <w:lang w:val="en-US"/>
        </w:rPr>
      </w:pPr>
      <w:r>
        <w:rPr>
          <w:lang w:val="en-US"/>
        </w:rPr>
        <w:t>11.</w:t>
      </w:r>
      <w:r>
        <w:rPr>
          <w:lang w:val="en-US"/>
        </w:rPr>
        <w:tab/>
        <w:t>A considerable amount of such experimentally derived animal data is available for use in refining the classification of TMAH solutions and was included in the review by industry. It is important to note that although these data were generated by tests conducted on rats, rather than rabbits as indicated in the Model Regulations, the IHSC report goes into detail as to why these results are now the preferred data in other regulatory applications, and why they are useful, valid, and can be substituted for rabbit data, even for transport classifications, and are “</w:t>
      </w:r>
      <w:r w:rsidRPr="00D809AB">
        <w:rPr>
          <w:lang w:val="en-US"/>
        </w:rPr>
        <w:t>unlikely to underestimate dermal absorption in humans”</w:t>
      </w:r>
      <w:r>
        <w:rPr>
          <w:lang w:val="en-US"/>
        </w:rPr>
        <w:t xml:space="preserve"> (see Annex</w:t>
      </w:r>
      <w:r w:rsidR="00D05F9D">
        <w:rPr>
          <w:lang w:val="en-US"/>
        </w:rPr>
        <w:t> </w:t>
      </w:r>
      <w:r>
        <w:rPr>
          <w:lang w:val="en-US"/>
        </w:rPr>
        <w:t>1)</w:t>
      </w:r>
      <w:r w:rsidR="00D05F9D">
        <w:rPr>
          <w:lang w:val="en-US"/>
        </w:rPr>
        <w:t>.</w:t>
      </w:r>
      <w:r>
        <w:rPr>
          <w:lang w:val="en-US"/>
        </w:rPr>
        <w:t xml:space="preserve"> The Model Regulations even seems to anticipate this problem, and allow for it, based on the Note to 2.6.2.3.3, wherein the discussion of methods for determining the classification of a toxic mixture for which data on the mixture are not available allows for a classification based on a knowledge of the constituents “provided this information is </w:t>
      </w:r>
      <w:r w:rsidRPr="00FB72E2">
        <w:rPr>
          <w:i/>
          <w:iCs/>
          <w:lang w:val="en-US"/>
        </w:rPr>
        <w:t>available on the same species</w:t>
      </w:r>
      <w:r>
        <w:rPr>
          <w:lang w:val="en-US"/>
        </w:rPr>
        <w:t xml:space="preserve"> for all constituents” (emphasis added)</w:t>
      </w:r>
      <w:r w:rsidR="008815DC">
        <w:rPr>
          <w:lang w:val="en-US"/>
        </w:rPr>
        <w:t>.</w:t>
      </w:r>
    </w:p>
    <w:p w14:paraId="0F0604E4" w14:textId="1A7176D9" w:rsidR="000E3652" w:rsidRDefault="000E3652" w:rsidP="000E3652">
      <w:pPr>
        <w:pStyle w:val="HChG"/>
        <w:spacing w:line="240" w:lineRule="atLeast"/>
        <w:ind w:right="1138"/>
        <w:jc w:val="both"/>
      </w:pPr>
      <w:r>
        <w:tab/>
        <w:t>IV.</w:t>
      </w:r>
      <w:r>
        <w:tab/>
        <w:t>The 8.75</w:t>
      </w:r>
      <w:r w:rsidR="002F3C3F">
        <w:t xml:space="preserve"> </w:t>
      </w:r>
      <w:r>
        <w:t>% solution is not representative of aqueous solutions</w:t>
      </w:r>
    </w:p>
    <w:p w14:paraId="74F656DF" w14:textId="3B30E741" w:rsidR="000E3652" w:rsidRDefault="000E3652" w:rsidP="000E3652">
      <w:pPr>
        <w:pStyle w:val="SingleTxtG"/>
        <w:rPr>
          <w:lang w:val="en-US"/>
        </w:rPr>
      </w:pPr>
      <w:r>
        <w:rPr>
          <w:lang w:val="en-US"/>
        </w:rPr>
        <w:t>12.</w:t>
      </w:r>
      <w:r>
        <w:rPr>
          <w:lang w:val="en-US"/>
        </w:rPr>
        <w:tab/>
      </w:r>
      <w:proofErr w:type="spellStart"/>
      <w:r w:rsidR="00855D01" w:rsidRPr="000E3652">
        <w:t>Cefic</w:t>
      </w:r>
      <w:proofErr w:type="spellEnd"/>
      <w:r w:rsidR="00855D01" w:rsidRPr="000E3652">
        <w:t xml:space="preserve"> and DGAC</w:t>
      </w:r>
      <w:r w:rsidRPr="000E3652">
        <w:t xml:space="preserve"> </w:t>
      </w:r>
      <w:r>
        <w:rPr>
          <w:lang w:val="en-US"/>
        </w:rPr>
        <w:t>are aware of only one reported fatality resulting from an exposure to a TMAH concentration below 25</w:t>
      </w:r>
      <w:r w:rsidR="00855D01">
        <w:rPr>
          <w:lang w:val="en-US"/>
        </w:rPr>
        <w:t xml:space="preserve"> </w:t>
      </w:r>
      <w:r>
        <w:rPr>
          <w:lang w:val="en-US"/>
        </w:rPr>
        <w:t>%. In this case, the individual was not exposed to a simple aqueous solution of TMAH, but to a mixture containing 8.75</w:t>
      </w:r>
      <w:r w:rsidR="006E3070">
        <w:rPr>
          <w:lang w:val="en-US"/>
        </w:rPr>
        <w:t xml:space="preserve"> </w:t>
      </w:r>
      <w:r>
        <w:rPr>
          <w:lang w:val="en-US"/>
        </w:rPr>
        <w:t>% TMAH in addition to several additional chemicals, including 5</w:t>
      </w:r>
      <w:r w:rsidR="006E3070">
        <w:rPr>
          <w:lang w:val="en-US"/>
        </w:rPr>
        <w:t xml:space="preserve"> </w:t>
      </w:r>
      <w:r>
        <w:rPr>
          <w:lang w:val="en-US"/>
        </w:rPr>
        <w:t xml:space="preserve">% </w:t>
      </w:r>
      <w:proofErr w:type="spellStart"/>
      <w:r>
        <w:rPr>
          <w:lang w:val="en-US"/>
        </w:rPr>
        <w:t>monoethanolamine</w:t>
      </w:r>
      <w:proofErr w:type="spellEnd"/>
      <w:r>
        <w:rPr>
          <w:lang w:val="en-US"/>
        </w:rPr>
        <w:t xml:space="preserve"> and 10</w:t>
      </w:r>
      <w:r w:rsidR="006E3070">
        <w:rPr>
          <w:lang w:val="en-US"/>
        </w:rPr>
        <w:t xml:space="preserve"> </w:t>
      </w:r>
      <w:r>
        <w:rPr>
          <w:lang w:val="en-US"/>
        </w:rPr>
        <w:t xml:space="preserve">% ethoxylated alcohol (a non-ionic surfactant). </w:t>
      </w:r>
      <w:r w:rsidRPr="00C44ECF">
        <w:rPr>
          <w:lang w:val="en-US"/>
        </w:rPr>
        <w:t xml:space="preserve">This </w:t>
      </w:r>
      <w:r>
        <w:rPr>
          <w:lang w:val="en-US"/>
        </w:rPr>
        <w:t xml:space="preserve">complex formulation </w:t>
      </w:r>
      <w:r w:rsidRPr="00C44ECF">
        <w:rPr>
          <w:lang w:val="en-US"/>
        </w:rPr>
        <w:t>was created to be used as a pallet cleaning solution</w:t>
      </w:r>
      <w:r>
        <w:rPr>
          <w:lang w:val="en-US"/>
        </w:rPr>
        <w:t xml:space="preserve"> and is not representative of the simple aqueous solutions transported in the electronics industry. This tragic industrial accident resulted from poor work practices and should have been prevented, but it should not be used as a basis for assignment of packing groups to aqueous solutions in transport due to the presence of both an anesthetic agent and a substantial amount of surfactant in the mixture. With respect to this incident, Charles River concluded:</w:t>
      </w:r>
    </w:p>
    <w:p w14:paraId="296FA41F" w14:textId="3F55E4B3" w:rsidR="000E3652" w:rsidRPr="00A93FE4" w:rsidRDefault="00A93FE4" w:rsidP="000E3652">
      <w:pPr>
        <w:spacing w:after="120"/>
        <w:ind w:left="1701" w:right="1152"/>
        <w:jc w:val="both"/>
        <w:rPr>
          <w:rFonts w:eastAsia="Times New Roman"/>
          <w:i/>
          <w:iCs/>
          <w:lang w:val="en-US"/>
        </w:rPr>
      </w:pPr>
      <w:r w:rsidRPr="00A93FE4">
        <w:rPr>
          <w:rFonts w:eastAsia="Times New Roman"/>
          <w:i/>
          <w:iCs/>
          <w:lang w:val="en-US"/>
        </w:rPr>
        <w:t>“</w:t>
      </w:r>
      <w:r w:rsidR="000E3652" w:rsidRPr="00A93FE4">
        <w:rPr>
          <w:rFonts w:eastAsia="Times New Roman"/>
          <w:i/>
          <w:iCs/>
          <w:lang w:val="en-US"/>
        </w:rPr>
        <w:t>Based on the circumstances, extremely long exposure duration for surface percentage exposed and given that a higher incidental exposure was reported where the victim survived, the case with 8.75</w:t>
      </w:r>
      <w:r>
        <w:rPr>
          <w:rFonts w:eastAsia="Times New Roman"/>
          <w:i/>
          <w:iCs/>
          <w:lang w:val="en-US"/>
        </w:rPr>
        <w:t xml:space="preserve"> </w:t>
      </w:r>
      <w:r w:rsidR="000E3652" w:rsidRPr="00A93FE4">
        <w:rPr>
          <w:rFonts w:eastAsia="Times New Roman"/>
          <w:i/>
          <w:iCs/>
          <w:lang w:val="en-US"/>
        </w:rPr>
        <w:t>% TMAH described in Park, et al. (2013) can be considered an exceptional case and therefore its relevance for determining the percentage warranting UN packaging group I is questionable. (</w:t>
      </w:r>
      <w:proofErr w:type="gramStart"/>
      <w:r w:rsidR="000E3652" w:rsidRPr="00A93FE4">
        <w:rPr>
          <w:rFonts w:eastAsia="Times New Roman"/>
          <w:i/>
          <w:iCs/>
          <w:lang w:val="en-US"/>
        </w:rPr>
        <w:t>see</w:t>
      </w:r>
      <w:proofErr w:type="gramEnd"/>
      <w:r w:rsidR="000E3652" w:rsidRPr="00A93FE4">
        <w:rPr>
          <w:rFonts w:eastAsia="Times New Roman"/>
          <w:i/>
          <w:iCs/>
          <w:lang w:val="en-US"/>
        </w:rPr>
        <w:t xml:space="preserve"> Annex 2)</w:t>
      </w:r>
      <w:r w:rsidRPr="00A93FE4">
        <w:rPr>
          <w:rFonts w:eastAsia="Times New Roman"/>
          <w:i/>
          <w:iCs/>
          <w:lang w:val="en-US"/>
        </w:rPr>
        <w:t>”</w:t>
      </w:r>
    </w:p>
    <w:p w14:paraId="3AF7FD86" w14:textId="77777777" w:rsidR="000E3652" w:rsidRPr="00A067EA" w:rsidRDefault="000E3652" w:rsidP="000E3652">
      <w:pPr>
        <w:pStyle w:val="SingleTxtG"/>
        <w:rPr>
          <w:sz w:val="18"/>
          <w:szCs w:val="18"/>
          <w:lang w:val="en-US"/>
        </w:rPr>
      </w:pPr>
      <w:r w:rsidRPr="005C58CD">
        <w:rPr>
          <w:lang w:val="en-US"/>
        </w:rPr>
        <w:t>1</w:t>
      </w:r>
      <w:r>
        <w:rPr>
          <w:lang w:val="en-US"/>
        </w:rPr>
        <w:t>3</w:t>
      </w:r>
      <w:r w:rsidRPr="005C58CD">
        <w:rPr>
          <w:lang w:val="en-US"/>
        </w:rPr>
        <w:t>.</w:t>
      </w:r>
      <w:r>
        <w:rPr>
          <w:lang w:val="en-US"/>
        </w:rPr>
        <w:tab/>
      </w:r>
      <w:r w:rsidRPr="005C58CD">
        <w:rPr>
          <w:lang w:val="en-US"/>
        </w:rPr>
        <w:t>In “Guidance on dermal absorption”</w:t>
      </w:r>
      <w:r>
        <w:rPr>
          <w:rStyle w:val="FootnoteReference"/>
          <w:rFonts w:eastAsia="Times New Roman"/>
          <w:lang w:val="en-US"/>
        </w:rPr>
        <w:footnoteReference w:id="4"/>
      </w:r>
      <w:r w:rsidRPr="005C58CD">
        <w:rPr>
          <w:lang w:val="en-US"/>
        </w:rPr>
        <w:t xml:space="preserve">, a </w:t>
      </w:r>
      <w:r w:rsidRPr="001D7E2A">
        <w:rPr>
          <w:lang w:val="en-US"/>
        </w:rPr>
        <w:t>guidance on critical aspects related to the setting of dermal</w:t>
      </w:r>
      <w:r w:rsidRPr="005C58CD">
        <w:t xml:space="preserve"> </w:t>
      </w:r>
      <w:r w:rsidRPr="001D7E2A">
        <w:rPr>
          <w:lang w:val="en-US"/>
        </w:rPr>
        <w:t>absorption values to be used in risk assessments of active substances in Plant Protection Products,</w:t>
      </w:r>
      <w:r w:rsidRPr="005C58CD">
        <w:rPr>
          <w:lang w:val="en-US"/>
        </w:rPr>
        <w:t xml:space="preserve"> the European Food Safety Authority lists surfactants as “other factors affecting absorption</w:t>
      </w:r>
      <w:r>
        <w:t>”</w:t>
      </w:r>
      <w:r w:rsidRPr="005C58CD">
        <w:rPr>
          <w:lang w:val="en-US"/>
        </w:rPr>
        <w:t xml:space="preserve">. In fact, when extrapolating dermal absorption data on an active substance to a formulated product, </w:t>
      </w:r>
      <w:bookmarkStart w:id="0" w:name="_Hlk112699925"/>
      <w:r w:rsidRPr="005C58CD">
        <w:rPr>
          <w:lang w:val="en-US"/>
        </w:rPr>
        <w:t>the procedure states that data or justifications need to be generated</w:t>
      </w:r>
      <w:r w:rsidRPr="00D21355">
        <w:rPr>
          <w:lang w:val="en-US"/>
        </w:rPr>
        <w:t xml:space="preserve"> </w:t>
      </w:r>
      <w:r w:rsidRPr="00F3736B">
        <w:rPr>
          <w:lang w:val="en-US"/>
        </w:rPr>
        <w:t>in case the formulation under consideration is water based with surfactants</w:t>
      </w:r>
      <w:r>
        <w:rPr>
          <w:sz w:val="18"/>
          <w:szCs w:val="18"/>
          <w:lang w:val="en-US"/>
        </w:rPr>
        <w:t>.</w:t>
      </w:r>
    </w:p>
    <w:bookmarkEnd w:id="0"/>
    <w:p w14:paraId="56C5C35D" w14:textId="497AC439" w:rsidR="000E3652" w:rsidRPr="00EA71AA" w:rsidRDefault="000E3652" w:rsidP="000E3652">
      <w:pPr>
        <w:pStyle w:val="SingleTxtG"/>
        <w:rPr>
          <w:lang w:val="en-US"/>
        </w:rPr>
      </w:pPr>
      <w:r>
        <w:rPr>
          <w:lang w:val="en-US"/>
        </w:rPr>
        <w:t>14.</w:t>
      </w:r>
      <w:r>
        <w:rPr>
          <w:lang w:val="en-US"/>
        </w:rPr>
        <w:tab/>
      </w:r>
      <w:r w:rsidRPr="00EA71AA">
        <w:rPr>
          <w:lang w:val="en-US"/>
        </w:rPr>
        <w:t xml:space="preserve">Although the </w:t>
      </w:r>
      <w:r w:rsidR="00C64176" w:rsidRPr="00C64176">
        <w:rPr>
          <w:lang w:val="en-US"/>
        </w:rPr>
        <w:t xml:space="preserve">Globally Harmonized System of Classification and Labelling of Chemicals </w:t>
      </w:r>
      <w:r w:rsidR="00C64176">
        <w:rPr>
          <w:lang w:val="en-US"/>
        </w:rPr>
        <w:t>(</w:t>
      </w:r>
      <w:r w:rsidRPr="00EA71AA">
        <w:rPr>
          <w:lang w:val="en-US"/>
        </w:rPr>
        <w:t>GHS</w:t>
      </w:r>
      <w:r w:rsidR="00C64176">
        <w:rPr>
          <w:lang w:val="en-US"/>
        </w:rPr>
        <w:t>)</w:t>
      </w:r>
      <w:r w:rsidRPr="00EA71AA">
        <w:rPr>
          <w:lang w:val="en-US"/>
        </w:rPr>
        <w:t xml:space="preserve"> takes a slightly different tack, under the Model Regulations, intrinsic properties are not the sole, or even primary, basis for classification, the effect of an exposure to the material (</w:t>
      </w:r>
      <w:r>
        <w:rPr>
          <w:lang w:val="en-US"/>
        </w:rPr>
        <w:t xml:space="preserve">without regard to whether it is a </w:t>
      </w:r>
      <w:r w:rsidRPr="00EA71AA">
        <w:rPr>
          <w:lang w:val="en-US"/>
        </w:rPr>
        <w:t xml:space="preserve">substance or </w:t>
      </w:r>
      <w:r>
        <w:rPr>
          <w:lang w:val="en-US"/>
        </w:rPr>
        <w:t xml:space="preserve">a </w:t>
      </w:r>
      <w:r w:rsidRPr="00EA71AA">
        <w:rPr>
          <w:lang w:val="en-US"/>
        </w:rPr>
        <w:t>mixture) due to an unplanned, uncontrolled release during transport is the basis for classification. (There are many examples of this in Part 2, e.g., the classification of class 1 explosives is based on a combination of the characteristics of the explosive and the characteristics of the package itself; the classification of division 2.2 materials is often based solely on the pressure exerted in the packaging</w:t>
      </w:r>
      <w:r>
        <w:rPr>
          <w:lang w:val="en-US"/>
        </w:rPr>
        <w:t xml:space="preserve">, i.e., </w:t>
      </w:r>
      <w:r w:rsidRPr="00EA71AA">
        <w:rPr>
          <w:lang w:val="en-US"/>
        </w:rPr>
        <w:t xml:space="preserve">the characteristic(s) of the gas itself </w:t>
      </w:r>
      <w:r>
        <w:rPr>
          <w:lang w:val="en-US"/>
        </w:rPr>
        <w:t xml:space="preserve">are not always </w:t>
      </w:r>
      <w:r w:rsidRPr="00EA71AA">
        <w:rPr>
          <w:lang w:val="en-US"/>
        </w:rPr>
        <w:t xml:space="preserve">taken into consideration for </w:t>
      </w:r>
      <w:r>
        <w:rPr>
          <w:lang w:val="en-US"/>
        </w:rPr>
        <w:t xml:space="preserve">purposes of </w:t>
      </w:r>
      <w:r w:rsidRPr="00EA71AA">
        <w:rPr>
          <w:lang w:val="en-US"/>
        </w:rPr>
        <w:t xml:space="preserve">classification; the classification of division 4.1 desensitized explosives is based on the fact that a sufficient quantity of water, alcohol, or plasticizer is present to suppress the explosive properties; the classification in division 6.1 based on acute toxicity on inhalation of dusts is disregarded in cases where the solid is comprised of a sufficient percentage of dust particles with a size greater than </w:t>
      </w:r>
      <w:r w:rsidR="00FC5672">
        <w:rPr>
          <w:lang w:val="en-US"/>
        </w:rPr>
        <w:t>ten</w:t>
      </w:r>
      <w:r w:rsidRPr="00EA71AA">
        <w:rPr>
          <w:lang w:val="en-US"/>
        </w:rPr>
        <w:t xml:space="preserve"> microns.)</w:t>
      </w:r>
    </w:p>
    <w:p w14:paraId="7BE49DC6" w14:textId="3C1C3A7F" w:rsidR="000E3652" w:rsidRDefault="000E3652" w:rsidP="000E3652">
      <w:pPr>
        <w:pStyle w:val="SingleTxtG"/>
        <w:rPr>
          <w:lang w:val="en-US"/>
        </w:rPr>
      </w:pPr>
      <w:r>
        <w:rPr>
          <w:lang w:val="en-US"/>
        </w:rPr>
        <w:t>15.</w:t>
      </w:r>
      <w:r>
        <w:rPr>
          <w:lang w:val="en-US"/>
        </w:rPr>
        <w:tab/>
        <w:t>The IHSC report in Annex 1 refers to several articles that describe how nonionic surfactants, such as the 10</w:t>
      </w:r>
      <w:r w:rsidR="00FC5672">
        <w:rPr>
          <w:lang w:val="en-US"/>
        </w:rPr>
        <w:t xml:space="preserve"> </w:t>
      </w:r>
      <w:r>
        <w:rPr>
          <w:lang w:val="en-US"/>
        </w:rPr>
        <w:t>% ethoxylated alcohol (an incredibly high concentration of surfactant present in the 8.75</w:t>
      </w:r>
      <w:r w:rsidR="00FC5672">
        <w:rPr>
          <w:lang w:val="en-US"/>
        </w:rPr>
        <w:t xml:space="preserve"> </w:t>
      </w:r>
      <w:r>
        <w:rPr>
          <w:lang w:val="en-US"/>
        </w:rPr>
        <w:t>% incident), can be used to increase the transfer of drugs through the skin. Moreover, the employee did not react immediately upon spilling the solution on his clothing, hands, arms, and legs. A constituent of the 8.75</w:t>
      </w:r>
      <w:r w:rsidR="00FC5672">
        <w:rPr>
          <w:lang w:val="en-US"/>
        </w:rPr>
        <w:t xml:space="preserve"> </w:t>
      </w:r>
      <w:r>
        <w:rPr>
          <w:lang w:val="en-US"/>
        </w:rPr>
        <w:t>% solution almost certainly resulted in an anesthetic effect, contributing to the delay in the employee seeking to counter the effects of the exposure. The conclusion can be made that these phenomena exacerbated the impact of the 8.75</w:t>
      </w:r>
      <w:r w:rsidR="00FC5672">
        <w:rPr>
          <w:lang w:val="en-US"/>
        </w:rPr>
        <w:t xml:space="preserve"> </w:t>
      </w:r>
      <w:r>
        <w:rPr>
          <w:lang w:val="en-US"/>
        </w:rPr>
        <w:t>% TMAH incident</w:t>
      </w:r>
      <w:r w:rsidRPr="001E6280">
        <w:rPr>
          <w:lang w:val="en-US"/>
        </w:rPr>
        <w:t xml:space="preserve"> </w:t>
      </w:r>
      <w:r>
        <w:rPr>
          <w:lang w:val="en-US"/>
        </w:rPr>
        <w:t>and that this 8.75</w:t>
      </w:r>
      <w:r w:rsidR="00FC5672">
        <w:rPr>
          <w:lang w:val="en-US"/>
        </w:rPr>
        <w:t xml:space="preserve"> </w:t>
      </w:r>
      <w:r>
        <w:rPr>
          <w:lang w:val="en-US"/>
        </w:rPr>
        <w:t>% datapoint should not be used to determine the PG I concentration limit for every solution containing TMAH without regard to the other constituents in the formulation.</w:t>
      </w:r>
    </w:p>
    <w:p w14:paraId="391118CB" w14:textId="21FCE60B" w:rsidR="000E3652" w:rsidRDefault="000E3652" w:rsidP="000E3652">
      <w:pPr>
        <w:pStyle w:val="HChG"/>
        <w:spacing w:line="240" w:lineRule="atLeast"/>
        <w:ind w:right="1138"/>
        <w:jc w:val="both"/>
      </w:pPr>
      <w:r>
        <w:tab/>
        <w:t>V.</w:t>
      </w:r>
      <w:r>
        <w:tab/>
        <w:t>Cut-off values for aqueous solutions of TMAH</w:t>
      </w:r>
    </w:p>
    <w:p w14:paraId="5FF0E887" w14:textId="07BF3EE1" w:rsidR="000E3652" w:rsidRDefault="000E3652" w:rsidP="000E3652">
      <w:pPr>
        <w:pStyle w:val="SingleTxtG"/>
      </w:pPr>
      <w:r>
        <w:rPr>
          <w:lang w:val="en-US"/>
        </w:rPr>
        <w:t>16.</w:t>
      </w:r>
      <w:r>
        <w:rPr>
          <w:lang w:val="en-US"/>
        </w:rPr>
        <w:tab/>
        <w:t>Toxicity d</w:t>
      </w:r>
      <w:r w:rsidRPr="00CB7A9F">
        <w:rPr>
          <w:lang w:val="en-US"/>
        </w:rPr>
        <w:t xml:space="preserve">ata from reliable animal tests is available for aqueous solutions </w:t>
      </w:r>
      <w:r>
        <w:rPr>
          <w:lang w:val="en-US"/>
        </w:rPr>
        <w:t xml:space="preserve">of </w:t>
      </w:r>
      <w:r w:rsidRPr="00CB7A9F">
        <w:rPr>
          <w:lang w:val="en-US"/>
        </w:rPr>
        <w:t xml:space="preserve">TMAH and has been reviewed by experts in toxicology </w:t>
      </w:r>
      <w:r>
        <w:rPr>
          <w:lang w:val="en-US"/>
        </w:rPr>
        <w:t xml:space="preserve">who find it is consistent with the human experience data for division 6.1 </w:t>
      </w:r>
      <w:r w:rsidRPr="00CB7A9F">
        <w:rPr>
          <w:lang w:val="en-US"/>
        </w:rPr>
        <w:t>packing groups</w:t>
      </w:r>
      <w:r>
        <w:rPr>
          <w:lang w:val="en-US"/>
        </w:rPr>
        <w:t>.</w:t>
      </w:r>
    </w:p>
    <w:p w14:paraId="38157981" w14:textId="3F5DD133" w:rsidR="000E3652" w:rsidRDefault="000E3652" w:rsidP="000E3652">
      <w:pPr>
        <w:pStyle w:val="SingleTxtG"/>
        <w:rPr>
          <w:lang w:val="en-US"/>
        </w:rPr>
      </w:pPr>
      <w:r>
        <w:rPr>
          <w:lang w:val="en-US"/>
        </w:rPr>
        <w:t>17.</w:t>
      </w:r>
      <w:r>
        <w:rPr>
          <w:lang w:val="en-US"/>
        </w:rPr>
        <w:tab/>
        <w:t xml:space="preserve">For simple aqueous solutions, the data show the lower concentration limit for PG I is </w:t>
      </w:r>
      <w:r w:rsidR="00CC7530">
        <w:rPr>
          <w:lang w:val="en-US"/>
        </w:rPr>
        <w:t>greater than</w:t>
      </w:r>
      <w:r>
        <w:rPr>
          <w:lang w:val="en-US"/>
        </w:rPr>
        <w:t xml:space="preserve"> 25</w:t>
      </w:r>
      <w:r w:rsidR="00CC7530">
        <w:rPr>
          <w:lang w:val="en-US"/>
        </w:rPr>
        <w:t> </w:t>
      </w:r>
      <w:r>
        <w:rPr>
          <w:lang w:val="en-US"/>
        </w:rPr>
        <w:t>%.</w:t>
      </w:r>
      <w:r w:rsidRPr="00AC3ADC">
        <w:rPr>
          <w:lang w:val="en-US"/>
        </w:rPr>
        <w:t xml:space="preserve"> This is based on most conservative animal LD</w:t>
      </w:r>
      <w:r w:rsidRPr="00AC3ADC">
        <w:rPr>
          <w:vertAlign w:val="subscript"/>
          <w:lang w:val="en-US"/>
        </w:rPr>
        <w:t>50</w:t>
      </w:r>
      <w:r w:rsidRPr="00AC3ADC">
        <w:rPr>
          <w:lang w:val="en-US"/>
        </w:rPr>
        <w:t xml:space="preserve"> values. Human experience (see Table 1 of ST/SG/AC.10/C.3/2022/24) supports this approach</w:t>
      </w:r>
      <w:r>
        <w:rPr>
          <w:lang w:val="en-US"/>
        </w:rPr>
        <w:t xml:space="preserve"> </w:t>
      </w:r>
      <w:r>
        <w:rPr>
          <w:rFonts w:asciiTheme="majorBidi" w:hAnsiTheme="majorBidi" w:cstheme="majorBidi"/>
        </w:rPr>
        <w:t xml:space="preserve">(see </w:t>
      </w:r>
      <w:r w:rsidR="00417057">
        <w:rPr>
          <w:rFonts w:asciiTheme="majorBidi" w:hAnsiTheme="majorBidi" w:cstheme="majorBidi"/>
        </w:rPr>
        <w:t>a</w:t>
      </w:r>
      <w:r>
        <w:rPr>
          <w:rFonts w:asciiTheme="majorBidi" w:hAnsiTheme="majorBidi" w:cstheme="majorBidi"/>
        </w:rPr>
        <w:t>lso Annex 1)</w:t>
      </w:r>
      <w:r w:rsidR="00581261">
        <w:rPr>
          <w:rFonts w:asciiTheme="majorBidi" w:hAnsiTheme="majorBidi" w:cstheme="majorBidi"/>
        </w:rPr>
        <w:t>.</w:t>
      </w:r>
      <w:r>
        <w:rPr>
          <w:rFonts w:asciiTheme="majorBidi" w:hAnsiTheme="majorBidi" w:cstheme="majorBidi"/>
        </w:rPr>
        <w:t xml:space="preserve"> </w:t>
      </w:r>
      <w:r>
        <w:rPr>
          <w:lang w:val="en-US"/>
        </w:rPr>
        <w:t>The lower concentration limit for PG II for dermal toxicity (6.1) is calculated as 6.25</w:t>
      </w:r>
      <w:r w:rsidR="00581261">
        <w:rPr>
          <w:lang w:val="en-US"/>
        </w:rPr>
        <w:t xml:space="preserve"> </w:t>
      </w:r>
      <w:r>
        <w:rPr>
          <w:lang w:val="en-US"/>
        </w:rPr>
        <w:t>%. However, since this concentration still falls under a PG II classification for corrosivity (8), the 6.25</w:t>
      </w:r>
      <w:r w:rsidR="00BE0574">
        <w:rPr>
          <w:lang w:val="en-US"/>
        </w:rPr>
        <w:t xml:space="preserve"> </w:t>
      </w:r>
      <w:r>
        <w:rPr>
          <w:lang w:val="en-US"/>
        </w:rPr>
        <w:t xml:space="preserve">% is not relevant in the determination of the transport classification and is not taken over in the proposal below. The concentration range for PG III dermal toxicity is greater </w:t>
      </w:r>
      <w:r w:rsidRPr="00062F8E">
        <w:rPr>
          <w:lang w:val="en-US"/>
        </w:rPr>
        <w:t xml:space="preserve">than 2.5 % but </w:t>
      </w:r>
      <w:r>
        <w:rPr>
          <w:lang w:val="en-US"/>
        </w:rPr>
        <w:t xml:space="preserve">less </w:t>
      </w:r>
      <w:r w:rsidRPr="00062F8E">
        <w:rPr>
          <w:lang w:val="en-US"/>
        </w:rPr>
        <w:t xml:space="preserve">than </w:t>
      </w:r>
      <w:r>
        <w:rPr>
          <w:lang w:val="en-US"/>
        </w:rPr>
        <w:t>6.</w:t>
      </w:r>
      <w:r w:rsidRPr="00062F8E">
        <w:rPr>
          <w:lang w:val="en-US"/>
        </w:rPr>
        <w:t>25 %</w:t>
      </w:r>
      <w:r>
        <w:rPr>
          <w:lang w:val="en-US"/>
        </w:rPr>
        <w:t>. In summary, the data show the following concentration ranges:</w:t>
      </w:r>
    </w:p>
    <w:p w14:paraId="03C17553" w14:textId="0D2F5FE8" w:rsidR="000E3652" w:rsidRDefault="000E3652" w:rsidP="000E3652">
      <w:pPr>
        <w:spacing w:line="240" w:lineRule="auto"/>
        <w:jc w:val="center"/>
      </w:pPr>
      <w:r w:rsidRPr="001D030B">
        <w:t>&gt;</w:t>
      </w:r>
      <w:r w:rsidR="00BE0574">
        <w:t xml:space="preserve"> </w:t>
      </w:r>
      <w:r w:rsidRPr="001D030B">
        <w:t>25</w:t>
      </w:r>
      <w:r w:rsidR="00BE0574">
        <w:t xml:space="preserve"> </w:t>
      </w:r>
      <w:r w:rsidRPr="001D030B">
        <w:t>% PG I</w:t>
      </w:r>
    </w:p>
    <w:p w14:paraId="2FBE9292" w14:textId="6AEE1512" w:rsidR="000E3652" w:rsidRDefault="000E3652" w:rsidP="000E3652">
      <w:pPr>
        <w:spacing w:line="240" w:lineRule="auto"/>
        <w:jc w:val="center"/>
      </w:pPr>
      <w:r w:rsidRPr="001D030B">
        <w:t xml:space="preserve">6.25 </w:t>
      </w:r>
      <w:r w:rsidR="00751893">
        <w:t>to</w:t>
      </w:r>
      <w:r w:rsidRPr="001D030B">
        <w:t xml:space="preserve"> 25</w:t>
      </w:r>
      <w:r w:rsidR="00BE0574">
        <w:t xml:space="preserve"> </w:t>
      </w:r>
      <w:r w:rsidRPr="001D030B">
        <w:t>% PG II</w:t>
      </w:r>
    </w:p>
    <w:p w14:paraId="3D09C554" w14:textId="7F521148" w:rsidR="000E3652" w:rsidRDefault="000E3652" w:rsidP="000E3652">
      <w:pPr>
        <w:spacing w:line="240" w:lineRule="auto"/>
        <w:jc w:val="center"/>
      </w:pPr>
      <w:r w:rsidRPr="001D030B">
        <w:t>&gt;</w:t>
      </w:r>
      <w:r w:rsidR="00BE0574">
        <w:t xml:space="preserve"> </w:t>
      </w:r>
      <w:r w:rsidRPr="001D030B">
        <w:t xml:space="preserve">2.5 </w:t>
      </w:r>
      <w:r w:rsidR="00751893">
        <w:t>to</w:t>
      </w:r>
      <w:r w:rsidRPr="001D030B">
        <w:t xml:space="preserve"> &lt;</w:t>
      </w:r>
      <w:r w:rsidR="00BE0574">
        <w:t xml:space="preserve"> </w:t>
      </w:r>
      <w:r w:rsidRPr="001D030B">
        <w:t>6.25</w:t>
      </w:r>
      <w:r w:rsidR="00BE0574">
        <w:t xml:space="preserve"> </w:t>
      </w:r>
      <w:r w:rsidRPr="001D030B">
        <w:t>% PG III.</w:t>
      </w:r>
    </w:p>
    <w:p w14:paraId="2FE99D9B" w14:textId="4370049E" w:rsidR="000E3652" w:rsidRDefault="000E3652" w:rsidP="000E3652">
      <w:pPr>
        <w:spacing w:before="120" w:after="120"/>
        <w:ind w:left="1151" w:right="1151"/>
        <w:jc w:val="both"/>
        <w:rPr>
          <w:rFonts w:eastAsia="Times New Roman"/>
          <w:lang w:val="en-US"/>
        </w:rPr>
      </w:pPr>
      <w:r>
        <w:rPr>
          <w:rFonts w:eastAsia="Times New Roman"/>
          <w:lang w:val="en-US"/>
        </w:rPr>
        <w:t>18.</w:t>
      </w:r>
      <w:r>
        <w:rPr>
          <w:rFonts w:eastAsia="Times New Roman"/>
          <w:lang w:val="en-US"/>
        </w:rPr>
        <w:tab/>
        <w:t xml:space="preserve">In addition, based on the precedence of hazard guidelines, </w:t>
      </w:r>
      <w:proofErr w:type="spellStart"/>
      <w:r w:rsidR="003528E6" w:rsidRPr="000E3652">
        <w:t>Cefic</w:t>
      </w:r>
      <w:proofErr w:type="spellEnd"/>
      <w:r w:rsidR="003528E6" w:rsidRPr="000E3652">
        <w:t xml:space="preserve"> and DGAC</w:t>
      </w:r>
      <w:r>
        <w:rPr>
          <w:rFonts w:eastAsia="Times New Roman"/>
          <w:lang w:val="en-US"/>
        </w:rPr>
        <w:t xml:space="preserve"> believe that for PG II the primary hazard shall be class 8 with a subsidiary hazard of division 6.1.</w:t>
      </w:r>
    </w:p>
    <w:p w14:paraId="65F3F205" w14:textId="77777777" w:rsidR="000E3652" w:rsidRDefault="000E3652" w:rsidP="000E3652">
      <w:pPr>
        <w:pStyle w:val="HChG"/>
        <w:spacing w:line="240" w:lineRule="atLeast"/>
        <w:ind w:right="1138"/>
        <w:jc w:val="both"/>
      </w:pPr>
      <w:r>
        <w:tab/>
        <w:t>VI.</w:t>
      </w:r>
      <w:r>
        <w:tab/>
        <w:t>Conclusion</w:t>
      </w:r>
    </w:p>
    <w:p w14:paraId="5A988F0B" w14:textId="17B3D1D8" w:rsidR="000E3652" w:rsidRPr="00EA71AA" w:rsidRDefault="000E3652" w:rsidP="000E3652">
      <w:pPr>
        <w:pStyle w:val="SingleTxtG"/>
        <w:rPr>
          <w:lang w:val="en-US"/>
        </w:rPr>
      </w:pPr>
      <w:r>
        <w:rPr>
          <w:lang w:val="en-US"/>
        </w:rPr>
        <w:t>19.</w:t>
      </w:r>
      <w:r>
        <w:rPr>
          <w:lang w:val="en-US"/>
        </w:rPr>
        <w:tab/>
        <w:t xml:space="preserve">Our original approach </w:t>
      </w:r>
      <w:r w:rsidRPr="00EA71AA">
        <w:rPr>
          <w:lang w:val="en-US"/>
        </w:rPr>
        <w:t>dismissed the 8.75</w:t>
      </w:r>
      <w:r w:rsidR="00927ED5">
        <w:rPr>
          <w:lang w:val="en-US"/>
        </w:rPr>
        <w:t xml:space="preserve"> </w:t>
      </w:r>
      <w:r w:rsidRPr="00EA71AA">
        <w:rPr>
          <w:lang w:val="en-US"/>
        </w:rPr>
        <w:t xml:space="preserve">% TMAH solution as irrelevant to the classification of existing TMAH aqueous solutions of differing concentrations which are currently shipped worldwide in vast quantities for use in manufacturing of electronics components. </w:t>
      </w:r>
      <w:proofErr w:type="spellStart"/>
      <w:r w:rsidR="004A2601" w:rsidRPr="000E3652">
        <w:t>Cefic</w:t>
      </w:r>
      <w:proofErr w:type="spellEnd"/>
      <w:r w:rsidR="004A2601" w:rsidRPr="000E3652">
        <w:t xml:space="preserve"> and DGAC</w:t>
      </w:r>
      <w:r w:rsidRPr="000E3652">
        <w:t xml:space="preserve"> </w:t>
      </w:r>
      <w:r>
        <w:rPr>
          <w:lang w:val="en-US"/>
        </w:rPr>
        <w:t xml:space="preserve">focused on the fact that the </w:t>
      </w:r>
      <w:r w:rsidRPr="00EA71AA">
        <w:rPr>
          <w:lang w:val="en-US"/>
        </w:rPr>
        <w:t>8.75</w:t>
      </w:r>
      <w:r w:rsidR="004A2601">
        <w:rPr>
          <w:lang w:val="en-US"/>
        </w:rPr>
        <w:t xml:space="preserve"> </w:t>
      </w:r>
      <w:r w:rsidRPr="00EA71AA">
        <w:rPr>
          <w:lang w:val="en-US"/>
        </w:rPr>
        <w:t>% solution contained a variety</w:t>
      </w:r>
      <w:r>
        <w:rPr>
          <w:lang w:val="en-US"/>
        </w:rPr>
        <w:t xml:space="preserve"> of</w:t>
      </w:r>
      <w:r w:rsidRPr="00EA71AA">
        <w:rPr>
          <w:lang w:val="en-US"/>
        </w:rPr>
        <w:t xml:space="preserve"> other chemicals, most notably, a surfactant (ethoxylated alcohol) at an even higher concentration than the TMAH, and this surfactant, along with the presence of other chemicals, unquestionably had an impact on the hazardous characteristics of the 8.75</w:t>
      </w:r>
      <w:r w:rsidR="00D75A69">
        <w:rPr>
          <w:lang w:val="en-US"/>
        </w:rPr>
        <w:t xml:space="preserve"> </w:t>
      </w:r>
      <w:r w:rsidRPr="00EA71AA">
        <w:rPr>
          <w:lang w:val="en-US"/>
        </w:rPr>
        <w:t>% solution</w:t>
      </w:r>
      <w:r>
        <w:rPr>
          <w:lang w:val="en-US"/>
        </w:rPr>
        <w:t xml:space="preserve"> so </w:t>
      </w:r>
      <w:r w:rsidRPr="00EA71AA">
        <w:rPr>
          <w:lang w:val="en-US"/>
        </w:rPr>
        <w:t>that it is not comparable to an aqueous solution.</w:t>
      </w:r>
    </w:p>
    <w:p w14:paraId="29B4820C" w14:textId="44026986" w:rsidR="000E3652" w:rsidRPr="00EA71AA" w:rsidRDefault="000E3652" w:rsidP="000E3652">
      <w:pPr>
        <w:pStyle w:val="SingleTxtG"/>
        <w:rPr>
          <w:lang w:val="en-US"/>
        </w:rPr>
      </w:pPr>
      <w:r>
        <w:rPr>
          <w:lang w:val="en-US"/>
        </w:rPr>
        <w:t>20.</w:t>
      </w:r>
      <w:r>
        <w:rPr>
          <w:lang w:val="en-US"/>
        </w:rPr>
        <w:tab/>
        <w:t>However, t</w:t>
      </w:r>
      <w:r w:rsidRPr="00EA71AA">
        <w:rPr>
          <w:lang w:val="en-US"/>
        </w:rPr>
        <w:t>his 8.75</w:t>
      </w:r>
      <w:r w:rsidR="00D75A69">
        <w:rPr>
          <w:lang w:val="en-US"/>
        </w:rPr>
        <w:t xml:space="preserve"> </w:t>
      </w:r>
      <w:r w:rsidRPr="00EA71AA">
        <w:rPr>
          <w:lang w:val="en-US"/>
        </w:rPr>
        <w:t xml:space="preserve">% solution was an actual formulation, apparently intended for eventual development as a commercial product, and </w:t>
      </w:r>
      <w:r>
        <w:rPr>
          <w:lang w:val="en-US"/>
        </w:rPr>
        <w:t xml:space="preserve">presumably </w:t>
      </w:r>
      <w:r w:rsidRPr="00EA71AA">
        <w:rPr>
          <w:lang w:val="en-US"/>
        </w:rPr>
        <w:t xml:space="preserve">would subsequently be offered for transport. </w:t>
      </w:r>
      <w:r>
        <w:rPr>
          <w:lang w:val="en-US"/>
        </w:rPr>
        <w:t>A</w:t>
      </w:r>
      <w:r w:rsidRPr="00EA71AA">
        <w:rPr>
          <w:lang w:val="en-US"/>
        </w:rPr>
        <w:t xml:space="preserve">ccommodation needed to be made for its classification, </w:t>
      </w:r>
      <w:r>
        <w:rPr>
          <w:lang w:val="en-US"/>
        </w:rPr>
        <w:t>yet it could not be classified based on the parameters of existing aqueous solutions, nor could it properly be used to reclassify aqueous solutions.</w:t>
      </w:r>
      <w:r w:rsidRPr="00EA71AA">
        <w:rPr>
          <w:lang w:val="en-US"/>
        </w:rPr>
        <w:t xml:space="preserve"> </w:t>
      </w:r>
      <w:r>
        <w:rPr>
          <w:lang w:val="en-US"/>
        </w:rPr>
        <w:t xml:space="preserve">It, and formulations like it, needs to be treated separately. </w:t>
      </w:r>
      <w:proofErr w:type="spellStart"/>
      <w:r w:rsidR="00D022D8" w:rsidRPr="000E3652">
        <w:t>Cefic</w:t>
      </w:r>
      <w:proofErr w:type="spellEnd"/>
      <w:r w:rsidR="00D022D8" w:rsidRPr="000E3652">
        <w:t xml:space="preserve"> and DGAC</w:t>
      </w:r>
      <w:r w:rsidRPr="000E3652">
        <w:t xml:space="preserve"> </w:t>
      </w:r>
      <w:r w:rsidRPr="00EA71AA">
        <w:rPr>
          <w:lang w:val="en-US"/>
        </w:rPr>
        <w:t>also had to acknowledge that accommodation must be made for the existing (even if relatively few) solutions containing a small concentration of TMAH mixed with an even smaller concentration (generally less than 1</w:t>
      </w:r>
      <w:r w:rsidR="00D022D8">
        <w:rPr>
          <w:lang w:val="en-US"/>
        </w:rPr>
        <w:t xml:space="preserve"> </w:t>
      </w:r>
      <w:r w:rsidRPr="00EA71AA">
        <w:rPr>
          <w:lang w:val="en-US"/>
        </w:rPr>
        <w:t xml:space="preserve">%) of </w:t>
      </w:r>
      <w:r>
        <w:rPr>
          <w:lang w:val="en-US"/>
        </w:rPr>
        <w:t>other chemicals</w:t>
      </w:r>
      <w:r w:rsidRPr="00EA71AA">
        <w:rPr>
          <w:lang w:val="en-US"/>
        </w:rPr>
        <w:t>, as well as for the classification of an unlimited number of potential other solutions, existing or future, comprised of unknowable formulations.</w:t>
      </w:r>
    </w:p>
    <w:p w14:paraId="0CEDD32A" w14:textId="3096B096" w:rsidR="000E3652" w:rsidRPr="00EA71AA" w:rsidRDefault="000E3652" w:rsidP="000E3652">
      <w:pPr>
        <w:pStyle w:val="SingleTxtG"/>
        <w:rPr>
          <w:lang w:val="en-US"/>
        </w:rPr>
      </w:pPr>
      <w:r>
        <w:rPr>
          <w:lang w:val="en-US"/>
        </w:rPr>
        <w:t>21.</w:t>
      </w:r>
      <w:r>
        <w:rPr>
          <w:lang w:val="en-US"/>
        </w:rPr>
        <w:tab/>
      </w:r>
      <w:r w:rsidRPr="00EA71AA">
        <w:rPr>
          <w:lang w:val="en-US"/>
        </w:rPr>
        <w:t xml:space="preserve">In short, </w:t>
      </w:r>
      <w:proofErr w:type="spellStart"/>
      <w:r w:rsidR="004127EF" w:rsidRPr="000E3652">
        <w:t>Cefic</w:t>
      </w:r>
      <w:proofErr w:type="spellEnd"/>
      <w:r w:rsidR="004127EF" w:rsidRPr="000E3652">
        <w:t xml:space="preserve"> and DGAC</w:t>
      </w:r>
      <w:r w:rsidRPr="000E3652">
        <w:t xml:space="preserve"> </w:t>
      </w:r>
      <w:r w:rsidRPr="00EA71AA">
        <w:rPr>
          <w:lang w:val="en-US"/>
        </w:rPr>
        <w:t>recognized that it is not possible to rely on a single UN number with different combinations of primary and subsidiary hazards and packing groups to be simultaneously applied across the board to both simple, dilute, aqueous solutions and at the same time reliably guide the classification of more complex formulations that happen to contain TMAH.</w:t>
      </w:r>
    </w:p>
    <w:p w14:paraId="1ACAACB4" w14:textId="509E97C0" w:rsidR="000E3652" w:rsidRDefault="000E3652" w:rsidP="000E3652">
      <w:pPr>
        <w:pStyle w:val="SingleTxtG"/>
        <w:rPr>
          <w:lang w:val="en-US"/>
        </w:rPr>
      </w:pPr>
      <w:r>
        <w:rPr>
          <w:lang w:val="en-US"/>
        </w:rPr>
        <w:t>22.</w:t>
      </w:r>
      <w:r>
        <w:rPr>
          <w:lang w:val="en-US"/>
        </w:rPr>
        <w:tab/>
      </w:r>
      <w:r w:rsidRPr="00EA71AA">
        <w:rPr>
          <w:lang w:val="en-US"/>
        </w:rPr>
        <w:t xml:space="preserve">Therefore, </w:t>
      </w:r>
      <w:proofErr w:type="spellStart"/>
      <w:r w:rsidR="00850AEF" w:rsidRPr="000E3652">
        <w:t>Cefic</w:t>
      </w:r>
      <w:proofErr w:type="spellEnd"/>
      <w:r w:rsidR="00850AEF" w:rsidRPr="000E3652">
        <w:t xml:space="preserve"> and DGAC</w:t>
      </w:r>
      <w:r w:rsidRPr="000E3652">
        <w:t xml:space="preserve"> </w:t>
      </w:r>
      <w:r w:rsidRPr="00EA71AA">
        <w:rPr>
          <w:lang w:val="en-US"/>
        </w:rPr>
        <w:t xml:space="preserve">are proposing </w:t>
      </w:r>
      <w:r>
        <w:rPr>
          <w:lang w:val="en-US"/>
        </w:rPr>
        <w:t xml:space="preserve">enhancements to the classification of both the substance tetramethylammonium hydroxide, and to its solutions. Our proposal recognizes the human experience data across the </w:t>
      </w:r>
      <w:proofErr w:type="gramStart"/>
      <w:r>
        <w:rPr>
          <w:lang w:val="en-US"/>
        </w:rPr>
        <w:t>board, but</w:t>
      </w:r>
      <w:proofErr w:type="gramEnd"/>
      <w:r>
        <w:rPr>
          <w:lang w:val="en-US"/>
        </w:rPr>
        <w:t xml:space="preserve"> takes into account the differences between simple aqueous solutions of tetramethylammonium hydroxide and more complex formulations. It applies a refinement derived from animal test data to the packing group cut off values for aqueous solutions but offers two options for the classification of the more complex formulations. Although </w:t>
      </w:r>
      <w:proofErr w:type="spellStart"/>
      <w:r w:rsidR="00850AEF" w:rsidRPr="000E3652">
        <w:t>Cefic</w:t>
      </w:r>
      <w:proofErr w:type="spellEnd"/>
      <w:r w:rsidR="00850AEF" w:rsidRPr="000E3652">
        <w:t xml:space="preserve"> and DGAC</w:t>
      </w:r>
      <w:r w:rsidRPr="000E3652">
        <w:t xml:space="preserve"> </w:t>
      </w:r>
      <w:r>
        <w:rPr>
          <w:lang w:val="en-US"/>
        </w:rPr>
        <w:t xml:space="preserve">prefer Option 1, Option 2 essentially adopts the proposal from </w:t>
      </w:r>
      <w:r w:rsidRPr="00EA71AA">
        <w:rPr>
          <w:lang w:val="en-US"/>
        </w:rPr>
        <w:t>ST/SG/AC.10/C.3/2022/24</w:t>
      </w:r>
      <w:r>
        <w:rPr>
          <w:lang w:val="en-US"/>
        </w:rPr>
        <w:t xml:space="preserve"> with respect to solutions that are not simple aqueous solutions.</w:t>
      </w:r>
    </w:p>
    <w:p w14:paraId="6C5042F0" w14:textId="52551358" w:rsidR="000E3652" w:rsidRDefault="000E3652" w:rsidP="000E3652">
      <w:pPr>
        <w:pStyle w:val="SingleTxtG"/>
        <w:rPr>
          <w:lang w:val="en-US"/>
        </w:rPr>
      </w:pPr>
      <w:r>
        <w:rPr>
          <w:lang w:val="en-US"/>
        </w:rPr>
        <w:t>23.</w:t>
      </w:r>
      <w:r>
        <w:rPr>
          <w:lang w:val="en-US"/>
        </w:rPr>
        <w:tab/>
        <w:t xml:space="preserve">Option 1 prescribes cut-off values for all three packing groups, to be applied exclusively to simple aqueous solutions. More complex formulations are to be classified according to the general principles of the Model Regulations, i.e., determine the classification </w:t>
      </w:r>
      <w:proofErr w:type="gramStart"/>
      <w:r>
        <w:rPr>
          <w:lang w:val="en-US"/>
        </w:rPr>
        <w:t>on the basis of</w:t>
      </w:r>
      <w:proofErr w:type="gramEnd"/>
      <w:r>
        <w:rPr>
          <w:lang w:val="en-US"/>
        </w:rPr>
        <w:t xml:space="preserve"> the characteristics of the mixture, followed by the assignment of an appropriate generic or </w:t>
      </w:r>
      <w:proofErr w:type="spellStart"/>
      <w:r>
        <w:rPr>
          <w:lang w:val="en-US"/>
        </w:rPr>
        <w:t>n.o.s</w:t>
      </w:r>
      <w:proofErr w:type="spellEnd"/>
      <w:r>
        <w:rPr>
          <w:lang w:val="en-US"/>
        </w:rPr>
        <w:t xml:space="preserve">. proper shipping name/UN number. This option also, as was proposed by the Netherlands in </w:t>
      </w:r>
      <w:r w:rsidRPr="00EA71AA">
        <w:rPr>
          <w:lang w:val="en-US"/>
        </w:rPr>
        <w:t>ST/SG/AC.10/C.3/2022/24</w:t>
      </w:r>
      <w:r>
        <w:rPr>
          <w:lang w:val="en-US"/>
        </w:rPr>
        <w:t xml:space="preserve">, revises the entry for the substance (UN 3423), to a primary hazard of 6.1, subsidiary hazard of 8, and a packing group I. It also, again, as proposed by the Netherlands, adds a PG I entry to UN 1835 and makes various revisions to the existing PG II and PG III entries for UN 1835, including the addition of a primary hazard of 6.1 to PG II. It adds text in column 2 limiting UN 1835 to aqueous </w:t>
      </w:r>
      <w:proofErr w:type="gramStart"/>
      <w:r>
        <w:rPr>
          <w:lang w:val="en-US"/>
        </w:rPr>
        <w:t>solutions, and</w:t>
      </w:r>
      <w:proofErr w:type="gramEnd"/>
      <w:r>
        <w:rPr>
          <w:lang w:val="en-US"/>
        </w:rPr>
        <w:t xml:space="preserve"> introduces a new special provision XXX to clarify the meaning of aqueous solutions.</w:t>
      </w:r>
    </w:p>
    <w:p w14:paraId="5E24F150" w14:textId="454D4983" w:rsidR="000E3652" w:rsidRDefault="000E3652" w:rsidP="000E3652">
      <w:pPr>
        <w:pStyle w:val="SingleTxtG"/>
        <w:rPr>
          <w:lang w:val="en-US"/>
        </w:rPr>
      </w:pPr>
      <w:r>
        <w:rPr>
          <w:lang w:val="en-US"/>
        </w:rPr>
        <w:t>24.</w:t>
      </w:r>
      <w:r>
        <w:rPr>
          <w:lang w:val="en-US"/>
        </w:rPr>
        <w:tab/>
        <w:t xml:space="preserve">Option 2 also distinguishes between aqueous solutions and other mixtures, treats aqueous solutions identically to Option 1, </w:t>
      </w:r>
      <w:proofErr w:type="gramStart"/>
      <w:r>
        <w:rPr>
          <w:lang w:val="en-US"/>
        </w:rPr>
        <w:t>and also</w:t>
      </w:r>
      <w:proofErr w:type="gramEnd"/>
      <w:r>
        <w:rPr>
          <w:lang w:val="en-US"/>
        </w:rPr>
        <w:t xml:space="preserve"> treats the substance (UN 3423) the same as in Option 1. However, for non-purely aqueous solutions/mixtures, it proposes a new UN </w:t>
      </w:r>
      <w:r w:rsidR="00E96B07">
        <w:rPr>
          <w:lang w:val="en-US"/>
        </w:rPr>
        <w:t>n</w:t>
      </w:r>
      <w:r>
        <w:rPr>
          <w:lang w:val="en-US"/>
        </w:rPr>
        <w:t xml:space="preserve">umber and assigns a classification, borrowing the cut-off values proposed by the Netherlands in </w:t>
      </w:r>
      <w:r w:rsidRPr="00EA71AA">
        <w:rPr>
          <w:lang w:val="en-US"/>
        </w:rPr>
        <w:t>ST/SG/AC.10/C.3/2022/24</w:t>
      </w:r>
      <w:r>
        <w:rPr>
          <w:lang w:val="en-US"/>
        </w:rPr>
        <w:t>. It also introduces a new special provision, YYY, to clarify the difference between UN 1835 and UN XXXX.</w:t>
      </w:r>
    </w:p>
    <w:p w14:paraId="4A4A7B47" w14:textId="7740933A" w:rsidR="000E3652" w:rsidRDefault="000E3652" w:rsidP="000E3652">
      <w:pPr>
        <w:pStyle w:val="SingleTxtG"/>
        <w:rPr>
          <w:lang w:val="en-US"/>
        </w:rPr>
      </w:pPr>
      <w:r>
        <w:rPr>
          <w:lang w:val="en-US"/>
        </w:rPr>
        <w:t>25.</w:t>
      </w:r>
      <w:r>
        <w:rPr>
          <w:lang w:val="en-US"/>
        </w:rPr>
        <w:tab/>
        <w:t xml:space="preserve">In both options, </w:t>
      </w:r>
      <w:proofErr w:type="spellStart"/>
      <w:r w:rsidR="002121BF" w:rsidRPr="000E3652">
        <w:t>Cefic</w:t>
      </w:r>
      <w:proofErr w:type="spellEnd"/>
      <w:r w:rsidR="002121BF" w:rsidRPr="000E3652">
        <w:t xml:space="preserve"> and DGAC</w:t>
      </w:r>
      <w:r w:rsidRPr="000E3652">
        <w:t xml:space="preserve"> </w:t>
      </w:r>
      <w:r>
        <w:rPr>
          <w:lang w:val="en-US"/>
        </w:rPr>
        <w:t xml:space="preserve">believe </w:t>
      </w:r>
      <w:r w:rsidR="002121BF">
        <w:rPr>
          <w:lang w:val="en-US"/>
        </w:rPr>
        <w:t>special provision</w:t>
      </w:r>
      <w:r>
        <w:rPr>
          <w:lang w:val="en-US"/>
        </w:rPr>
        <w:t xml:space="preserve"> 279 is appropriate against all packing groups for all entries, and the Sub-Committee </w:t>
      </w:r>
      <w:r w:rsidR="00DD4DB6">
        <w:rPr>
          <w:lang w:val="en-US"/>
        </w:rPr>
        <w:t xml:space="preserve">is invited </w:t>
      </w:r>
      <w:r>
        <w:rPr>
          <w:lang w:val="en-US"/>
        </w:rPr>
        <w:t xml:space="preserve">to consider whether </w:t>
      </w:r>
      <w:r w:rsidR="00BD57AC">
        <w:rPr>
          <w:lang w:val="en-US"/>
        </w:rPr>
        <w:t>special provision 223 was</w:t>
      </w:r>
      <w:r>
        <w:rPr>
          <w:lang w:val="en-US"/>
        </w:rPr>
        <w:t xml:space="preserve"> appropriately applied.</w:t>
      </w:r>
    </w:p>
    <w:p w14:paraId="269BB006" w14:textId="27EB52F0" w:rsidR="000E3652" w:rsidRDefault="000E3652" w:rsidP="000E3652">
      <w:pPr>
        <w:pStyle w:val="HChG"/>
        <w:spacing w:line="240" w:lineRule="atLeast"/>
        <w:ind w:left="0" w:right="1138" w:firstLine="0"/>
        <w:jc w:val="both"/>
      </w:pPr>
      <w:r>
        <w:tab/>
        <w:t>VII.</w:t>
      </w:r>
      <w:r>
        <w:tab/>
        <w:t>Proposal</w:t>
      </w:r>
      <w:r w:rsidR="001E1A7B">
        <w:t>s</w:t>
      </w:r>
    </w:p>
    <w:p w14:paraId="3DBC9113" w14:textId="20B64884" w:rsidR="000E3652" w:rsidRDefault="000E3652" w:rsidP="000E3652">
      <w:pPr>
        <w:pStyle w:val="SingleTxtG"/>
        <w:rPr>
          <w:lang w:val="en-US"/>
        </w:rPr>
      </w:pPr>
      <w:r>
        <w:rPr>
          <w:lang w:val="en-US"/>
        </w:rPr>
        <w:t>26</w:t>
      </w:r>
      <w:r w:rsidRPr="001828A9">
        <w:rPr>
          <w:lang w:val="en-US"/>
        </w:rPr>
        <w:t>.</w:t>
      </w:r>
      <w:r w:rsidRPr="001828A9">
        <w:rPr>
          <w:lang w:val="en-US"/>
        </w:rPr>
        <w:tab/>
        <w:t>The Sub-Committee is invited to consider the overview provided above</w:t>
      </w:r>
      <w:r>
        <w:rPr>
          <w:lang w:val="en-US"/>
        </w:rPr>
        <w:t xml:space="preserve">, </w:t>
      </w:r>
      <w:r w:rsidRPr="001828A9">
        <w:rPr>
          <w:lang w:val="en-US"/>
        </w:rPr>
        <w:t xml:space="preserve">the more </w:t>
      </w:r>
      <w:r>
        <w:rPr>
          <w:lang w:val="en-US"/>
        </w:rPr>
        <w:t xml:space="preserve">detailed technical </w:t>
      </w:r>
      <w:r w:rsidRPr="001828A9">
        <w:rPr>
          <w:lang w:val="en-US"/>
        </w:rPr>
        <w:t xml:space="preserve">information presented in </w:t>
      </w:r>
      <w:r>
        <w:rPr>
          <w:lang w:val="en-US"/>
        </w:rPr>
        <w:t xml:space="preserve">the </w:t>
      </w:r>
      <w:r w:rsidR="00243E6F">
        <w:rPr>
          <w:lang w:val="en-US"/>
        </w:rPr>
        <w:t>a</w:t>
      </w:r>
      <w:r w:rsidRPr="001828A9">
        <w:rPr>
          <w:lang w:val="en-US"/>
        </w:rPr>
        <w:t xml:space="preserve">nnexes, and the following </w:t>
      </w:r>
      <w:r>
        <w:rPr>
          <w:lang w:val="en-US"/>
        </w:rPr>
        <w:t>proposal</w:t>
      </w:r>
      <w:r w:rsidRPr="001828A9">
        <w:rPr>
          <w:lang w:val="en-US"/>
        </w:rPr>
        <w:t>.</w:t>
      </w:r>
    </w:p>
    <w:p w14:paraId="061656E7" w14:textId="77777777" w:rsidR="000E3652" w:rsidRDefault="000E3652" w:rsidP="000E3652">
      <w:pPr>
        <w:pStyle w:val="H1G"/>
        <w:rPr>
          <w:lang w:val="en-US"/>
        </w:rPr>
      </w:pPr>
      <w:r>
        <w:rPr>
          <w:lang w:val="en-US"/>
        </w:rPr>
        <w:tab/>
      </w:r>
      <w:r>
        <w:rPr>
          <w:lang w:val="en-US"/>
        </w:rPr>
        <w:tab/>
        <w:t>Option 1</w:t>
      </w:r>
    </w:p>
    <w:p w14:paraId="22109CF5" w14:textId="5EA2D5D0" w:rsidR="000E3652" w:rsidRDefault="000E3652" w:rsidP="000E3652">
      <w:pPr>
        <w:pStyle w:val="SingleTxtG"/>
        <w:rPr>
          <w:lang w:val="en-US"/>
        </w:rPr>
      </w:pPr>
      <w:r>
        <w:rPr>
          <w:lang w:val="en-US"/>
        </w:rPr>
        <w:t>27.</w:t>
      </w:r>
      <w:r>
        <w:rPr>
          <w:lang w:val="en-US"/>
        </w:rPr>
        <w:tab/>
      </w:r>
      <w:r w:rsidR="002F4D00">
        <w:rPr>
          <w:lang w:val="en-US"/>
        </w:rPr>
        <w:t>In 3.3, add</w:t>
      </w:r>
      <w:r>
        <w:rPr>
          <w:lang w:val="en-US"/>
        </w:rPr>
        <w:t xml:space="preserve"> a new special provision XXX as follows:</w:t>
      </w:r>
    </w:p>
    <w:p w14:paraId="72622FF4" w14:textId="1DFA8717" w:rsidR="000E3652" w:rsidRDefault="002F4D00" w:rsidP="007E4029">
      <w:pPr>
        <w:pStyle w:val="SingleTxtG"/>
        <w:tabs>
          <w:tab w:val="left" w:pos="2410"/>
        </w:tabs>
        <w:ind w:left="1701"/>
        <w:rPr>
          <w:lang w:val="en-US"/>
        </w:rPr>
      </w:pPr>
      <w:r>
        <w:rPr>
          <w:lang w:val="en-US"/>
        </w:rPr>
        <w:t>“</w:t>
      </w:r>
      <w:r w:rsidR="000E3652" w:rsidRPr="00E95C08">
        <w:rPr>
          <w:lang w:val="en-US"/>
        </w:rPr>
        <w:t>XXX</w:t>
      </w:r>
      <w:r>
        <w:rPr>
          <w:lang w:val="en-US"/>
        </w:rPr>
        <w:tab/>
      </w:r>
      <w:r w:rsidR="000E3652" w:rsidRPr="00E95C08">
        <w:rPr>
          <w:lang w:val="en-US"/>
        </w:rPr>
        <w:t>This entry applies only to aqueous solutions comprised of water, tetramethylammonium hydroxide (TMAH), and no more than 1</w:t>
      </w:r>
      <w:r w:rsidR="00D01AAD">
        <w:rPr>
          <w:lang w:val="en-US"/>
        </w:rPr>
        <w:t xml:space="preserve"> </w:t>
      </w:r>
      <w:r w:rsidR="000E3652" w:rsidRPr="00E95C08">
        <w:rPr>
          <w:lang w:val="en-US"/>
        </w:rPr>
        <w:t xml:space="preserve">% other constituents. Other formulations containing tetramethylammonium hydroxide must be assigned to an appropriate generic or </w:t>
      </w:r>
      <w:proofErr w:type="spellStart"/>
      <w:r w:rsidR="000E3652" w:rsidRPr="00E95C08">
        <w:rPr>
          <w:lang w:val="en-US"/>
        </w:rPr>
        <w:t>n.o.s</w:t>
      </w:r>
      <w:proofErr w:type="spellEnd"/>
      <w:r w:rsidR="000E3652" w:rsidRPr="00E95C08">
        <w:rPr>
          <w:lang w:val="en-US"/>
        </w:rPr>
        <w:t xml:space="preserve">. entry (e.g., UN 2389, Toxic liquid, corrosive, inorganic, </w:t>
      </w:r>
      <w:proofErr w:type="spellStart"/>
      <w:r w:rsidR="000E3652" w:rsidRPr="00E95C08">
        <w:rPr>
          <w:lang w:val="en-US"/>
        </w:rPr>
        <w:t>n.o.s</w:t>
      </w:r>
      <w:proofErr w:type="spellEnd"/>
      <w:r w:rsidR="000E3652" w:rsidRPr="00E95C08">
        <w:rPr>
          <w:lang w:val="en-US"/>
        </w:rPr>
        <w:t>., etc.).</w:t>
      </w:r>
      <w:r>
        <w:rPr>
          <w:lang w:val="en-US"/>
        </w:rPr>
        <w:t>”</w:t>
      </w:r>
    </w:p>
    <w:p w14:paraId="3BD69263" w14:textId="28EB8038" w:rsidR="000E3652" w:rsidRPr="00EA71AA" w:rsidRDefault="000E3652" w:rsidP="000E3652">
      <w:pPr>
        <w:pStyle w:val="SingleTxtG"/>
        <w:rPr>
          <w:lang w:val="en-US"/>
        </w:rPr>
      </w:pPr>
      <w:r>
        <w:rPr>
          <w:lang w:val="en-US"/>
        </w:rPr>
        <w:t>28.</w:t>
      </w:r>
      <w:r>
        <w:rPr>
          <w:lang w:val="en-US"/>
        </w:rPr>
        <w:tab/>
        <w:t>Modify the entries for UN 1835 as follows</w:t>
      </w:r>
      <w:r w:rsidR="002F470B">
        <w:rPr>
          <w:lang w:val="en-US"/>
        </w:rPr>
        <w:t xml:space="preserve"> (new text </w:t>
      </w:r>
      <w:r w:rsidR="008F3E0C">
        <w:rPr>
          <w:lang w:val="en-US"/>
        </w:rPr>
        <w:t>i</w:t>
      </w:r>
      <w:r w:rsidR="0086266C">
        <w:rPr>
          <w:lang w:val="en-US"/>
        </w:rPr>
        <w:t>s</w:t>
      </w:r>
      <w:r w:rsidR="008F3E0C">
        <w:rPr>
          <w:lang w:val="en-US"/>
        </w:rPr>
        <w:t xml:space="preserve"> </w:t>
      </w:r>
      <w:r w:rsidR="002F470B">
        <w:rPr>
          <w:lang w:val="en-US"/>
        </w:rPr>
        <w:t>underlined</w:t>
      </w:r>
      <w:r w:rsidR="008F3E0C">
        <w:rPr>
          <w:lang w:val="en-US"/>
        </w:rPr>
        <w:t xml:space="preserve">, deleted </w:t>
      </w:r>
      <w:r w:rsidR="000F6733">
        <w:rPr>
          <w:lang w:val="en-US"/>
        </w:rPr>
        <w:t>text strikethrough</w:t>
      </w:r>
      <w:r w:rsidR="002F470B">
        <w:rPr>
          <w:lang w:val="en-US"/>
        </w:rPr>
        <w:t>)</w:t>
      </w:r>
      <w:r>
        <w:rPr>
          <w:lang w:val="en-US"/>
        </w:rPr>
        <w:t>:</w:t>
      </w:r>
    </w:p>
    <w:p w14:paraId="681532CB" w14:textId="104A9115" w:rsidR="001E1A7B" w:rsidRDefault="001E1A7B">
      <w:pPr>
        <w:suppressAutoHyphens w:val="0"/>
        <w:kinsoku/>
        <w:overflowPunct/>
        <w:autoSpaceDE/>
        <w:autoSpaceDN/>
        <w:adjustRightInd/>
        <w:snapToGrid/>
        <w:spacing w:after="200" w:line="276" w:lineRule="auto"/>
        <w:rPr>
          <w:lang w:val="en-US"/>
        </w:rPr>
      </w:pPr>
      <w:r>
        <w:rPr>
          <w:lang w:val="en-US"/>
        </w:rPr>
        <w:br w:type="page"/>
      </w:r>
    </w:p>
    <w:tbl>
      <w:tblPr>
        <w:tblW w:w="0" w:type="auto"/>
        <w:tblLayout w:type="fixed"/>
        <w:tblLook w:val="04A0" w:firstRow="1" w:lastRow="0" w:firstColumn="1" w:lastColumn="0" w:noHBand="0" w:noVBand="1"/>
      </w:tblPr>
      <w:tblGrid>
        <w:gridCol w:w="660"/>
        <w:gridCol w:w="2151"/>
        <w:gridCol w:w="628"/>
        <w:gridCol w:w="523"/>
        <w:gridCol w:w="568"/>
        <w:gridCol w:w="705"/>
        <w:gridCol w:w="522"/>
        <w:gridCol w:w="470"/>
        <w:gridCol w:w="567"/>
        <w:gridCol w:w="591"/>
        <w:gridCol w:w="882"/>
        <w:gridCol w:w="951"/>
      </w:tblGrid>
      <w:tr w:rsidR="000E3652" w14:paraId="54E93300" w14:textId="77777777" w:rsidTr="00FA0C14">
        <w:trPr>
          <w:trHeight w:val="450"/>
        </w:trPr>
        <w:tc>
          <w:tcPr>
            <w:tcW w:w="660" w:type="dxa"/>
            <w:vMerge w:val="restart"/>
            <w:tcBorders>
              <w:top w:val="single" w:sz="8" w:space="0" w:color="auto"/>
              <w:left w:val="single" w:sz="8" w:space="0" w:color="auto"/>
              <w:bottom w:val="single" w:sz="2" w:space="0" w:color="auto"/>
              <w:right w:val="single" w:sz="8" w:space="0" w:color="auto"/>
            </w:tcBorders>
            <w:vAlign w:val="center"/>
            <w:hideMark/>
          </w:tcPr>
          <w:p w14:paraId="091102BE" w14:textId="77777777" w:rsidR="000E3652" w:rsidRPr="00D13A92" w:rsidRDefault="000E3652" w:rsidP="00FA0C14">
            <w:pPr>
              <w:jc w:val="center"/>
              <w:rPr>
                <w:rFonts w:asciiTheme="minorHAnsi" w:eastAsiaTheme="minorEastAsia" w:hAnsiTheme="minorHAnsi" w:cstheme="minorBidi"/>
                <w:sz w:val="16"/>
                <w:szCs w:val="16"/>
                <w:lang w:val="nl-BE"/>
              </w:rPr>
            </w:pPr>
            <w:r w:rsidRPr="00D13A92">
              <w:rPr>
                <w:rFonts w:eastAsia="Times New Roman"/>
                <w:sz w:val="16"/>
                <w:szCs w:val="16"/>
              </w:rPr>
              <w:t xml:space="preserve">UN No. </w:t>
            </w:r>
          </w:p>
        </w:tc>
        <w:tc>
          <w:tcPr>
            <w:tcW w:w="2151" w:type="dxa"/>
            <w:vMerge w:val="restart"/>
            <w:tcBorders>
              <w:top w:val="single" w:sz="8" w:space="0" w:color="auto"/>
              <w:left w:val="single" w:sz="8" w:space="0" w:color="auto"/>
              <w:bottom w:val="single" w:sz="2" w:space="0" w:color="auto"/>
              <w:right w:val="single" w:sz="8" w:space="0" w:color="auto"/>
            </w:tcBorders>
            <w:vAlign w:val="center"/>
            <w:hideMark/>
          </w:tcPr>
          <w:p w14:paraId="6CA2DF01" w14:textId="77777777" w:rsidR="000E3652" w:rsidRPr="00D13A92" w:rsidRDefault="000E3652" w:rsidP="00FA0C14">
            <w:pPr>
              <w:jc w:val="center"/>
              <w:rPr>
                <w:sz w:val="16"/>
                <w:szCs w:val="16"/>
              </w:rPr>
            </w:pPr>
            <w:r w:rsidRPr="00D13A92">
              <w:rPr>
                <w:rFonts w:eastAsia="Times New Roman"/>
                <w:sz w:val="16"/>
                <w:szCs w:val="16"/>
              </w:rPr>
              <w:t xml:space="preserve">Name and description </w:t>
            </w:r>
          </w:p>
        </w:tc>
        <w:tc>
          <w:tcPr>
            <w:tcW w:w="628" w:type="dxa"/>
            <w:vMerge w:val="restart"/>
            <w:tcBorders>
              <w:top w:val="single" w:sz="8" w:space="0" w:color="auto"/>
              <w:left w:val="single" w:sz="8" w:space="0" w:color="auto"/>
              <w:bottom w:val="single" w:sz="2" w:space="0" w:color="auto"/>
              <w:right w:val="single" w:sz="8" w:space="0" w:color="auto"/>
            </w:tcBorders>
            <w:vAlign w:val="center"/>
            <w:hideMark/>
          </w:tcPr>
          <w:p w14:paraId="3F521B1B" w14:textId="77777777" w:rsidR="000E3652" w:rsidRPr="00D13A92" w:rsidRDefault="000E3652" w:rsidP="00FA0C14">
            <w:pPr>
              <w:jc w:val="center"/>
              <w:rPr>
                <w:sz w:val="16"/>
                <w:szCs w:val="16"/>
              </w:rPr>
            </w:pPr>
            <w:r w:rsidRPr="00D13A92">
              <w:rPr>
                <w:rFonts w:eastAsia="Times New Roman"/>
                <w:sz w:val="16"/>
                <w:szCs w:val="16"/>
              </w:rPr>
              <w:t xml:space="preserve">Class </w:t>
            </w:r>
          </w:p>
          <w:p w14:paraId="4BE6AA75" w14:textId="77777777" w:rsidR="000E3652" w:rsidRPr="00D13A92" w:rsidRDefault="000E3652" w:rsidP="00FA0C14">
            <w:pPr>
              <w:jc w:val="center"/>
              <w:rPr>
                <w:sz w:val="16"/>
                <w:szCs w:val="16"/>
              </w:rPr>
            </w:pPr>
            <w:r w:rsidRPr="00D13A92">
              <w:rPr>
                <w:rFonts w:eastAsia="Times New Roman"/>
                <w:sz w:val="16"/>
                <w:szCs w:val="16"/>
              </w:rPr>
              <w:t xml:space="preserve">or division </w:t>
            </w:r>
          </w:p>
        </w:tc>
        <w:tc>
          <w:tcPr>
            <w:tcW w:w="523" w:type="dxa"/>
            <w:vMerge w:val="restart"/>
            <w:tcBorders>
              <w:top w:val="single" w:sz="8" w:space="0" w:color="auto"/>
              <w:left w:val="single" w:sz="8" w:space="0" w:color="auto"/>
              <w:bottom w:val="single" w:sz="2" w:space="0" w:color="auto"/>
              <w:right w:val="single" w:sz="8" w:space="0" w:color="auto"/>
            </w:tcBorders>
            <w:vAlign w:val="center"/>
            <w:hideMark/>
          </w:tcPr>
          <w:p w14:paraId="6B262790" w14:textId="77777777" w:rsidR="000E3652" w:rsidRPr="00D13A92" w:rsidRDefault="000E3652" w:rsidP="00FA0C14">
            <w:pPr>
              <w:jc w:val="center"/>
              <w:rPr>
                <w:sz w:val="16"/>
                <w:szCs w:val="16"/>
              </w:rPr>
            </w:pPr>
            <w:proofErr w:type="spellStart"/>
            <w:r w:rsidRPr="00D13A92">
              <w:rPr>
                <w:rFonts w:eastAsia="Times New Roman"/>
                <w:sz w:val="16"/>
                <w:szCs w:val="16"/>
              </w:rPr>
              <w:t>Subsi</w:t>
            </w:r>
            <w:proofErr w:type="spellEnd"/>
            <w:r w:rsidRPr="00D13A92">
              <w:rPr>
                <w:rFonts w:eastAsia="Times New Roman"/>
                <w:sz w:val="16"/>
                <w:szCs w:val="16"/>
              </w:rPr>
              <w:t xml:space="preserve">-diary hazard </w:t>
            </w:r>
          </w:p>
        </w:tc>
        <w:tc>
          <w:tcPr>
            <w:tcW w:w="568" w:type="dxa"/>
            <w:vMerge w:val="restart"/>
            <w:tcBorders>
              <w:top w:val="single" w:sz="8" w:space="0" w:color="auto"/>
              <w:left w:val="single" w:sz="8" w:space="0" w:color="auto"/>
              <w:bottom w:val="single" w:sz="2" w:space="0" w:color="auto"/>
              <w:right w:val="single" w:sz="8" w:space="0" w:color="auto"/>
            </w:tcBorders>
            <w:vAlign w:val="center"/>
            <w:hideMark/>
          </w:tcPr>
          <w:p w14:paraId="31C8B015" w14:textId="77777777" w:rsidR="000E3652" w:rsidRPr="00D13A92" w:rsidRDefault="000E3652" w:rsidP="00FA0C14">
            <w:pPr>
              <w:jc w:val="center"/>
              <w:rPr>
                <w:sz w:val="16"/>
                <w:szCs w:val="16"/>
              </w:rPr>
            </w:pPr>
            <w:r w:rsidRPr="00D13A92">
              <w:rPr>
                <w:rFonts w:eastAsia="Times New Roman"/>
                <w:sz w:val="16"/>
                <w:szCs w:val="16"/>
              </w:rPr>
              <w:t xml:space="preserve">UN packing group </w:t>
            </w:r>
          </w:p>
        </w:tc>
        <w:tc>
          <w:tcPr>
            <w:tcW w:w="705" w:type="dxa"/>
            <w:vMerge w:val="restart"/>
            <w:tcBorders>
              <w:top w:val="single" w:sz="8" w:space="0" w:color="auto"/>
              <w:left w:val="single" w:sz="8" w:space="0" w:color="auto"/>
              <w:bottom w:val="single" w:sz="2" w:space="0" w:color="auto"/>
              <w:right w:val="single" w:sz="8" w:space="0" w:color="auto"/>
            </w:tcBorders>
            <w:vAlign w:val="center"/>
            <w:hideMark/>
          </w:tcPr>
          <w:p w14:paraId="7B17D756" w14:textId="77777777" w:rsidR="000E3652" w:rsidRPr="00D13A92" w:rsidRDefault="000E3652" w:rsidP="00FA0C14">
            <w:pPr>
              <w:jc w:val="center"/>
              <w:rPr>
                <w:sz w:val="16"/>
                <w:szCs w:val="16"/>
              </w:rPr>
            </w:pPr>
            <w:r w:rsidRPr="00D13A92">
              <w:rPr>
                <w:rFonts w:eastAsia="Times New Roman"/>
                <w:sz w:val="16"/>
                <w:szCs w:val="16"/>
              </w:rPr>
              <w:t xml:space="preserve">Special </w:t>
            </w:r>
            <w:proofErr w:type="spellStart"/>
            <w:r w:rsidRPr="00D13A92">
              <w:rPr>
                <w:rFonts w:eastAsia="Times New Roman"/>
                <w:sz w:val="16"/>
                <w:szCs w:val="16"/>
              </w:rPr>
              <w:t>provi-sions</w:t>
            </w:r>
            <w:proofErr w:type="spellEnd"/>
            <w:r w:rsidRPr="00D13A92">
              <w:rPr>
                <w:rFonts w:eastAsia="Times New Roman"/>
                <w:sz w:val="16"/>
                <w:szCs w:val="16"/>
              </w:rPr>
              <w:t xml:space="preserve"> </w:t>
            </w:r>
          </w:p>
        </w:tc>
        <w:tc>
          <w:tcPr>
            <w:tcW w:w="992" w:type="dxa"/>
            <w:gridSpan w:val="2"/>
            <w:vMerge w:val="restart"/>
            <w:tcBorders>
              <w:top w:val="single" w:sz="8" w:space="0" w:color="auto"/>
              <w:left w:val="single" w:sz="8" w:space="0" w:color="auto"/>
              <w:bottom w:val="single" w:sz="2" w:space="0" w:color="auto"/>
              <w:right w:val="single" w:sz="8" w:space="0" w:color="auto"/>
            </w:tcBorders>
            <w:vAlign w:val="center"/>
            <w:hideMark/>
          </w:tcPr>
          <w:p w14:paraId="5CAD09E8" w14:textId="77777777" w:rsidR="000E3652" w:rsidRPr="00D13A92" w:rsidRDefault="000E3652" w:rsidP="00FA0C14">
            <w:pPr>
              <w:jc w:val="center"/>
              <w:rPr>
                <w:sz w:val="16"/>
                <w:szCs w:val="16"/>
              </w:rPr>
            </w:pPr>
            <w:r w:rsidRPr="00D13A92">
              <w:rPr>
                <w:rFonts w:eastAsia="Times New Roman"/>
                <w:sz w:val="16"/>
                <w:szCs w:val="16"/>
              </w:rPr>
              <w:t xml:space="preserve">Limited &amp; excepted quantities </w:t>
            </w:r>
          </w:p>
        </w:tc>
        <w:tc>
          <w:tcPr>
            <w:tcW w:w="1158" w:type="dxa"/>
            <w:gridSpan w:val="2"/>
            <w:tcBorders>
              <w:top w:val="single" w:sz="8" w:space="0" w:color="auto"/>
              <w:left w:val="nil"/>
              <w:bottom w:val="single" w:sz="8" w:space="0" w:color="auto"/>
              <w:right w:val="single" w:sz="8" w:space="0" w:color="auto"/>
            </w:tcBorders>
            <w:vAlign w:val="center"/>
            <w:hideMark/>
          </w:tcPr>
          <w:p w14:paraId="7561F94C" w14:textId="77777777" w:rsidR="000E3652" w:rsidRPr="00D13A92" w:rsidRDefault="000E3652" w:rsidP="00FA0C14">
            <w:pPr>
              <w:jc w:val="center"/>
              <w:rPr>
                <w:sz w:val="16"/>
                <w:szCs w:val="16"/>
              </w:rPr>
            </w:pPr>
            <w:proofErr w:type="spellStart"/>
            <w:r w:rsidRPr="00D13A92">
              <w:rPr>
                <w:rFonts w:eastAsia="Times New Roman"/>
                <w:sz w:val="16"/>
                <w:szCs w:val="16"/>
              </w:rPr>
              <w:t>Packagings</w:t>
            </w:r>
            <w:proofErr w:type="spellEnd"/>
            <w:r w:rsidRPr="00D13A92">
              <w:rPr>
                <w:rFonts w:eastAsia="Times New Roman"/>
                <w:sz w:val="16"/>
                <w:szCs w:val="16"/>
              </w:rPr>
              <w:t xml:space="preserve"> and IBCs </w:t>
            </w:r>
          </w:p>
        </w:tc>
        <w:tc>
          <w:tcPr>
            <w:tcW w:w="1833" w:type="dxa"/>
            <w:gridSpan w:val="2"/>
            <w:tcBorders>
              <w:top w:val="single" w:sz="8" w:space="0" w:color="auto"/>
              <w:left w:val="nil"/>
              <w:bottom w:val="single" w:sz="8" w:space="0" w:color="auto"/>
              <w:right w:val="single" w:sz="8" w:space="0" w:color="auto"/>
            </w:tcBorders>
            <w:vAlign w:val="center"/>
            <w:hideMark/>
          </w:tcPr>
          <w:p w14:paraId="4AA5C7A7" w14:textId="77777777" w:rsidR="000E3652" w:rsidRPr="00D13A92" w:rsidRDefault="000E3652" w:rsidP="00FA0C14">
            <w:pPr>
              <w:jc w:val="center"/>
              <w:rPr>
                <w:sz w:val="16"/>
                <w:szCs w:val="16"/>
              </w:rPr>
            </w:pPr>
            <w:r w:rsidRPr="00D13A92">
              <w:rPr>
                <w:rFonts w:eastAsia="Times New Roman"/>
                <w:sz w:val="16"/>
                <w:szCs w:val="16"/>
              </w:rPr>
              <w:t xml:space="preserve">Portable tanks and bulk containers </w:t>
            </w:r>
          </w:p>
        </w:tc>
      </w:tr>
      <w:tr w:rsidR="000E3652" w14:paraId="4E80FA46" w14:textId="77777777" w:rsidTr="00FA0C14">
        <w:trPr>
          <w:trHeight w:val="195"/>
        </w:trPr>
        <w:tc>
          <w:tcPr>
            <w:tcW w:w="660" w:type="dxa"/>
            <w:vMerge/>
            <w:tcBorders>
              <w:top w:val="single" w:sz="8" w:space="0" w:color="auto"/>
              <w:left w:val="single" w:sz="8" w:space="0" w:color="auto"/>
              <w:bottom w:val="single" w:sz="2" w:space="0" w:color="auto"/>
              <w:right w:val="single" w:sz="8" w:space="0" w:color="auto"/>
            </w:tcBorders>
            <w:vAlign w:val="center"/>
            <w:hideMark/>
          </w:tcPr>
          <w:p w14:paraId="11565EF8" w14:textId="77777777" w:rsidR="000E3652" w:rsidRPr="00D13A92" w:rsidRDefault="000E3652" w:rsidP="00FA0C14">
            <w:pPr>
              <w:rPr>
                <w:sz w:val="16"/>
                <w:szCs w:val="16"/>
                <w:lang w:val="en-US"/>
              </w:rPr>
            </w:pPr>
          </w:p>
        </w:tc>
        <w:tc>
          <w:tcPr>
            <w:tcW w:w="2151" w:type="dxa"/>
            <w:vMerge/>
            <w:tcBorders>
              <w:top w:val="single" w:sz="8" w:space="0" w:color="auto"/>
              <w:left w:val="single" w:sz="8" w:space="0" w:color="auto"/>
              <w:bottom w:val="single" w:sz="2" w:space="0" w:color="auto"/>
              <w:right w:val="single" w:sz="8" w:space="0" w:color="auto"/>
            </w:tcBorders>
            <w:vAlign w:val="center"/>
            <w:hideMark/>
          </w:tcPr>
          <w:p w14:paraId="39860D03" w14:textId="77777777" w:rsidR="000E3652" w:rsidRPr="00D13A92" w:rsidRDefault="000E3652" w:rsidP="00FA0C14">
            <w:pPr>
              <w:rPr>
                <w:sz w:val="16"/>
                <w:szCs w:val="16"/>
                <w:lang w:val="en-US"/>
              </w:rPr>
            </w:pPr>
          </w:p>
        </w:tc>
        <w:tc>
          <w:tcPr>
            <w:tcW w:w="628" w:type="dxa"/>
            <w:vMerge/>
            <w:tcBorders>
              <w:top w:val="single" w:sz="8" w:space="0" w:color="auto"/>
              <w:left w:val="single" w:sz="8" w:space="0" w:color="auto"/>
              <w:bottom w:val="single" w:sz="2" w:space="0" w:color="auto"/>
              <w:right w:val="single" w:sz="8" w:space="0" w:color="auto"/>
            </w:tcBorders>
            <w:vAlign w:val="center"/>
            <w:hideMark/>
          </w:tcPr>
          <w:p w14:paraId="66ADF96A" w14:textId="77777777" w:rsidR="000E3652" w:rsidRPr="00D13A92" w:rsidRDefault="000E3652" w:rsidP="00FA0C14">
            <w:pPr>
              <w:rPr>
                <w:sz w:val="16"/>
                <w:szCs w:val="16"/>
                <w:lang w:val="en-US"/>
              </w:rPr>
            </w:pPr>
          </w:p>
        </w:tc>
        <w:tc>
          <w:tcPr>
            <w:tcW w:w="523" w:type="dxa"/>
            <w:vMerge/>
            <w:tcBorders>
              <w:top w:val="single" w:sz="8" w:space="0" w:color="auto"/>
              <w:left w:val="single" w:sz="8" w:space="0" w:color="auto"/>
              <w:bottom w:val="single" w:sz="2" w:space="0" w:color="auto"/>
              <w:right w:val="single" w:sz="8" w:space="0" w:color="auto"/>
            </w:tcBorders>
            <w:vAlign w:val="center"/>
            <w:hideMark/>
          </w:tcPr>
          <w:p w14:paraId="3B4642BB" w14:textId="77777777" w:rsidR="000E3652" w:rsidRPr="00D13A92" w:rsidRDefault="000E3652" w:rsidP="00FA0C14">
            <w:pPr>
              <w:rPr>
                <w:sz w:val="16"/>
                <w:szCs w:val="16"/>
                <w:lang w:val="en-US"/>
              </w:rPr>
            </w:pPr>
          </w:p>
        </w:tc>
        <w:tc>
          <w:tcPr>
            <w:tcW w:w="568" w:type="dxa"/>
            <w:vMerge/>
            <w:tcBorders>
              <w:top w:val="single" w:sz="8" w:space="0" w:color="auto"/>
              <w:left w:val="single" w:sz="8" w:space="0" w:color="auto"/>
              <w:bottom w:val="single" w:sz="2" w:space="0" w:color="auto"/>
              <w:right w:val="single" w:sz="8" w:space="0" w:color="auto"/>
            </w:tcBorders>
            <w:vAlign w:val="center"/>
            <w:hideMark/>
          </w:tcPr>
          <w:p w14:paraId="117AD701" w14:textId="77777777" w:rsidR="000E3652" w:rsidRPr="00D13A92" w:rsidRDefault="000E3652" w:rsidP="00FA0C14">
            <w:pPr>
              <w:rPr>
                <w:sz w:val="16"/>
                <w:szCs w:val="16"/>
                <w:lang w:val="en-US"/>
              </w:rPr>
            </w:pPr>
          </w:p>
        </w:tc>
        <w:tc>
          <w:tcPr>
            <w:tcW w:w="705" w:type="dxa"/>
            <w:vMerge/>
            <w:tcBorders>
              <w:top w:val="single" w:sz="8" w:space="0" w:color="auto"/>
              <w:left w:val="single" w:sz="8" w:space="0" w:color="auto"/>
              <w:bottom w:val="single" w:sz="2" w:space="0" w:color="auto"/>
              <w:right w:val="single" w:sz="8" w:space="0" w:color="auto"/>
            </w:tcBorders>
            <w:vAlign w:val="center"/>
            <w:hideMark/>
          </w:tcPr>
          <w:p w14:paraId="3096F763" w14:textId="77777777" w:rsidR="000E3652" w:rsidRPr="00D13A92" w:rsidRDefault="000E3652" w:rsidP="00FA0C14">
            <w:pPr>
              <w:rPr>
                <w:sz w:val="16"/>
                <w:szCs w:val="16"/>
                <w:lang w:val="en-US"/>
              </w:rPr>
            </w:pPr>
          </w:p>
        </w:tc>
        <w:tc>
          <w:tcPr>
            <w:tcW w:w="992" w:type="dxa"/>
            <w:gridSpan w:val="2"/>
            <w:vMerge/>
            <w:tcBorders>
              <w:top w:val="single" w:sz="8" w:space="0" w:color="auto"/>
              <w:left w:val="single" w:sz="8" w:space="0" w:color="auto"/>
              <w:bottom w:val="single" w:sz="2" w:space="0" w:color="auto"/>
              <w:right w:val="single" w:sz="8" w:space="0" w:color="auto"/>
            </w:tcBorders>
            <w:vAlign w:val="center"/>
            <w:hideMark/>
          </w:tcPr>
          <w:p w14:paraId="2A9D6962" w14:textId="77777777" w:rsidR="000E3652" w:rsidRPr="00D13A92" w:rsidRDefault="000E3652" w:rsidP="00FA0C14">
            <w:pPr>
              <w:rPr>
                <w:sz w:val="16"/>
                <w:szCs w:val="16"/>
                <w:lang w:val="en-US"/>
              </w:rPr>
            </w:pPr>
          </w:p>
        </w:tc>
        <w:tc>
          <w:tcPr>
            <w:tcW w:w="567" w:type="dxa"/>
            <w:tcBorders>
              <w:top w:val="single" w:sz="8" w:space="0" w:color="auto"/>
              <w:left w:val="nil"/>
              <w:bottom w:val="single" w:sz="8" w:space="0" w:color="auto"/>
              <w:right w:val="single" w:sz="8" w:space="0" w:color="auto"/>
            </w:tcBorders>
            <w:vAlign w:val="center"/>
            <w:hideMark/>
          </w:tcPr>
          <w:p w14:paraId="73E094F6" w14:textId="77777777" w:rsidR="000E3652" w:rsidRPr="00D13A92" w:rsidRDefault="000E3652" w:rsidP="00FA0C14">
            <w:pPr>
              <w:jc w:val="center"/>
              <w:rPr>
                <w:sz w:val="16"/>
                <w:szCs w:val="16"/>
              </w:rPr>
            </w:pPr>
            <w:r w:rsidRPr="00D13A92">
              <w:rPr>
                <w:rFonts w:eastAsia="Times New Roman"/>
                <w:sz w:val="16"/>
                <w:szCs w:val="16"/>
              </w:rPr>
              <w:t xml:space="preserve">Packing instruction </w:t>
            </w:r>
          </w:p>
        </w:tc>
        <w:tc>
          <w:tcPr>
            <w:tcW w:w="591" w:type="dxa"/>
            <w:tcBorders>
              <w:top w:val="nil"/>
              <w:left w:val="single" w:sz="8" w:space="0" w:color="auto"/>
              <w:bottom w:val="single" w:sz="8" w:space="0" w:color="auto"/>
              <w:right w:val="single" w:sz="8" w:space="0" w:color="auto"/>
            </w:tcBorders>
            <w:vAlign w:val="center"/>
            <w:hideMark/>
          </w:tcPr>
          <w:p w14:paraId="09BFA2B2" w14:textId="77777777" w:rsidR="000E3652" w:rsidRPr="00D13A92" w:rsidRDefault="000E3652" w:rsidP="00FA0C14">
            <w:pPr>
              <w:jc w:val="center"/>
              <w:rPr>
                <w:sz w:val="16"/>
                <w:szCs w:val="16"/>
              </w:rPr>
            </w:pPr>
            <w:r w:rsidRPr="00D13A92">
              <w:rPr>
                <w:rFonts w:eastAsia="Times New Roman"/>
                <w:sz w:val="16"/>
                <w:szCs w:val="16"/>
              </w:rPr>
              <w:t xml:space="preserve">Special packing provisions </w:t>
            </w:r>
          </w:p>
        </w:tc>
        <w:tc>
          <w:tcPr>
            <w:tcW w:w="882" w:type="dxa"/>
            <w:tcBorders>
              <w:top w:val="single" w:sz="8" w:space="0" w:color="auto"/>
              <w:left w:val="single" w:sz="8" w:space="0" w:color="auto"/>
              <w:bottom w:val="single" w:sz="8" w:space="0" w:color="auto"/>
              <w:right w:val="single" w:sz="8" w:space="0" w:color="auto"/>
            </w:tcBorders>
            <w:vAlign w:val="center"/>
            <w:hideMark/>
          </w:tcPr>
          <w:p w14:paraId="17D14DEC" w14:textId="77777777" w:rsidR="000E3652" w:rsidRPr="00D13A92" w:rsidRDefault="000E3652" w:rsidP="00FA0C14">
            <w:pPr>
              <w:jc w:val="center"/>
              <w:rPr>
                <w:sz w:val="16"/>
                <w:szCs w:val="16"/>
              </w:rPr>
            </w:pPr>
            <w:r w:rsidRPr="00D13A92">
              <w:rPr>
                <w:rFonts w:eastAsia="Times New Roman"/>
                <w:sz w:val="16"/>
                <w:szCs w:val="16"/>
              </w:rPr>
              <w:t xml:space="preserve">Instructions </w:t>
            </w:r>
          </w:p>
        </w:tc>
        <w:tc>
          <w:tcPr>
            <w:tcW w:w="951" w:type="dxa"/>
            <w:tcBorders>
              <w:top w:val="nil"/>
              <w:left w:val="single" w:sz="8" w:space="0" w:color="auto"/>
              <w:bottom w:val="single" w:sz="8" w:space="0" w:color="auto"/>
              <w:right w:val="single" w:sz="8" w:space="0" w:color="auto"/>
            </w:tcBorders>
            <w:vAlign w:val="center"/>
            <w:hideMark/>
          </w:tcPr>
          <w:p w14:paraId="53A7269B" w14:textId="77777777" w:rsidR="000E3652" w:rsidRPr="00D13A92" w:rsidRDefault="000E3652" w:rsidP="00FA0C14">
            <w:pPr>
              <w:jc w:val="center"/>
              <w:rPr>
                <w:sz w:val="16"/>
                <w:szCs w:val="16"/>
              </w:rPr>
            </w:pPr>
            <w:r w:rsidRPr="00D13A92">
              <w:rPr>
                <w:rFonts w:eastAsia="Times New Roman"/>
                <w:sz w:val="16"/>
                <w:szCs w:val="16"/>
              </w:rPr>
              <w:t xml:space="preserve">Special provisions </w:t>
            </w:r>
          </w:p>
        </w:tc>
      </w:tr>
      <w:tr w:rsidR="000E3652" w14:paraId="1093B610" w14:textId="77777777" w:rsidTr="00FA0C14">
        <w:trPr>
          <w:trHeight w:val="288"/>
        </w:trPr>
        <w:tc>
          <w:tcPr>
            <w:tcW w:w="660" w:type="dxa"/>
            <w:tcBorders>
              <w:top w:val="nil"/>
              <w:left w:val="single" w:sz="8" w:space="0" w:color="auto"/>
              <w:bottom w:val="single" w:sz="8" w:space="0" w:color="auto"/>
              <w:right w:val="single" w:sz="8" w:space="0" w:color="auto"/>
            </w:tcBorders>
            <w:vAlign w:val="center"/>
          </w:tcPr>
          <w:p w14:paraId="450E33D5" w14:textId="77777777" w:rsidR="000E3652" w:rsidRPr="001C428A" w:rsidRDefault="000E3652" w:rsidP="00FA0C14">
            <w:pPr>
              <w:jc w:val="center"/>
              <w:rPr>
                <w:rFonts w:eastAsia="Times New Roman"/>
                <w:sz w:val="16"/>
                <w:szCs w:val="16"/>
              </w:rPr>
            </w:pPr>
            <w:r w:rsidRPr="001C428A">
              <w:rPr>
                <w:rFonts w:eastAsia="Times New Roman"/>
                <w:sz w:val="16"/>
                <w:szCs w:val="16"/>
              </w:rPr>
              <w:t>(1)</w:t>
            </w:r>
          </w:p>
        </w:tc>
        <w:tc>
          <w:tcPr>
            <w:tcW w:w="2151" w:type="dxa"/>
            <w:tcBorders>
              <w:top w:val="nil"/>
              <w:left w:val="single" w:sz="8" w:space="0" w:color="auto"/>
              <w:bottom w:val="single" w:sz="8" w:space="0" w:color="auto"/>
              <w:right w:val="single" w:sz="8" w:space="0" w:color="auto"/>
            </w:tcBorders>
            <w:vAlign w:val="center"/>
          </w:tcPr>
          <w:p w14:paraId="4CE75B81" w14:textId="77777777" w:rsidR="000E3652" w:rsidRPr="001C428A" w:rsidRDefault="000E3652" w:rsidP="00FA0C14">
            <w:pPr>
              <w:jc w:val="center"/>
              <w:rPr>
                <w:rFonts w:eastAsia="Times New Roman"/>
                <w:sz w:val="16"/>
                <w:szCs w:val="16"/>
                <w:lang w:val="en-US"/>
              </w:rPr>
            </w:pPr>
            <w:r w:rsidRPr="001C428A">
              <w:rPr>
                <w:rFonts w:eastAsia="Times New Roman"/>
                <w:sz w:val="16"/>
                <w:szCs w:val="16"/>
                <w:lang w:val="en-US"/>
              </w:rPr>
              <w:t>(2)</w:t>
            </w:r>
          </w:p>
        </w:tc>
        <w:tc>
          <w:tcPr>
            <w:tcW w:w="628" w:type="dxa"/>
            <w:tcBorders>
              <w:top w:val="nil"/>
              <w:left w:val="single" w:sz="8" w:space="0" w:color="auto"/>
              <w:bottom w:val="single" w:sz="8" w:space="0" w:color="auto"/>
              <w:right w:val="single" w:sz="8" w:space="0" w:color="auto"/>
            </w:tcBorders>
            <w:vAlign w:val="center"/>
          </w:tcPr>
          <w:p w14:paraId="62AE37A2" w14:textId="77777777" w:rsidR="000E3652" w:rsidRPr="001C428A" w:rsidRDefault="000E3652" w:rsidP="00FA0C14">
            <w:pPr>
              <w:jc w:val="center"/>
              <w:rPr>
                <w:rFonts w:eastAsia="Times New Roman"/>
                <w:sz w:val="16"/>
                <w:szCs w:val="16"/>
              </w:rPr>
            </w:pPr>
            <w:r w:rsidRPr="001C428A">
              <w:rPr>
                <w:rFonts w:eastAsia="Times New Roman"/>
                <w:sz w:val="16"/>
                <w:szCs w:val="16"/>
              </w:rPr>
              <w:t>(3)</w:t>
            </w:r>
          </w:p>
        </w:tc>
        <w:tc>
          <w:tcPr>
            <w:tcW w:w="523" w:type="dxa"/>
            <w:tcBorders>
              <w:top w:val="nil"/>
              <w:left w:val="single" w:sz="8" w:space="0" w:color="auto"/>
              <w:bottom w:val="single" w:sz="8" w:space="0" w:color="auto"/>
              <w:right w:val="single" w:sz="8" w:space="0" w:color="auto"/>
            </w:tcBorders>
            <w:vAlign w:val="center"/>
          </w:tcPr>
          <w:p w14:paraId="50991E8A" w14:textId="77777777" w:rsidR="000E3652" w:rsidRPr="001C428A" w:rsidRDefault="000E3652" w:rsidP="00FA0C14">
            <w:pPr>
              <w:jc w:val="center"/>
              <w:rPr>
                <w:rFonts w:eastAsia="Times New Roman"/>
                <w:sz w:val="16"/>
                <w:szCs w:val="16"/>
              </w:rPr>
            </w:pPr>
            <w:r w:rsidRPr="001C428A">
              <w:rPr>
                <w:rFonts w:eastAsia="Times New Roman"/>
                <w:sz w:val="16"/>
                <w:szCs w:val="16"/>
              </w:rPr>
              <w:t>(4)</w:t>
            </w:r>
          </w:p>
        </w:tc>
        <w:tc>
          <w:tcPr>
            <w:tcW w:w="568" w:type="dxa"/>
            <w:tcBorders>
              <w:top w:val="nil"/>
              <w:left w:val="single" w:sz="8" w:space="0" w:color="auto"/>
              <w:bottom w:val="single" w:sz="8" w:space="0" w:color="auto"/>
              <w:right w:val="single" w:sz="8" w:space="0" w:color="auto"/>
            </w:tcBorders>
            <w:vAlign w:val="center"/>
          </w:tcPr>
          <w:p w14:paraId="1D356210" w14:textId="77777777" w:rsidR="000E3652" w:rsidRPr="001C428A" w:rsidRDefault="000E3652" w:rsidP="00FA0C14">
            <w:pPr>
              <w:jc w:val="center"/>
              <w:rPr>
                <w:rFonts w:eastAsia="Times New Roman"/>
                <w:sz w:val="16"/>
                <w:szCs w:val="16"/>
              </w:rPr>
            </w:pPr>
            <w:r w:rsidRPr="001C428A">
              <w:rPr>
                <w:rFonts w:eastAsia="Times New Roman"/>
                <w:sz w:val="16"/>
                <w:szCs w:val="16"/>
              </w:rPr>
              <w:t>(5)</w:t>
            </w:r>
          </w:p>
        </w:tc>
        <w:tc>
          <w:tcPr>
            <w:tcW w:w="705" w:type="dxa"/>
            <w:tcBorders>
              <w:top w:val="nil"/>
              <w:left w:val="single" w:sz="8" w:space="0" w:color="auto"/>
              <w:bottom w:val="single" w:sz="8" w:space="0" w:color="auto"/>
              <w:right w:val="single" w:sz="8" w:space="0" w:color="auto"/>
            </w:tcBorders>
            <w:vAlign w:val="center"/>
          </w:tcPr>
          <w:p w14:paraId="23FFAFB2" w14:textId="77777777" w:rsidR="000E3652" w:rsidRPr="001C428A" w:rsidRDefault="000E3652" w:rsidP="00FA0C14">
            <w:pPr>
              <w:jc w:val="center"/>
              <w:rPr>
                <w:rFonts w:eastAsia="Times New Roman"/>
                <w:sz w:val="16"/>
                <w:szCs w:val="16"/>
              </w:rPr>
            </w:pPr>
            <w:r w:rsidRPr="001C428A">
              <w:rPr>
                <w:rFonts w:eastAsia="Times New Roman"/>
                <w:sz w:val="16"/>
                <w:szCs w:val="16"/>
              </w:rPr>
              <w:t>(6)</w:t>
            </w:r>
          </w:p>
        </w:tc>
        <w:tc>
          <w:tcPr>
            <w:tcW w:w="522" w:type="dxa"/>
            <w:tcBorders>
              <w:top w:val="nil"/>
              <w:left w:val="single" w:sz="8" w:space="0" w:color="auto"/>
              <w:bottom w:val="single" w:sz="8" w:space="0" w:color="auto"/>
              <w:right w:val="single" w:sz="8" w:space="0" w:color="auto"/>
            </w:tcBorders>
            <w:vAlign w:val="center"/>
          </w:tcPr>
          <w:p w14:paraId="2303F5C4" w14:textId="77777777" w:rsidR="000E3652" w:rsidRPr="001C428A" w:rsidRDefault="000E3652" w:rsidP="00FA0C14">
            <w:pPr>
              <w:jc w:val="center"/>
              <w:rPr>
                <w:rFonts w:eastAsia="Times New Roman"/>
                <w:sz w:val="16"/>
                <w:szCs w:val="16"/>
              </w:rPr>
            </w:pPr>
            <w:r w:rsidRPr="001C428A">
              <w:rPr>
                <w:rFonts w:eastAsia="Times New Roman"/>
                <w:sz w:val="16"/>
                <w:szCs w:val="16"/>
              </w:rPr>
              <w:t>(7a)</w:t>
            </w:r>
          </w:p>
        </w:tc>
        <w:tc>
          <w:tcPr>
            <w:tcW w:w="470" w:type="dxa"/>
            <w:tcBorders>
              <w:top w:val="nil"/>
              <w:left w:val="single" w:sz="8" w:space="0" w:color="auto"/>
              <w:bottom w:val="single" w:sz="8" w:space="0" w:color="auto"/>
              <w:right w:val="single" w:sz="8" w:space="0" w:color="auto"/>
            </w:tcBorders>
            <w:vAlign w:val="center"/>
          </w:tcPr>
          <w:p w14:paraId="69F81939" w14:textId="77777777" w:rsidR="000E3652" w:rsidRPr="001C428A" w:rsidRDefault="000E3652" w:rsidP="00FA0C14">
            <w:pPr>
              <w:jc w:val="center"/>
              <w:rPr>
                <w:rFonts w:eastAsia="Times New Roman"/>
                <w:sz w:val="16"/>
                <w:szCs w:val="16"/>
              </w:rPr>
            </w:pPr>
            <w:r w:rsidRPr="001C428A">
              <w:rPr>
                <w:rFonts w:eastAsia="Times New Roman"/>
                <w:sz w:val="16"/>
                <w:szCs w:val="16"/>
              </w:rPr>
              <w:t>(7b)</w:t>
            </w:r>
          </w:p>
        </w:tc>
        <w:tc>
          <w:tcPr>
            <w:tcW w:w="567" w:type="dxa"/>
            <w:tcBorders>
              <w:top w:val="single" w:sz="8" w:space="0" w:color="auto"/>
              <w:left w:val="single" w:sz="8" w:space="0" w:color="auto"/>
              <w:bottom w:val="single" w:sz="8" w:space="0" w:color="auto"/>
              <w:right w:val="single" w:sz="8" w:space="0" w:color="auto"/>
            </w:tcBorders>
            <w:vAlign w:val="center"/>
          </w:tcPr>
          <w:p w14:paraId="6DEC824F" w14:textId="77777777" w:rsidR="000E3652" w:rsidRPr="001C428A" w:rsidRDefault="000E3652" w:rsidP="00FA0C14">
            <w:pPr>
              <w:jc w:val="center"/>
              <w:rPr>
                <w:rFonts w:eastAsia="Times New Roman"/>
                <w:sz w:val="16"/>
                <w:szCs w:val="16"/>
              </w:rPr>
            </w:pPr>
            <w:r w:rsidRPr="001C428A">
              <w:rPr>
                <w:rFonts w:eastAsia="Times New Roman"/>
                <w:sz w:val="16"/>
                <w:szCs w:val="16"/>
              </w:rPr>
              <w:t>(8)</w:t>
            </w:r>
          </w:p>
        </w:tc>
        <w:tc>
          <w:tcPr>
            <w:tcW w:w="591" w:type="dxa"/>
            <w:tcBorders>
              <w:top w:val="single" w:sz="8" w:space="0" w:color="auto"/>
              <w:left w:val="single" w:sz="8" w:space="0" w:color="auto"/>
              <w:bottom w:val="single" w:sz="8" w:space="0" w:color="auto"/>
              <w:right w:val="single" w:sz="8" w:space="0" w:color="auto"/>
            </w:tcBorders>
            <w:vAlign w:val="center"/>
          </w:tcPr>
          <w:p w14:paraId="25501267" w14:textId="77777777" w:rsidR="000E3652" w:rsidRPr="001C428A" w:rsidRDefault="000E3652" w:rsidP="00FA0C14">
            <w:pPr>
              <w:jc w:val="center"/>
              <w:rPr>
                <w:rFonts w:eastAsia="Times New Roman"/>
                <w:sz w:val="16"/>
                <w:szCs w:val="16"/>
              </w:rPr>
            </w:pPr>
            <w:r w:rsidRPr="001C428A">
              <w:rPr>
                <w:rFonts w:eastAsia="Times New Roman"/>
                <w:sz w:val="16"/>
                <w:szCs w:val="16"/>
              </w:rPr>
              <w:t>(9)</w:t>
            </w:r>
          </w:p>
        </w:tc>
        <w:tc>
          <w:tcPr>
            <w:tcW w:w="882" w:type="dxa"/>
            <w:tcBorders>
              <w:top w:val="single" w:sz="8" w:space="0" w:color="auto"/>
              <w:left w:val="single" w:sz="8" w:space="0" w:color="auto"/>
              <w:bottom w:val="single" w:sz="8" w:space="0" w:color="auto"/>
              <w:right w:val="single" w:sz="8" w:space="0" w:color="auto"/>
            </w:tcBorders>
            <w:vAlign w:val="center"/>
          </w:tcPr>
          <w:p w14:paraId="0BDEBD15" w14:textId="77777777" w:rsidR="000E3652" w:rsidRPr="001C428A" w:rsidRDefault="000E3652" w:rsidP="00FA0C14">
            <w:pPr>
              <w:jc w:val="center"/>
              <w:rPr>
                <w:rFonts w:eastAsia="Times New Roman"/>
                <w:sz w:val="16"/>
                <w:szCs w:val="16"/>
              </w:rPr>
            </w:pPr>
            <w:r w:rsidRPr="001C428A">
              <w:rPr>
                <w:rFonts w:eastAsia="Times New Roman"/>
                <w:sz w:val="16"/>
                <w:szCs w:val="16"/>
              </w:rPr>
              <w:t>(10)</w:t>
            </w:r>
          </w:p>
        </w:tc>
        <w:tc>
          <w:tcPr>
            <w:tcW w:w="951" w:type="dxa"/>
            <w:tcBorders>
              <w:top w:val="single" w:sz="8" w:space="0" w:color="auto"/>
              <w:left w:val="single" w:sz="8" w:space="0" w:color="auto"/>
              <w:bottom w:val="single" w:sz="8" w:space="0" w:color="auto"/>
              <w:right w:val="single" w:sz="8" w:space="0" w:color="auto"/>
            </w:tcBorders>
            <w:vAlign w:val="center"/>
          </w:tcPr>
          <w:p w14:paraId="7B0882ED" w14:textId="77777777" w:rsidR="000E3652" w:rsidRPr="001C428A" w:rsidRDefault="000E3652" w:rsidP="00FA0C14">
            <w:pPr>
              <w:jc w:val="center"/>
              <w:rPr>
                <w:rFonts w:eastAsia="Times New Roman"/>
                <w:sz w:val="16"/>
                <w:szCs w:val="16"/>
              </w:rPr>
            </w:pPr>
            <w:r w:rsidRPr="001C428A">
              <w:rPr>
                <w:rFonts w:eastAsia="Times New Roman"/>
                <w:sz w:val="16"/>
                <w:szCs w:val="16"/>
              </w:rPr>
              <w:t>(11)</w:t>
            </w:r>
          </w:p>
        </w:tc>
      </w:tr>
      <w:tr w:rsidR="000E3652" w14:paraId="7BE48D03" w14:textId="77777777" w:rsidTr="00FA0C14">
        <w:trPr>
          <w:trHeight w:val="840"/>
        </w:trPr>
        <w:tc>
          <w:tcPr>
            <w:tcW w:w="660" w:type="dxa"/>
            <w:tcBorders>
              <w:top w:val="nil"/>
              <w:left w:val="single" w:sz="8" w:space="0" w:color="auto"/>
              <w:bottom w:val="single" w:sz="8" w:space="0" w:color="auto"/>
              <w:right w:val="single" w:sz="8" w:space="0" w:color="auto"/>
            </w:tcBorders>
            <w:hideMark/>
          </w:tcPr>
          <w:p w14:paraId="0DBC2FF3" w14:textId="77777777" w:rsidR="000E3652" w:rsidRDefault="000E3652" w:rsidP="00FA0C14">
            <w:pPr>
              <w:jc w:val="both"/>
            </w:pPr>
            <w:r>
              <w:rPr>
                <w:rFonts w:eastAsia="Times New Roman"/>
                <w:sz w:val="18"/>
                <w:szCs w:val="18"/>
                <w:u w:val="single"/>
              </w:rPr>
              <w:t>1835</w:t>
            </w:r>
            <w:r>
              <w:rPr>
                <w:rFonts w:eastAsia="Times New Roman"/>
                <w:sz w:val="18"/>
                <w:szCs w:val="18"/>
              </w:rPr>
              <w:t xml:space="preserve"> </w:t>
            </w:r>
          </w:p>
        </w:tc>
        <w:tc>
          <w:tcPr>
            <w:tcW w:w="2151" w:type="dxa"/>
            <w:tcBorders>
              <w:top w:val="nil"/>
              <w:left w:val="single" w:sz="8" w:space="0" w:color="auto"/>
              <w:bottom w:val="single" w:sz="8" w:space="0" w:color="auto"/>
              <w:right w:val="single" w:sz="8" w:space="0" w:color="auto"/>
            </w:tcBorders>
            <w:hideMark/>
          </w:tcPr>
          <w:p w14:paraId="0788303B" w14:textId="77777777" w:rsidR="000E3652" w:rsidRPr="009025E8" w:rsidRDefault="000E3652" w:rsidP="00FA0C14">
            <w:r w:rsidRPr="009025E8">
              <w:rPr>
                <w:rFonts w:eastAsia="Times New Roman"/>
                <w:sz w:val="18"/>
                <w:szCs w:val="18"/>
                <w:lang w:val="en-US"/>
              </w:rPr>
              <w:t>TETRAMETHYLAMMONIUM</w:t>
            </w:r>
            <w:r w:rsidRPr="009025E8">
              <w:rPr>
                <w:rFonts w:eastAsia="Times New Roman"/>
                <w:sz w:val="18"/>
                <w:szCs w:val="18"/>
              </w:rPr>
              <w:t xml:space="preserve"> </w:t>
            </w:r>
          </w:p>
          <w:p w14:paraId="0EAF0EB2" w14:textId="77777777" w:rsidR="000E3652" w:rsidRDefault="000E3652" w:rsidP="00FA0C14">
            <w:r w:rsidRPr="009025E8">
              <w:rPr>
                <w:rFonts w:eastAsia="Times New Roman"/>
                <w:sz w:val="18"/>
                <w:szCs w:val="18"/>
                <w:lang w:val="en-US"/>
              </w:rPr>
              <w:t>HYDROXIDE</w:t>
            </w:r>
            <w:r>
              <w:rPr>
                <w:rFonts w:eastAsia="Times New Roman"/>
                <w:sz w:val="18"/>
                <w:szCs w:val="18"/>
                <w:u w:val="single"/>
                <w:lang w:val="en-US"/>
              </w:rPr>
              <w:t xml:space="preserve"> AQUEOUS</w:t>
            </w:r>
            <w:r w:rsidRPr="009025E8">
              <w:rPr>
                <w:rFonts w:eastAsia="Times New Roman"/>
                <w:sz w:val="18"/>
                <w:szCs w:val="18"/>
                <w:lang w:val="en-US"/>
              </w:rPr>
              <w:t xml:space="preserve"> SOLUTION</w:t>
            </w:r>
            <w:r>
              <w:rPr>
                <w:rFonts w:eastAsia="Times New Roman"/>
                <w:sz w:val="18"/>
                <w:szCs w:val="18"/>
                <w:u w:val="single"/>
                <w:lang w:val="en-US"/>
              </w:rPr>
              <w:t xml:space="preserve"> with more than 25% tetramethylammonium hydroxide</w:t>
            </w:r>
            <w:r>
              <w:rPr>
                <w:rFonts w:eastAsia="Times New Roman"/>
                <w:sz w:val="18"/>
                <w:szCs w:val="18"/>
              </w:rPr>
              <w:t xml:space="preserve"> </w:t>
            </w:r>
          </w:p>
        </w:tc>
        <w:tc>
          <w:tcPr>
            <w:tcW w:w="628" w:type="dxa"/>
            <w:tcBorders>
              <w:top w:val="nil"/>
              <w:left w:val="single" w:sz="8" w:space="0" w:color="auto"/>
              <w:bottom w:val="single" w:sz="8" w:space="0" w:color="auto"/>
              <w:right w:val="single" w:sz="8" w:space="0" w:color="auto"/>
            </w:tcBorders>
            <w:hideMark/>
          </w:tcPr>
          <w:p w14:paraId="6CD36C2C" w14:textId="77777777" w:rsidR="000E3652" w:rsidRDefault="000E3652" w:rsidP="00FA0C14">
            <w:pPr>
              <w:jc w:val="center"/>
            </w:pPr>
            <w:r>
              <w:rPr>
                <w:rFonts w:eastAsia="Times New Roman"/>
                <w:sz w:val="18"/>
                <w:szCs w:val="18"/>
                <w:u w:val="single"/>
              </w:rPr>
              <w:t>6.1</w:t>
            </w:r>
            <w:r>
              <w:rPr>
                <w:rFonts w:eastAsia="Times New Roman"/>
                <w:sz w:val="18"/>
                <w:szCs w:val="18"/>
              </w:rPr>
              <w:t xml:space="preserve"> </w:t>
            </w:r>
          </w:p>
        </w:tc>
        <w:tc>
          <w:tcPr>
            <w:tcW w:w="523" w:type="dxa"/>
            <w:tcBorders>
              <w:top w:val="nil"/>
              <w:left w:val="single" w:sz="8" w:space="0" w:color="auto"/>
              <w:bottom w:val="single" w:sz="8" w:space="0" w:color="auto"/>
              <w:right w:val="single" w:sz="8" w:space="0" w:color="auto"/>
            </w:tcBorders>
            <w:hideMark/>
          </w:tcPr>
          <w:p w14:paraId="05E9C5F4" w14:textId="77777777" w:rsidR="000E3652" w:rsidRDefault="000E3652" w:rsidP="00FA0C14">
            <w:pPr>
              <w:jc w:val="center"/>
            </w:pPr>
            <w:r>
              <w:rPr>
                <w:rFonts w:eastAsia="Times New Roman"/>
                <w:sz w:val="18"/>
                <w:szCs w:val="18"/>
                <w:u w:val="single"/>
              </w:rPr>
              <w:t>8</w:t>
            </w:r>
            <w:r>
              <w:rPr>
                <w:rFonts w:eastAsia="Times New Roman"/>
                <w:sz w:val="18"/>
                <w:szCs w:val="18"/>
              </w:rPr>
              <w:t xml:space="preserve"> </w:t>
            </w:r>
          </w:p>
        </w:tc>
        <w:tc>
          <w:tcPr>
            <w:tcW w:w="568" w:type="dxa"/>
            <w:tcBorders>
              <w:top w:val="nil"/>
              <w:left w:val="single" w:sz="8" w:space="0" w:color="auto"/>
              <w:bottom w:val="single" w:sz="8" w:space="0" w:color="auto"/>
              <w:right w:val="single" w:sz="8" w:space="0" w:color="auto"/>
            </w:tcBorders>
            <w:hideMark/>
          </w:tcPr>
          <w:p w14:paraId="745BDFC1" w14:textId="77777777" w:rsidR="000E3652" w:rsidRDefault="000E3652" w:rsidP="00FA0C14">
            <w:pPr>
              <w:jc w:val="center"/>
            </w:pPr>
            <w:r>
              <w:rPr>
                <w:rFonts w:eastAsia="Times New Roman"/>
                <w:sz w:val="18"/>
                <w:szCs w:val="18"/>
                <w:u w:val="single"/>
              </w:rPr>
              <w:t>I</w:t>
            </w:r>
            <w:r>
              <w:rPr>
                <w:rFonts w:eastAsia="Times New Roman"/>
                <w:sz w:val="18"/>
                <w:szCs w:val="18"/>
              </w:rPr>
              <w:t xml:space="preserve"> </w:t>
            </w:r>
          </w:p>
        </w:tc>
        <w:tc>
          <w:tcPr>
            <w:tcW w:w="705" w:type="dxa"/>
            <w:tcBorders>
              <w:top w:val="nil"/>
              <w:left w:val="single" w:sz="8" w:space="0" w:color="auto"/>
              <w:bottom w:val="single" w:sz="8" w:space="0" w:color="auto"/>
              <w:right w:val="single" w:sz="8" w:space="0" w:color="auto"/>
            </w:tcBorders>
            <w:hideMark/>
          </w:tcPr>
          <w:p w14:paraId="03A3DF36" w14:textId="77777777" w:rsidR="000E3652" w:rsidRDefault="000E3652" w:rsidP="00FA0C14">
            <w:pPr>
              <w:jc w:val="center"/>
              <w:rPr>
                <w:rFonts w:eastAsia="Times New Roman"/>
                <w:sz w:val="18"/>
                <w:szCs w:val="18"/>
                <w:u w:val="single"/>
              </w:rPr>
            </w:pPr>
            <w:r w:rsidRPr="0033513F">
              <w:rPr>
                <w:rFonts w:eastAsia="Times New Roman"/>
                <w:sz w:val="18"/>
                <w:szCs w:val="18"/>
                <w:u w:val="single"/>
              </w:rPr>
              <w:t>279</w:t>
            </w:r>
          </w:p>
          <w:p w14:paraId="40B6C3E7" w14:textId="77777777" w:rsidR="000E3652" w:rsidRPr="0033513F" w:rsidRDefault="000E3652" w:rsidP="00FA0C14">
            <w:pPr>
              <w:jc w:val="center"/>
              <w:rPr>
                <w:rFonts w:eastAsia="Times New Roman"/>
                <w:sz w:val="18"/>
                <w:szCs w:val="18"/>
                <w:u w:val="single"/>
              </w:rPr>
            </w:pPr>
            <w:r>
              <w:rPr>
                <w:rFonts w:eastAsia="Times New Roman"/>
                <w:sz w:val="18"/>
                <w:szCs w:val="18"/>
                <w:u w:val="single"/>
              </w:rPr>
              <w:t>XXX</w:t>
            </w:r>
          </w:p>
        </w:tc>
        <w:tc>
          <w:tcPr>
            <w:tcW w:w="522" w:type="dxa"/>
            <w:tcBorders>
              <w:top w:val="nil"/>
              <w:left w:val="single" w:sz="8" w:space="0" w:color="auto"/>
              <w:bottom w:val="single" w:sz="8" w:space="0" w:color="auto"/>
              <w:right w:val="single" w:sz="8" w:space="0" w:color="auto"/>
            </w:tcBorders>
            <w:hideMark/>
          </w:tcPr>
          <w:p w14:paraId="3E8651FB" w14:textId="77777777" w:rsidR="000E3652" w:rsidRDefault="000E3652" w:rsidP="00FA0C14">
            <w:pPr>
              <w:jc w:val="center"/>
              <w:rPr>
                <w:rFonts w:asciiTheme="minorHAnsi" w:eastAsiaTheme="minorEastAsia" w:hAnsiTheme="minorHAnsi" w:cstheme="minorBidi"/>
                <w:sz w:val="22"/>
                <w:szCs w:val="22"/>
              </w:rPr>
            </w:pPr>
            <w:r>
              <w:rPr>
                <w:rFonts w:eastAsia="Times New Roman"/>
                <w:sz w:val="18"/>
                <w:szCs w:val="18"/>
                <w:u w:val="single"/>
              </w:rPr>
              <w:t>0</w:t>
            </w:r>
            <w:r>
              <w:rPr>
                <w:rFonts w:eastAsia="Times New Roman"/>
                <w:sz w:val="18"/>
                <w:szCs w:val="18"/>
              </w:rPr>
              <w:t xml:space="preserve"> </w:t>
            </w:r>
          </w:p>
        </w:tc>
        <w:tc>
          <w:tcPr>
            <w:tcW w:w="470" w:type="dxa"/>
            <w:tcBorders>
              <w:top w:val="nil"/>
              <w:left w:val="single" w:sz="8" w:space="0" w:color="auto"/>
              <w:bottom w:val="single" w:sz="8" w:space="0" w:color="auto"/>
              <w:right w:val="single" w:sz="8" w:space="0" w:color="auto"/>
            </w:tcBorders>
            <w:hideMark/>
          </w:tcPr>
          <w:p w14:paraId="4203D496" w14:textId="77777777" w:rsidR="000E3652" w:rsidRDefault="000E3652" w:rsidP="00FA0C14">
            <w:pPr>
              <w:jc w:val="center"/>
            </w:pPr>
            <w:r>
              <w:rPr>
                <w:rFonts w:eastAsia="Times New Roman"/>
                <w:sz w:val="18"/>
                <w:szCs w:val="18"/>
                <w:u w:val="single"/>
              </w:rPr>
              <w:t>E5</w:t>
            </w:r>
            <w:r>
              <w:rPr>
                <w:rFonts w:eastAsia="Times New Roman"/>
                <w:sz w:val="18"/>
                <w:szCs w:val="18"/>
              </w:rPr>
              <w:t xml:space="preserve"> </w:t>
            </w:r>
          </w:p>
        </w:tc>
        <w:tc>
          <w:tcPr>
            <w:tcW w:w="567" w:type="dxa"/>
            <w:tcBorders>
              <w:top w:val="single" w:sz="8" w:space="0" w:color="auto"/>
              <w:left w:val="single" w:sz="8" w:space="0" w:color="auto"/>
              <w:bottom w:val="single" w:sz="8" w:space="0" w:color="auto"/>
              <w:right w:val="single" w:sz="8" w:space="0" w:color="auto"/>
            </w:tcBorders>
            <w:hideMark/>
          </w:tcPr>
          <w:p w14:paraId="0C0BCE1D" w14:textId="3EEDE6AB" w:rsidR="000E3652" w:rsidRDefault="000E3652" w:rsidP="00FA0C14">
            <w:pPr>
              <w:jc w:val="center"/>
            </w:pPr>
            <w:r>
              <w:rPr>
                <w:rFonts w:eastAsia="Times New Roman"/>
                <w:sz w:val="18"/>
                <w:szCs w:val="18"/>
                <w:u w:val="single"/>
              </w:rPr>
              <w:t>P001</w:t>
            </w:r>
          </w:p>
        </w:tc>
        <w:tc>
          <w:tcPr>
            <w:tcW w:w="591" w:type="dxa"/>
            <w:tcBorders>
              <w:top w:val="single" w:sz="8" w:space="0" w:color="auto"/>
              <w:left w:val="single" w:sz="8" w:space="0" w:color="auto"/>
              <w:bottom w:val="single" w:sz="8" w:space="0" w:color="auto"/>
              <w:right w:val="single" w:sz="8" w:space="0" w:color="auto"/>
            </w:tcBorders>
            <w:hideMark/>
          </w:tcPr>
          <w:p w14:paraId="3BEED5F3" w14:textId="77777777" w:rsidR="000E3652" w:rsidRDefault="000E3652" w:rsidP="00FA0C14">
            <w:r>
              <w:rPr>
                <w:rFonts w:eastAsia="Times New Roman"/>
                <w:sz w:val="18"/>
                <w:szCs w:val="18"/>
              </w:rPr>
              <w:t xml:space="preserve">  </w:t>
            </w:r>
          </w:p>
        </w:tc>
        <w:tc>
          <w:tcPr>
            <w:tcW w:w="882" w:type="dxa"/>
            <w:tcBorders>
              <w:top w:val="single" w:sz="8" w:space="0" w:color="auto"/>
              <w:left w:val="single" w:sz="8" w:space="0" w:color="auto"/>
              <w:bottom w:val="single" w:sz="8" w:space="0" w:color="auto"/>
              <w:right w:val="single" w:sz="8" w:space="0" w:color="auto"/>
            </w:tcBorders>
            <w:hideMark/>
          </w:tcPr>
          <w:p w14:paraId="54929395" w14:textId="77777777" w:rsidR="000E3652" w:rsidRDefault="000E3652" w:rsidP="00FA0C14">
            <w:pPr>
              <w:jc w:val="center"/>
            </w:pPr>
            <w:r>
              <w:rPr>
                <w:rFonts w:eastAsia="Times New Roman"/>
                <w:sz w:val="18"/>
                <w:szCs w:val="18"/>
                <w:u w:val="single"/>
              </w:rPr>
              <w:t>T14</w:t>
            </w:r>
            <w:r>
              <w:rPr>
                <w:rFonts w:eastAsia="Times New Roman"/>
                <w:sz w:val="18"/>
                <w:szCs w:val="18"/>
              </w:rPr>
              <w:t xml:space="preserve"> </w:t>
            </w:r>
          </w:p>
        </w:tc>
        <w:tc>
          <w:tcPr>
            <w:tcW w:w="951" w:type="dxa"/>
            <w:tcBorders>
              <w:top w:val="single" w:sz="8" w:space="0" w:color="auto"/>
              <w:left w:val="single" w:sz="8" w:space="0" w:color="auto"/>
              <w:bottom w:val="single" w:sz="8" w:space="0" w:color="auto"/>
              <w:right w:val="single" w:sz="8" w:space="0" w:color="auto"/>
            </w:tcBorders>
            <w:hideMark/>
          </w:tcPr>
          <w:p w14:paraId="16349FD6" w14:textId="77777777" w:rsidR="000E3652" w:rsidRDefault="000E3652" w:rsidP="00FA0C14">
            <w:pPr>
              <w:jc w:val="center"/>
            </w:pPr>
            <w:r>
              <w:rPr>
                <w:rFonts w:eastAsia="Times New Roman"/>
                <w:sz w:val="18"/>
                <w:szCs w:val="18"/>
                <w:u w:val="single"/>
              </w:rPr>
              <w:t>TP2</w:t>
            </w:r>
            <w:r>
              <w:rPr>
                <w:rFonts w:eastAsia="Times New Roman"/>
                <w:sz w:val="18"/>
                <w:szCs w:val="18"/>
              </w:rPr>
              <w:t xml:space="preserve"> </w:t>
            </w:r>
          </w:p>
        </w:tc>
      </w:tr>
      <w:tr w:rsidR="000E3652" w14:paraId="1990DF50" w14:textId="77777777" w:rsidTr="00FA0C14">
        <w:trPr>
          <w:trHeight w:val="840"/>
        </w:trPr>
        <w:tc>
          <w:tcPr>
            <w:tcW w:w="660" w:type="dxa"/>
            <w:tcBorders>
              <w:top w:val="single" w:sz="8" w:space="0" w:color="auto"/>
              <w:left w:val="single" w:sz="8" w:space="0" w:color="auto"/>
              <w:bottom w:val="single" w:sz="8" w:space="0" w:color="auto"/>
              <w:right w:val="single" w:sz="8" w:space="0" w:color="auto"/>
            </w:tcBorders>
            <w:hideMark/>
          </w:tcPr>
          <w:p w14:paraId="0A0295BE" w14:textId="77777777" w:rsidR="000E3652" w:rsidRDefault="000E3652" w:rsidP="00FA0C14">
            <w:pPr>
              <w:jc w:val="both"/>
            </w:pPr>
            <w:r>
              <w:rPr>
                <w:rFonts w:eastAsia="Times New Roman"/>
                <w:sz w:val="18"/>
                <w:szCs w:val="18"/>
              </w:rPr>
              <w:t xml:space="preserve">1835 </w:t>
            </w:r>
          </w:p>
        </w:tc>
        <w:tc>
          <w:tcPr>
            <w:tcW w:w="2151" w:type="dxa"/>
            <w:tcBorders>
              <w:top w:val="single" w:sz="8" w:space="0" w:color="auto"/>
              <w:left w:val="single" w:sz="8" w:space="0" w:color="auto"/>
              <w:bottom w:val="single" w:sz="8" w:space="0" w:color="auto"/>
              <w:right w:val="single" w:sz="8" w:space="0" w:color="auto"/>
            </w:tcBorders>
            <w:hideMark/>
          </w:tcPr>
          <w:p w14:paraId="203751FF" w14:textId="77777777" w:rsidR="000E3652" w:rsidRPr="00E70B86" w:rsidRDefault="000E3652" w:rsidP="00FA0C14">
            <w:pPr>
              <w:rPr>
                <w:rFonts w:eastAsia="Times New Roman"/>
                <w:sz w:val="18"/>
                <w:szCs w:val="18"/>
              </w:rPr>
            </w:pPr>
            <w:r w:rsidRPr="00E70B86">
              <w:rPr>
                <w:rFonts w:eastAsia="Times New Roman"/>
                <w:sz w:val="18"/>
                <w:szCs w:val="18"/>
                <w:lang w:val="en-US"/>
              </w:rPr>
              <w:t>TETRAMETHYLAMMONIUM</w:t>
            </w:r>
            <w:r w:rsidRPr="00E70B86">
              <w:rPr>
                <w:rFonts w:eastAsia="Times New Roman"/>
                <w:sz w:val="18"/>
                <w:szCs w:val="18"/>
              </w:rPr>
              <w:t xml:space="preserve"> </w:t>
            </w:r>
          </w:p>
          <w:p w14:paraId="0551716B" w14:textId="1D779ED5" w:rsidR="000E3652" w:rsidRPr="00E70B86" w:rsidRDefault="000E3652" w:rsidP="00FA0C14">
            <w:pPr>
              <w:rPr>
                <w:rFonts w:eastAsia="Times New Roman"/>
                <w:sz w:val="18"/>
                <w:szCs w:val="18"/>
              </w:rPr>
            </w:pPr>
            <w:r w:rsidRPr="00E70B86">
              <w:rPr>
                <w:rFonts w:eastAsia="Times New Roman"/>
                <w:sz w:val="18"/>
                <w:szCs w:val="18"/>
                <w:lang w:val="en-US"/>
              </w:rPr>
              <w:t xml:space="preserve">HYDROXIDE </w:t>
            </w:r>
            <w:r>
              <w:rPr>
                <w:rFonts w:eastAsia="Times New Roman"/>
                <w:sz w:val="18"/>
                <w:szCs w:val="18"/>
                <w:u w:val="single"/>
                <w:lang w:val="en-US"/>
              </w:rPr>
              <w:t xml:space="preserve">AQUEOUS </w:t>
            </w:r>
            <w:r w:rsidRPr="00E70B86">
              <w:rPr>
                <w:rFonts w:eastAsia="Times New Roman"/>
                <w:sz w:val="18"/>
                <w:szCs w:val="18"/>
                <w:lang w:val="en-US"/>
              </w:rPr>
              <w:t>SOLUTION</w:t>
            </w:r>
            <w:r w:rsidRPr="00E70B86">
              <w:rPr>
                <w:rFonts w:eastAsia="Times New Roman"/>
                <w:sz w:val="18"/>
                <w:szCs w:val="18"/>
                <w:u w:val="single"/>
                <w:lang w:val="en-US"/>
              </w:rPr>
              <w:t xml:space="preserve"> with not less than 2.5 % but </w:t>
            </w:r>
            <w:r>
              <w:rPr>
                <w:rFonts w:eastAsia="Times New Roman"/>
                <w:sz w:val="18"/>
                <w:szCs w:val="18"/>
                <w:u w:val="single"/>
                <w:lang w:val="en-US"/>
              </w:rPr>
              <w:t>not more</w:t>
            </w:r>
            <w:r w:rsidRPr="00E70B86">
              <w:rPr>
                <w:rFonts w:eastAsia="Times New Roman"/>
                <w:sz w:val="18"/>
                <w:szCs w:val="18"/>
                <w:u w:val="single"/>
                <w:lang w:val="en-US"/>
              </w:rPr>
              <w:t xml:space="preserve"> than 25 % tetramethylammonium hydroxide</w:t>
            </w:r>
            <w:r w:rsidRPr="00E70B86">
              <w:rPr>
                <w:rFonts w:eastAsia="Times New Roman"/>
                <w:sz w:val="18"/>
                <w:szCs w:val="18"/>
              </w:rPr>
              <w:t xml:space="preserve"> </w:t>
            </w:r>
          </w:p>
        </w:tc>
        <w:tc>
          <w:tcPr>
            <w:tcW w:w="628" w:type="dxa"/>
            <w:tcBorders>
              <w:top w:val="single" w:sz="8" w:space="0" w:color="auto"/>
              <w:left w:val="single" w:sz="8" w:space="0" w:color="auto"/>
              <w:bottom w:val="single" w:sz="8" w:space="0" w:color="auto"/>
              <w:right w:val="single" w:sz="8" w:space="0" w:color="auto"/>
            </w:tcBorders>
            <w:hideMark/>
          </w:tcPr>
          <w:p w14:paraId="2078B7D1" w14:textId="77777777" w:rsidR="000E3652" w:rsidRPr="00E70B86" w:rsidRDefault="000E3652" w:rsidP="00FA0C14">
            <w:pPr>
              <w:jc w:val="center"/>
              <w:rPr>
                <w:rFonts w:eastAsia="Times New Roman"/>
                <w:sz w:val="18"/>
                <w:szCs w:val="18"/>
              </w:rPr>
            </w:pPr>
            <w:r w:rsidRPr="00E70B86">
              <w:rPr>
                <w:rFonts w:eastAsia="Times New Roman"/>
                <w:sz w:val="18"/>
                <w:szCs w:val="18"/>
              </w:rPr>
              <w:t>8</w:t>
            </w:r>
          </w:p>
        </w:tc>
        <w:tc>
          <w:tcPr>
            <w:tcW w:w="523" w:type="dxa"/>
            <w:tcBorders>
              <w:top w:val="single" w:sz="8" w:space="0" w:color="auto"/>
              <w:left w:val="single" w:sz="8" w:space="0" w:color="auto"/>
              <w:bottom w:val="single" w:sz="8" w:space="0" w:color="auto"/>
              <w:right w:val="single" w:sz="8" w:space="0" w:color="auto"/>
            </w:tcBorders>
            <w:hideMark/>
          </w:tcPr>
          <w:p w14:paraId="52308B44" w14:textId="77777777" w:rsidR="000E3652" w:rsidRPr="00E70B86" w:rsidRDefault="000E3652" w:rsidP="00FA0C14">
            <w:pPr>
              <w:jc w:val="center"/>
              <w:rPr>
                <w:rFonts w:eastAsia="Times New Roman"/>
                <w:sz w:val="18"/>
                <w:szCs w:val="18"/>
                <w:u w:val="single"/>
              </w:rPr>
            </w:pPr>
            <w:r w:rsidRPr="00E70B86">
              <w:rPr>
                <w:rFonts w:eastAsia="Times New Roman"/>
                <w:sz w:val="18"/>
                <w:szCs w:val="18"/>
                <w:u w:val="single"/>
              </w:rPr>
              <w:t xml:space="preserve">6.1 </w:t>
            </w:r>
          </w:p>
        </w:tc>
        <w:tc>
          <w:tcPr>
            <w:tcW w:w="568" w:type="dxa"/>
            <w:tcBorders>
              <w:top w:val="single" w:sz="8" w:space="0" w:color="auto"/>
              <w:left w:val="single" w:sz="8" w:space="0" w:color="auto"/>
              <w:bottom w:val="single" w:sz="8" w:space="0" w:color="auto"/>
              <w:right w:val="single" w:sz="8" w:space="0" w:color="auto"/>
            </w:tcBorders>
            <w:hideMark/>
          </w:tcPr>
          <w:p w14:paraId="2B5B8E57" w14:textId="77777777" w:rsidR="000E3652" w:rsidRDefault="000E3652" w:rsidP="00FA0C14">
            <w:pPr>
              <w:jc w:val="center"/>
              <w:rPr>
                <w:rFonts w:asciiTheme="minorHAnsi" w:eastAsiaTheme="minorEastAsia" w:hAnsiTheme="minorHAnsi" w:cstheme="minorBidi"/>
                <w:sz w:val="22"/>
                <w:szCs w:val="22"/>
                <w:lang w:val="nl-BE"/>
              </w:rPr>
            </w:pPr>
            <w:r>
              <w:rPr>
                <w:rFonts w:eastAsia="Times New Roman"/>
                <w:sz w:val="18"/>
                <w:szCs w:val="18"/>
              </w:rPr>
              <w:t xml:space="preserve">II </w:t>
            </w:r>
          </w:p>
        </w:tc>
        <w:tc>
          <w:tcPr>
            <w:tcW w:w="705" w:type="dxa"/>
            <w:tcBorders>
              <w:top w:val="single" w:sz="8" w:space="0" w:color="auto"/>
              <w:left w:val="single" w:sz="8" w:space="0" w:color="auto"/>
              <w:bottom w:val="single" w:sz="8" w:space="0" w:color="auto"/>
              <w:right w:val="single" w:sz="8" w:space="0" w:color="auto"/>
            </w:tcBorders>
            <w:hideMark/>
          </w:tcPr>
          <w:p w14:paraId="727062E3" w14:textId="13FA2A32" w:rsidR="000E3652" w:rsidRDefault="000E3652" w:rsidP="00FA0C14">
            <w:pPr>
              <w:jc w:val="center"/>
              <w:rPr>
                <w:rFonts w:eastAsia="Times New Roman"/>
                <w:sz w:val="18"/>
                <w:szCs w:val="18"/>
                <w:u w:val="single"/>
              </w:rPr>
            </w:pPr>
            <w:r w:rsidRPr="0033513F">
              <w:rPr>
                <w:rFonts w:eastAsia="Times New Roman"/>
                <w:sz w:val="18"/>
                <w:szCs w:val="18"/>
                <w:u w:val="single"/>
              </w:rPr>
              <w:t>279</w:t>
            </w:r>
          </w:p>
          <w:p w14:paraId="5C8EA303" w14:textId="77777777" w:rsidR="000E3652" w:rsidRDefault="000E3652" w:rsidP="00FA0C14">
            <w:pPr>
              <w:jc w:val="center"/>
            </w:pPr>
            <w:r>
              <w:rPr>
                <w:sz w:val="18"/>
                <w:szCs w:val="18"/>
                <w:u w:val="single"/>
              </w:rPr>
              <w:t>XXX</w:t>
            </w:r>
          </w:p>
        </w:tc>
        <w:tc>
          <w:tcPr>
            <w:tcW w:w="522" w:type="dxa"/>
            <w:tcBorders>
              <w:top w:val="single" w:sz="8" w:space="0" w:color="auto"/>
              <w:left w:val="single" w:sz="8" w:space="0" w:color="auto"/>
              <w:bottom w:val="single" w:sz="8" w:space="0" w:color="auto"/>
              <w:right w:val="single" w:sz="8" w:space="0" w:color="auto"/>
            </w:tcBorders>
            <w:hideMark/>
          </w:tcPr>
          <w:p w14:paraId="6710905D" w14:textId="77777777" w:rsidR="000E3652" w:rsidRDefault="000E3652" w:rsidP="00FA0C14">
            <w:pPr>
              <w:jc w:val="center"/>
            </w:pPr>
            <w:r>
              <w:rPr>
                <w:rFonts w:eastAsia="Times New Roman"/>
                <w:sz w:val="18"/>
                <w:szCs w:val="18"/>
              </w:rPr>
              <w:t xml:space="preserve">1 L </w:t>
            </w:r>
          </w:p>
        </w:tc>
        <w:tc>
          <w:tcPr>
            <w:tcW w:w="470" w:type="dxa"/>
            <w:tcBorders>
              <w:top w:val="single" w:sz="8" w:space="0" w:color="auto"/>
              <w:left w:val="single" w:sz="8" w:space="0" w:color="auto"/>
              <w:bottom w:val="single" w:sz="8" w:space="0" w:color="auto"/>
              <w:right w:val="single" w:sz="8" w:space="0" w:color="auto"/>
            </w:tcBorders>
            <w:hideMark/>
          </w:tcPr>
          <w:p w14:paraId="017F3DAB" w14:textId="77777777" w:rsidR="000E3652" w:rsidRDefault="000E3652" w:rsidP="00FA0C14">
            <w:pPr>
              <w:jc w:val="center"/>
            </w:pPr>
            <w:r>
              <w:rPr>
                <w:rFonts w:eastAsia="Times New Roman"/>
                <w:sz w:val="18"/>
                <w:szCs w:val="18"/>
              </w:rPr>
              <w:t xml:space="preserve">E2  </w:t>
            </w:r>
          </w:p>
        </w:tc>
        <w:tc>
          <w:tcPr>
            <w:tcW w:w="567" w:type="dxa"/>
            <w:tcBorders>
              <w:top w:val="single" w:sz="8" w:space="0" w:color="auto"/>
              <w:left w:val="single" w:sz="8" w:space="0" w:color="auto"/>
              <w:bottom w:val="single" w:sz="8" w:space="0" w:color="auto"/>
              <w:right w:val="single" w:sz="8" w:space="0" w:color="auto"/>
            </w:tcBorders>
            <w:hideMark/>
          </w:tcPr>
          <w:p w14:paraId="096D8298" w14:textId="77777777" w:rsidR="000E3652" w:rsidRDefault="000E3652" w:rsidP="00FA0C14">
            <w:pPr>
              <w:jc w:val="center"/>
            </w:pPr>
            <w:r>
              <w:rPr>
                <w:rFonts w:eastAsia="Times New Roman"/>
                <w:sz w:val="18"/>
                <w:szCs w:val="18"/>
              </w:rPr>
              <w:t xml:space="preserve">P001 </w:t>
            </w:r>
          </w:p>
          <w:p w14:paraId="4937C0E9" w14:textId="77777777" w:rsidR="000E3652" w:rsidRDefault="000E3652" w:rsidP="00FA0C14">
            <w:pPr>
              <w:jc w:val="center"/>
            </w:pPr>
            <w:r>
              <w:rPr>
                <w:rFonts w:eastAsia="Times New Roman"/>
                <w:sz w:val="18"/>
                <w:szCs w:val="18"/>
              </w:rPr>
              <w:t xml:space="preserve">IBC02 </w:t>
            </w:r>
          </w:p>
        </w:tc>
        <w:tc>
          <w:tcPr>
            <w:tcW w:w="591" w:type="dxa"/>
            <w:tcBorders>
              <w:top w:val="single" w:sz="8" w:space="0" w:color="auto"/>
              <w:left w:val="single" w:sz="8" w:space="0" w:color="auto"/>
              <w:bottom w:val="single" w:sz="8" w:space="0" w:color="auto"/>
              <w:right w:val="single" w:sz="8" w:space="0" w:color="auto"/>
            </w:tcBorders>
            <w:hideMark/>
          </w:tcPr>
          <w:p w14:paraId="7AF078C1" w14:textId="77777777" w:rsidR="000E3652" w:rsidRDefault="000E3652" w:rsidP="00FA0C14">
            <w:r>
              <w:rPr>
                <w:rFonts w:eastAsia="Times New Roman"/>
                <w:sz w:val="18"/>
                <w:szCs w:val="18"/>
              </w:rPr>
              <w:t xml:space="preserve">  </w:t>
            </w:r>
          </w:p>
        </w:tc>
        <w:tc>
          <w:tcPr>
            <w:tcW w:w="882" w:type="dxa"/>
            <w:tcBorders>
              <w:top w:val="single" w:sz="8" w:space="0" w:color="auto"/>
              <w:left w:val="single" w:sz="8" w:space="0" w:color="auto"/>
              <w:bottom w:val="single" w:sz="8" w:space="0" w:color="auto"/>
              <w:right w:val="single" w:sz="8" w:space="0" w:color="auto"/>
            </w:tcBorders>
            <w:hideMark/>
          </w:tcPr>
          <w:p w14:paraId="76557EFE" w14:textId="77777777" w:rsidR="000E3652" w:rsidRDefault="000E3652" w:rsidP="00FA0C14">
            <w:pPr>
              <w:jc w:val="center"/>
            </w:pPr>
            <w:r>
              <w:rPr>
                <w:rFonts w:eastAsia="Times New Roman"/>
                <w:sz w:val="18"/>
                <w:szCs w:val="18"/>
              </w:rPr>
              <w:t xml:space="preserve">T7 </w:t>
            </w:r>
          </w:p>
        </w:tc>
        <w:tc>
          <w:tcPr>
            <w:tcW w:w="951" w:type="dxa"/>
            <w:tcBorders>
              <w:top w:val="single" w:sz="8" w:space="0" w:color="auto"/>
              <w:left w:val="single" w:sz="8" w:space="0" w:color="auto"/>
              <w:bottom w:val="single" w:sz="8" w:space="0" w:color="auto"/>
              <w:right w:val="single" w:sz="8" w:space="0" w:color="auto"/>
            </w:tcBorders>
            <w:hideMark/>
          </w:tcPr>
          <w:p w14:paraId="48F5D248" w14:textId="77777777" w:rsidR="000E3652" w:rsidRDefault="000E3652" w:rsidP="00FA0C14">
            <w:pPr>
              <w:jc w:val="center"/>
            </w:pPr>
            <w:r>
              <w:rPr>
                <w:rFonts w:eastAsia="Times New Roman"/>
                <w:sz w:val="18"/>
                <w:szCs w:val="18"/>
              </w:rPr>
              <w:t xml:space="preserve">TP2 </w:t>
            </w:r>
          </w:p>
        </w:tc>
      </w:tr>
      <w:tr w:rsidR="000E3652" w14:paraId="3285EB2B" w14:textId="77777777" w:rsidTr="00FA0C14">
        <w:trPr>
          <w:trHeight w:val="840"/>
        </w:trPr>
        <w:tc>
          <w:tcPr>
            <w:tcW w:w="660" w:type="dxa"/>
            <w:tcBorders>
              <w:top w:val="single" w:sz="8" w:space="0" w:color="auto"/>
              <w:left w:val="single" w:sz="8" w:space="0" w:color="auto"/>
              <w:bottom w:val="single" w:sz="8" w:space="0" w:color="auto"/>
              <w:right w:val="single" w:sz="8" w:space="0" w:color="auto"/>
            </w:tcBorders>
            <w:hideMark/>
          </w:tcPr>
          <w:p w14:paraId="65D3BAA8" w14:textId="77777777" w:rsidR="000E3652" w:rsidRDefault="000E3652" w:rsidP="00FA0C14">
            <w:pPr>
              <w:jc w:val="both"/>
            </w:pPr>
            <w:r>
              <w:rPr>
                <w:rFonts w:eastAsia="Times New Roman"/>
                <w:sz w:val="18"/>
                <w:szCs w:val="18"/>
              </w:rPr>
              <w:t xml:space="preserve">1835 </w:t>
            </w:r>
          </w:p>
        </w:tc>
        <w:tc>
          <w:tcPr>
            <w:tcW w:w="2151" w:type="dxa"/>
            <w:tcBorders>
              <w:top w:val="single" w:sz="8" w:space="0" w:color="auto"/>
              <w:left w:val="single" w:sz="8" w:space="0" w:color="auto"/>
              <w:bottom w:val="single" w:sz="8" w:space="0" w:color="auto"/>
              <w:right w:val="single" w:sz="8" w:space="0" w:color="auto"/>
            </w:tcBorders>
            <w:hideMark/>
          </w:tcPr>
          <w:p w14:paraId="06AC9A86" w14:textId="77777777" w:rsidR="000E3652" w:rsidRDefault="000E3652" w:rsidP="00FA0C14">
            <w:r>
              <w:rPr>
                <w:rFonts w:eastAsia="Times New Roman"/>
                <w:sz w:val="18"/>
                <w:szCs w:val="18"/>
                <w:lang w:val="en-US"/>
              </w:rPr>
              <w:t>TETRAMETHYLAMMONIUM</w:t>
            </w:r>
            <w:r>
              <w:rPr>
                <w:rFonts w:eastAsia="Times New Roman"/>
                <w:sz w:val="18"/>
                <w:szCs w:val="18"/>
              </w:rPr>
              <w:t xml:space="preserve"> </w:t>
            </w:r>
          </w:p>
          <w:p w14:paraId="26B0B1D7" w14:textId="77777777" w:rsidR="000E3652" w:rsidRDefault="000E3652" w:rsidP="00FA0C14">
            <w:r>
              <w:rPr>
                <w:rFonts w:eastAsia="Times New Roman"/>
                <w:sz w:val="18"/>
                <w:szCs w:val="18"/>
                <w:lang w:val="en-US"/>
              </w:rPr>
              <w:t xml:space="preserve">HYDROXIDE </w:t>
            </w:r>
            <w:r>
              <w:rPr>
                <w:rFonts w:eastAsia="Times New Roman"/>
                <w:sz w:val="18"/>
                <w:szCs w:val="18"/>
                <w:u w:val="single"/>
                <w:lang w:val="en-US"/>
              </w:rPr>
              <w:t xml:space="preserve">AQUEOUS </w:t>
            </w:r>
            <w:r>
              <w:rPr>
                <w:rFonts w:eastAsia="Times New Roman"/>
                <w:sz w:val="18"/>
                <w:szCs w:val="18"/>
                <w:lang w:val="en-US"/>
              </w:rPr>
              <w:t>SOLUTION</w:t>
            </w:r>
            <w:r>
              <w:rPr>
                <w:rFonts w:eastAsia="Times New Roman"/>
                <w:sz w:val="18"/>
                <w:szCs w:val="18"/>
                <w:u w:val="single"/>
                <w:lang w:val="en-US"/>
              </w:rPr>
              <w:t xml:space="preserve"> with less than 2.5 % tetramethylammonium hydroxide</w:t>
            </w:r>
            <w:r>
              <w:rPr>
                <w:rFonts w:eastAsia="Times New Roman"/>
                <w:sz w:val="18"/>
                <w:szCs w:val="18"/>
              </w:rPr>
              <w:t xml:space="preserve"> </w:t>
            </w:r>
          </w:p>
        </w:tc>
        <w:tc>
          <w:tcPr>
            <w:tcW w:w="628" w:type="dxa"/>
            <w:tcBorders>
              <w:top w:val="single" w:sz="8" w:space="0" w:color="auto"/>
              <w:left w:val="single" w:sz="8" w:space="0" w:color="auto"/>
              <w:bottom w:val="single" w:sz="8" w:space="0" w:color="auto"/>
              <w:right w:val="single" w:sz="8" w:space="0" w:color="auto"/>
            </w:tcBorders>
            <w:hideMark/>
          </w:tcPr>
          <w:p w14:paraId="63A3508E" w14:textId="77777777" w:rsidR="000E3652" w:rsidRDefault="000E3652" w:rsidP="00FA0C14">
            <w:pPr>
              <w:jc w:val="center"/>
            </w:pPr>
            <w:r>
              <w:rPr>
                <w:rFonts w:eastAsia="Times New Roman"/>
                <w:sz w:val="18"/>
                <w:szCs w:val="18"/>
              </w:rPr>
              <w:t xml:space="preserve">8 </w:t>
            </w:r>
          </w:p>
        </w:tc>
        <w:tc>
          <w:tcPr>
            <w:tcW w:w="523" w:type="dxa"/>
            <w:tcBorders>
              <w:top w:val="single" w:sz="8" w:space="0" w:color="auto"/>
              <w:left w:val="single" w:sz="8" w:space="0" w:color="auto"/>
              <w:bottom w:val="single" w:sz="8" w:space="0" w:color="auto"/>
              <w:right w:val="single" w:sz="8" w:space="0" w:color="auto"/>
            </w:tcBorders>
            <w:hideMark/>
          </w:tcPr>
          <w:p w14:paraId="0B56546C" w14:textId="77777777" w:rsidR="000E3652" w:rsidRDefault="000E3652" w:rsidP="00FA0C14">
            <w:pPr>
              <w:jc w:val="center"/>
            </w:pPr>
            <w:r>
              <w:rPr>
                <w:rFonts w:eastAsia="Times New Roman"/>
                <w:sz w:val="18"/>
                <w:szCs w:val="18"/>
              </w:rPr>
              <w:t xml:space="preserve">  </w:t>
            </w:r>
          </w:p>
        </w:tc>
        <w:tc>
          <w:tcPr>
            <w:tcW w:w="568" w:type="dxa"/>
            <w:tcBorders>
              <w:top w:val="single" w:sz="8" w:space="0" w:color="auto"/>
              <w:left w:val="single" w:sz="8" w:space="0" w:color="auto"/>
              <w:bottom w:val="single" w:sz="8" w:space="0" w:color="auto"/>
              <w:right w:val="single" w:sz="8" w:space="0" w:color="auto"/>
            </w:tcBorders>
            <w:hideMark/>
          </w:tcPr>
          <w:p w14:paraId="09F157E1" w14:textId="77777777" w:rsidR="000E3652" w:rsidRDefault="000E3652" w:rsidP="00FA0C14">
            <w:pPr>
              <w:jc w:val="center"/>
            </w:pPr>
            <w:r>
              <w:rPr>
                <w:rFonts w:eastAsia="Times New Roman"/>
                <w:sz w:val="18"/>
                <w:szCs w:val="18"/>
              </w:rPr>
              <w:t xml:space="preserve">III </w:t>
            </w:r>
          </w:p>
        </w:tc>
        <w:tc>
          <w:tcPr>
            <w:tcW w:w="705" w:type="dxa"/>
            <w:tcBorders>
              <w:top w:val="single" w:sz="8" w:space="0" w:color="auto"/>
              <w:left w:val="single" w:sz="8" w:space="0" w:color="auto"/>
              <w:bottom w:val="single" w:sz="8" w:space="0" w:color="auto"/>
              <w:right w:val="single" w:sz="8" w:space="0" w:color="auto"/>
            </w:tcBorders>
            <w:hideMark/>
          </w:tcPr>
          <w:p w14:paraId="0AC4FF66" w14:textId="77777777" w:rsidR="000E3652" w:rsidRDefault="000E3652" w:rsidP="00FA0C14">
            <w:pPr>
              <w:jc w:val="center"/>
              <w:rPr>
                <w:rFonts w:eastAsia="Times New Roman"/>
                <w:sz w:val="18"/>
                <w:szCs w:val="18"/>
                <w:u w:val="single"/>
              </w:rPr>
            </w:pPr>
            <w:r w:rsidRPr="0033513F">
              <w:rPr>
                <w:rFonts w:eastAsia="Times New Roman"/>
                <w:sz w:val="18"/>
                <w:szCs w:val="18"/>
                <w:u w:val="single"/>
              </w:rPr>
              <w:t>279</w:t>
            </w:r>
          </w:p>
          <w:p w14:paraId="4286A96C" w14:textId="77777777" w:rsidR="000E3652" w:rsidRDefault="000E3652" w:rsidP="00FA0C14">
            <w:pPr>
              <w:jc w:val="center"/>
              <w:rPr>
                <w:rFonts w:eastAsia="Times New Roman"/>
                <w:sz w:val="18"/>
                <w:szCs w:val="18"/>
              </w:rPr>
            </w:pPr>
            <w:r>
              <w:rPr>
                <w:rFonts w:eastAsia="Times New Roman"/>
                <w:sz w:val="18"/>
                <w:szCs w:val="18"/>
              </w:rPr>
              <w:t>223</w:t>
            </w:r>
          </w:p>
          <w:p w14:paraId="0015D03A" w14:textId="0A3385A0" w:rsidR="000E3652" w:rsidRDefault="000E3652" w:rsidP="00FA0C14">
            <w:pPr>
              <w:jc w:val="center"/>
            </w:pPr>
            <w:r w:rsidRPr="008A0AB4">
              <w:rPr>
                <w:rFonts w:eastAsia="Times New Roman"/>
                <w:sz w:val="18"/>
                <w:szCs w:val="18"/>
                <w:u w:val="single"/>
              </w:rPr>
              <w:t>XXX</w:t>
            </w:r>
          </w:p>
        </w:tc>
        <w:tc>
          <w:tcPr>
            <w:tcW w:w="522" w:type="dxa"/>
            <w:tcBorders>
              <w:top w:val="single" w:sz="8" w:space="0" w:color="auto"/>
              <w:left w:val="single" w:sz="8" w:space="0" w:color="auto"/>
              <w:bottom w:val="single" w:sz="8" w:space="0" w:color="auto"/>
              <w:right w:val="single" w:sz="8" w:space="0" w:color="auto"/>
            </w:tcBorders>
            <w:hideMark/>
          </w:tcPr>
          <w:p w14:paraId="5FE1F405" w14:textId="77777777" w:rsidR="000E3652" w:rsidRDefault="000E3652" w:rsidP="00FA0C14">
            <w:pPr>
              <w:jc w:val="center"/>
            </w:pPr>
            <w:r>
              <w:rPr>
                <w:rFonts w:eastAsia="Times New Roman"/>
                <w:sz w:val="18"/>
                <w:szCs w:val="18"/>
              </w:rPr>
              <w:t xml:space="preserve">5 L </w:t>
            </w:r>
          </w:p>
        </w:tc>
        <w:tc>
          <w:tcPr>
            <w:tcW w:w="470" w:type="dxa"/>
            <w:tcBorders>
              <w:top w:val="single" w:sz="8" w:space="0" w:color="auto"/>
              <w:left w:val="single" w:sz="8" w:space="0" w:color="auto"/>
              <w:bottom w:val="single" w:sz="8" w:space="0" w:color="auto"/>
              <w:right w:val="single" w:sz="8" w:space="0" w:color="auto"/>
            </w:tcBorders>
            <w:hideMark/>
          </w:tcPr>
          <w:p w14:paraId="7A5B516F" w14:textId="77777777" w:rsidR="000E3652" w:rsidRDefault="000E3652" w:rsidP="00FA0C14">
            <w:pPr>
              <w:jc w:val="center"/>
            </w:pPr>
            <w:r>
              <w:rPr>
                <w:rFonts w:eastAsia="Times New Roman"/>
                <w:sz w:val="18"/>
                <w:szCs w:val="18"/>
              </w:rPr>
              <w:t xml:space="preserve">E1 </w:t>
            </w:r>
          </w:p>
        </w:tc>
        <w:tc>
          <w:tcPr>
            <w:tcW w:w="567" w:type="dxa"/>
            <w:tcBorders>
              <w:top w:val="single" w:sz="8" w:space="0" w:color="auto"/>
              <w:left w:val="single" w:sz="8" w:space="0" w:color="auto"/>
              <w:bottom w:val="single" w:sz="8" w:space="0" w:color="auto"/>
              <w:right w:val="single" w:sz="8" w:space="0" w:color="auto"/>
            </w:tcBorders>
            <w:hideMark/>
          </w:tcPr>
          <w:p w14:paraId="1C501333" w14:textId="77777777" w:rsidR="000E3652" w:rsidRDefault="000E3652" w:rsidP="00FA0C14">
            <w:pPr>
              <w:jc w:val="center"/>
            </w:pPr>
            <w:r>
              <w:rPr>
                <w:rFonts w:eastAsia="Times New Roman"/>
                <w:sz w:val="18"/>
                <w:szCs w:val="18"/>
              </w:rPr>
              <w:t xml:space="preserve">P001 </w:t>
            </w:r>
          </w:p>
          <w:p w14:paraId="46FD5961" w14:textId="77777777" w:rsidR="000E3652" w:rsidRDefault="000E3652" w:rsidP="00FA0C14">
            <w:pPr>
              <w:jc w:val="center"/>
            </w:pPr>
            <w:r>
              <w:rPr>
                <w:rFonts w:eastAsia="Times New Roman"/>
                <w:sz w:val="18"/>
                <w:szCs w:val="18"/>
              </w:rPr>
              <w:t xml:space="preserve">IBC03 </w:t>
            </w:r>
          </w:p>
          <w:p w14:paraId="005AAD84" w14:textId="77777777" w:rsidR="000E3652" w:rsidRDefault="000E3652" w:rsidP="00FA0C14">
            <w:pPr>
              <w:jc w:val="center"/>
            </w:pPr>
            <w:r>
              <w:rPr>
                <w:rFonts w:eastAsia="Times New Roman"/>
                <w:sz w:val="18"/>
                <w:szCs w:val="18"/>
              </w:rPr>
              <w:t xml:space="preserve">LP01 </w:t>
            </w:r>
          </w:p>
        </w:tc>
        <w:tc>
          <w:tcPr>
            <w:tcW w:w="591" w:type="dxa"/>
            <w:tcBorders>
              <w:top w:val="single" w:sz="8" w:space="0" w:color="auto"/>
              <w:left w:val="single" w:sz="8" w:space="0" w:color="auto"/>
              <w:bottom w:val="single" w:sz="8" w:space="0" w:color="auto"/>
              <w:right w:val="single" w:sz="8" w:space="0" w:color="auto"/>
            </w:tcBorders>
            <w:hideMark/>
          </w:tcPr>
          <w:p w14:paraId="31BF5B2C" w14:textId="77777777" w:rsidR="000E3652" w:rsidRDefault="000E3652" w:rsidP="00FA0C14">
            <w:r>
              <w:rPr>
                <w:rFonts w:eastAsia="Times New Roman"/>
                <w:sz w:val="18"/>
                <w:szCs w:val="18"/>
              </w:rPr>
              <w:t xml:space="preserve">  </w:t>
            </w:r>
          </w:p>
        </w:tc>
        <w:tc>
          <w:tcPr>
            <w:tcW w:w="882" w:type="dxa"/>
            <w:tcBorders>
              <w:top w:val="single" w:sz="8" w:space="0" w:color="auto"/>
              <w:left w:val="single" w:sz="8" w:space="0" w:color="auto"/>
              <w:bottom w:val="single" w:sz="8" w:space="0" w:color="auto"/>
              <w:right w:val="single" w:sz="8" w:space="0" w:color="auto"/>
            </w:tcBorders>
            <w:hideMark/>
          </w:tcPr>
          <w:p w14:paraId="151985FF" w14:textId="77777777" w:rsidR="000E3652" w:rsidRDefault="000E3652" w:rsidP="00FA0C14">
            <w:pPr>
              <w:jc w:val="center"/>
            </w:pPr>
            <w:r>
              <w:rPr>
                <w:rFonts w:eastAsia="Times New Roman"/>
                <w:sz w:val="18"/>
                <w:szCs w:val="18"/>
              </w:rPr>
              <w:t xml:space="preserve">T7 </w:t>
            </w:r>
          </w:p>
        </w:tc>
        <w:tc>
          <w:tcPr>
            <w:tcW w:w="951" w:type="dxa"/>
            <w:tcBorders>
              <w:top w:val="single" w:sz="8" w:space="0" w:color="auto"/>
              <w:left w:val="single" w:sz="8" w:space="0" w:color="auto"/>
              <w:bottom w:val="single" w:sz="8" w:space="0" w:color="auto"/>
              <w:right w:val="single" w:sz="8" w:space="0" w:color="auto"/>
            </w:tcBorders>
            <w:hideMark/>
          </w:tcPr>
          <w:p w14:paraId="0F3655CA" w14:textId="77777777" w:rsidR="000E3652" w:rsidRDefault="000E3652" w:rsidP="00FA0C14">
            <w:pPr>
              <w:jc w:val="center"/>
            </w:pPr>
            <w:r>
              <w:rPr>
                <w:rFonts w:eastAsia="Times New Roman"/>
                <w:sz w:val="18"/>
                <w:szCs w:val="18"/>
              </w:rPr>
              <w:t xml:space="preserve">TP2 </w:t>
            </w:r>
          </w:p>
        </w:tc>
      </w:tr>
      <w:tr w:rsidR="000E3652" w14:paraId="7F32F702" w14:textId="77777777" w:rsidTr="00FA0C14">
        <w:trPr>
          <w:trHeight w:val="840"/>
        </w:trPr>
        <w:tc>
          <w:tcPr>
            <w:tcW w:w="660" w:type="dxa"/>
            <w:tcBorders>
              <w:top w:val="single" w:sz="8" w:space="0" w:color="auto"/>
              <w:left w:val="single" w:sz="8" w:space="0" w:color="auto"/>
              <w:bottom w:val="single" w:sz="8" w:space="0" w:color="auto"/>
              <w:right w:val="single" w:sz="8" w:space="0" w:color="auto"/>
            </w:tcBorders>
          </w:tcPr>
          <w:p w14:paraId="569BA0B8" w14:textId="77777777" w:rsidR="000E3652" w:rsidRDefault="000E3652" w:rsidP="00FA0C14">
            <w:pPr>
              <w:jc w:val="both"/>
              <w:rPr>
                <w:rFonts w:eastAsia="Times New Roman"/>
                <w:sz w:val="18"/>
                <w:szCs w:val="18"/>
              </w:rPr>
            </w:pPr>
            <w:r>
              <w:rPr>
                <w:rFonts w:asciiTheme="majorBidi" w:hAnsiTheme="majorBidi" w:cstheme="majorBidi"/>
                <w:sz w:val="18"/>
                <w:szCs w:val="18"/>
                <w:lang w:eastAsia="en-US"/>
              </w:rPr>
              <w:t>3423</w:t>
            </w:r>
          </w:p>
        </w:tc>
        <w:tc>
          <w:tcPr>
            <w:tcW w:w="2151" w:type="dxa"/>
            <w:tcBorders>
              <w:top w:val="single" w:sz="8" w:space="0" w:color="auto"/>
              <w:left w:val="single" w:sz="8" w:space="0" w:color="auto"/>
              <w:bottom w:val="single" w:sz="8" w:space="0" w:color="auto"/>
              <w:right w:val="single" w:sz="8" w:space="0" w:color="auto"/>
            </w:tcBorders>
          </w:tcPr>
          <w:p w14:paraId="2B71935A" w14:textId="77777777" w:rsidR="000E3652" w:rsidRPr="003B3455" w:rsidRDefault="000E3652" w:rsidP="00FA0C14">
            <w:pPr>
              <w:suppressAutoHyphens w:val="0"/>
              <w:kinsoku/>
              <w:overflowPunct/>
              <w:snapToGrid/>
              <w:spacing w:line="240" w:lineRule="auto"/>
              <w:rPr>
                <w:rFonts w:asciiTheme="majorBidi" w:hAnsiTheme="majorBidi" w:cstheme="majorBidi"/>
                <w:sz w:val="18"/>
                <w:szCs w:val="18"/>
                <w:lang w:eastAsia="en-US"/>
              </w:rPr>
            </w:pPr>
            <w:r w:rsidRPr="003B3455">
              <w:rPr>
                <w:rFonts w:asciiTheme="majorBidi" w:hAnsiTheme="majorBidi" w:cstheme="majorBidi"/>
                <w:sz w:val="18"/>
                <w:szCs w:val="18"/>
                <w:lang w:eastAsia="en-US"/>
              </w:rPr>
              <w:t>TETRAMETHYLAMMONIUM</w:t>
            </w:r>
          </w:p>
          <w:p w14:paraId="3F2EBBBD" w14:textId="77777777" w:rsidR="000E3652" w:rsidRDefault="000E3652" w:rsidP="00FA0C14">
            <w:pPr>
              <w:rPr>
                <w:rFonts w:eastAsia="Times New Roman"/>
                <w:sz w:val="18"/>
                <w:szCs w:val="18"/>
                <w:lang w:val="en-US"/>
              </w:rPr>
            </w:pPr>
            <w:r w:rsidRPr="003B3455">
              <w:rPr>
                <w:rFonts w:asciiTheme="majorBidi" w:hAnsiTheme="majorBidi" w:cstheme="majorBidi"/>
                <w:sz w:val="18"/>
                <w:szCs w:val="18"/>
                <w:lang w:eastAsia="en-US"/>
              </w:rPr>
              <w:t>HYDROXIDE, SOLID</w:t>
            </w:r>
          </w:p>
        </w:tc>
        <w:tc>
          <w:tcPr>
            <w:tcW w:w="628" w:type="dxa"/>
            <w:tcBorders>
              <w:top w:val="single" w:sz="8" w:space="0" w:color="auto"/>
              <w:left w:val="single" w:sz="8" w:space="0" w:color="auto"/>
              <w:bottom w:val="single" w:sz="8" w:space="0" w:color="auto"/>
              <w:right w:val="single" w:sz="8" w:space="0" w:color="auto"/>
            </w:tcBorders>
          </w:tcPr>
          <w:p w14:paraId="7EE5058B" w14:textId="77777777" w:rsidR="000E3652" w:rsidRDefault="000E3652" w:rsidP="00FA0C14">
            <w:pPr>
              <w:jc w:val="center"/>
              <w:rPr>
                <w:rFonts w:eastAsia="Times New Roman"/>
                <w:sz w:val="18"/>
                <w:szCs w:val="18"/>
              </w:rPr>
            </w:pPr>
            <w:r w:rsidRPr="003B3455">
              <w:rPr>
                <w:rFonts w:asciiTheme="majorBidi" w:hAnsiTheme="majorBidi" w:cstheme="majorBidi"/>
                <w:sz w:val="18"/>
                <w:szCs w:val="18"/>
                <w:u w:val="single"/>
                <w:lang w:eastAsia="en-US"/>
              </w:rPr>
              <w:t>6.1</w:t>
            </w:r>
            <w:r w:rsidRPr="003B3455">
              <w:rPr>
                <w:rFonts w:asciiTheme="majorBidi" w:hAnsiTheme="majorBidi" w:cstheme="majorBidi"/>
                <w:strike/>
                <w:sz w:val="18"/>
                <w:szCs w:val="18"/>
                <w:lang w:eastAsia="en-US"/>
              </w:rPr>
              <w:t>8</w:t>
            </w:r>
          </w:p>
        </w:tc>
        <w:tc>
          <w:tcPr>
            <w:tcW w:w="523" w:type="dxa"/>
            <w:tcBorders>
              <w:top w:val="single" w:sz="8" w:space="0" w:color="auto"/>
              <w:left w:val="single" w:sz="8" w:space="0" w:color="auto"/>
              <w:bottom w:val="single" w:sz="8" w:space="0" w:color="auto"/>
              <w:right w:val="single" w:sz="8" w:space="0" w:color="auto"/>
            </w:tcBorders>
          </w:tcPr>
          <w:p w14:paraId="33129511" w14:textId="77777777" w:rsidR="000E3652" w:rsidRDefault="000E3652" w:rsidP="00FA0C14">
            <w:pPr>
              <w:jc w:val="center"/>
              <w:rPr>
                <w:rFonts w:eastAsia="Times New Roman"/>
                <w:sz w:val="18"/>
                <w:szCs w:val="18"/>
              </w:rPr>
            </w:pPr>
            <w:r w:rsidRPr="003B3455">
              <w:rPr>
                <w:rFonts w:asciiTheme="majorBidi" w:hAnsiTheme="majorBidi" w:cstheme="majorBidi"/>
                <w:sz w:val="18"/>
                <w:szCs w:val="18"/>
                <w:u w:val="single"/>
                <w:lang w:eastAsia="en-US"/>
              </w:rPr>
              <w:t>8</w:t>
            </w:r>
          </w:p>
        </w:tc>
        <w:tc>
          <w:tcPr>
            <w:tcW w:w="568" w:type="dxa"/>
            <w:tcBorders>
              <w:top w:val="single" w:sz="8" w:space="0" w:color="auto"/>
              <w:left w:val="single" w:sz="8" w:space="0" w:color="auto"/>
              <w:bottom w:val="single" w:sz="8" w:space="0" w:color="auto"/>
              <w:right w:val="single" w:sz="8" w:space="0" w:color="auto"/>
            </w:tcBorders>
          </w:tcPr>
          <w:p w14:paraId="6AED727B" w14:textId="77777777" w:rsidR="000E3652" w:rsidRDefault="000E3652" w:rsidP="00FA0C14">
            <w:pPr>
              <w:jc w:val="center"/>
              <w:rPr>
                <w:rFonts w:eastAsia="Times New Roman"/>
                <w:sz w:val="18"/>
                <w:szCs w:val="18"/>
              </w:rPr>
            </w:pPr>
            <w:r w:rsidRPr="003B3455">
              <w:rPr>
                <w:rFonts w:asciiTheme="majorBidi" w:hAnsiTheme="majorBidi" w:cstheme="majorBidi"/>
                <w:sz w:val="18"/>
                <w:szCs w:val="18"/>
                <w:lang w:eastAsia="en-US"/>
              </w:rPr>
              <w:t>I</w:t>
            </w:r>
            <w:r w:rsidRPr="003B3455">
              <w:rPr>
                <w:rFonts w:asciiTheme="majorBidi" w:hAnsiTheme="majorBidi" w:cstheme="majorBidi"/>
                <w:strike/>
                <w:sz w:val="18"/>
                <w:szCs w:val="18"/>
                <w:lang w:eastAsia="en-US"/>
              </w:rPr>
              <w:t>I</w:t>
            </w:r>
          </w:p>
        </w:tc>
        <w:tc>
          <w:tcPr>
            <w:tcW w:w="705" w:type="dxa"/>
            <w:tcBorders>
              <w:top w:val="single" w:sz="8" w:space="0" w:color="auto"/>
              <w:left w:val="single" w:sz="8" w:space="0" w:color="auto"/>
              <w:bottom w:val="single" w:sz="8" w:space="0" w:color="auto"/>
              <w:right w:val="single" w:sz="8" w:space="0" w:color="auto"/>
            </w:tcBorders>
          </w:tcPr>
          <w:p w14:paraId="324DD990" w14:textId="77777777" w:rsidR="000E3652" w:rsidRPr="0033513F" w:rsidRDefault="000E3652" w:rsidP="00FA0C14">
            <w:pPr>
              <w:jc w:val="center"/>
              <w:rPr>
                <w:rFonts w:eastAsia="Times New Roman"/>
                <w:sz w:val="18"/>
                <w:szCs w:val="18"/>
                <w:u w:val="single"/>
              </w:rPr>
            </w:pPr>
            <w:r w:rsidRPr="003B3455">
              <w:rPr>
                <w:rFonts w:asciiTheme="majorBidi" w:hAnsiTheme="majorBidi" w:cstheme="majorBidi"/>
                <w:sz w:val="18"/>
                <w:szCs w:val="18"/>
                <w:u w:val="single"/>
                <w:lang w:eastAsia="en-US"/>
              </w:rPr>
              <w:t>279</w:t>
            </w:r>
          </w:p>
        </w:tc>
        <w:tc>
          <w:tcPr>
            <w:tcW w:w="522" w:type="dxa"/>
            <w:tcBorders>
              <w:top w:val="single" w:sz="8" w:space="0" w:color="auto"/>
              <w:left w:val="single" w:sz="8" w:space="0" w:color="auto"/>
              <w:bottom w:val="single" w:sz="8" w:space="0" w:color="auto"/>
              <w:right w:val="single" w:sz="8" w:space="0" w:color="auto"/>
            </w:tcBorders>
          </w:tcPr>
          <w:p w14:paraId="6FA02CF8" w14:textId="77777777" w:rsidR="000E3652" w:rsidRDefault="000E3652" w:rsidP="00FA0C14">
            <w:pPr>
              <w:jc w:val="center"/>
              <w:rPr>
                <w:rFonts w:eastAsia="Times New Roman"/>
                <w:sz w:val="18"/>
                <w:szCs w:val="18"/>
              </w:rPr>
            </w:pPr>
            <w:r w:rsidRPr="003B3455">
              <w:rPr>
                <w:rFonts w:asciiTheme="majorBidi" w:hAnsiTheme="majorBidi" w:cstheme="majorBidi"/>
                <w:strike/>
                <w:sz w:val="18"/>
                <w:szCs w:val="18"/>
                <w:lang w:eastAsia="en-US"/>
              </w:rPr>
              <w:t>1 kg</w:t>
            </w:r>
            <w:r w:rsidRPr="003B3455">
              <w:rPr>
                <w:rFonts w:asciiTheme="majorBidi" w:hAnsiTheme="majorBidi" w:cstheme="majorBidi"/>
                <w:sz w:val="18"/>
                <w:szCs w:val="18"/>
                <w:lang w:eastAsia="en-US"/>
              </w:rPr>
              <w:t xml:space="preserve"> </w:t>
            </w:r>
            <w:r w:rsidRPr="003B3455">
              <w:rPr>
                <w:rFonts w:asciiTheme="majorBidi" w:hAnsiTheme="majorBidi" w:cstheme="majorBidi"/>
                <w:sz w:val="18"/>
                <w:szCs w:val="18"/>
                <w:u w:val="single"/>
                <w:lang w:eastAsia="en-US"/>
              </w:rPr>
              <w:t>0</w:t>
            </w:r>
          </w:p>
        </w:tc>
        <w:tc>
          <w:tcPr>
            <w:tcW w:w="470" w:type="dxa"/>
            <w:tcBorders>
              <w:top w:val="single" w:sz="8" w:space="0" w:color="auto"/>
              <w:left w:val="single" w:sz="8" w:space="0" w:color="auto"/>
              <w:bottom w:val="single" w:sz="8" w:space="0" w:color="auto"/>
              <w:right w:val="single" w:sz="8" w:space="0" w:color="auto"/>
            </w:tcBorders>
          </w:tcPr>
          <w:p w14:paraId="6EEA271E" w14:textId="77777777" w:rsidR="000E3652" w:rsidRDefault="000E3652" w:rsidP="00FA0C14">
            <w:pPr>
              <w:jc w:val="center"/>
              <w:rPr>
                <w:rFonts w:eastAsia="Times New Roman"/>
                <w:sz w:val="18"/>
                <w:szCs w:val="18"/>
              </w:rPr>
            </w:pPr>
            <w:r w:rsidRPr="003B3455">
              <w:rPr>
                <w:rFonts w:asciiTheme="majorBidi" w:hAnsiTheme="majorBidi" w:cstheme="majorBidi"/>
                <w:strike/>
                <w:sz w:val="18"/>
                <w:szCs w:val="18"/>
                <w:lang w:eastAsia="en-US"/>
              </w:rPr>
              <w:t>E2</w:t>
            </w:r>
            <w:r w:rsidRPr="003B3455">
              <w:rPr>
                <w:rFonts w:asciiTheme="majorBidi" w:hAnsiTheme="majorBidi" w:cstheme="majorBidi"/>
                <w:sz w:val="18"/>
                <w:szCs w:val="18"/>
                <w:lang w:eastAsia="en-US"/>
              </w:rPr>
              <w:t xml:space="preserve"> </w:t>
            </w:r>
            <w:r w:rsidRPr="003B3455">
              <w:rPr>
                <w:rFonts w:asciiTheme="majorBidi" w:hAnsiTheme="majorBidi" w:cstheme="majorBidi"/>
                <w:sz w:val="18"/>
                <w:szCs w:val="18"/>
                <w:u w:val="single"/>
                <w:lang w:eastAsia="en-US"/>
              </w:rPr>
              <w:t>E5</w:t>
            </w:r>
          </w:p>
        </w:tc>
        <w:tc>
          <w:tcPr>
            <w:tcW w:w="567" w:type="dxa"/>
            <w:tcBorders>
              <w:top w:val="single" w:sz="8" w:space="0" w:color="auto"/>
              <w:left w:val="single" w:sz="8" w:space="0" w:color="auto"/>
              <w:bottom w:val="single" w:sz="8" w:space="0" w:color="auto"/>
              <w:right w:val="single" w:sz="8" w:space="0" w:color="auto"/>
            </w:tcBorders>
          </w:tcPr>
          <w:p w14:paraId="27EBA203" w14:textId="77777777" w:rsidR="000E3652" w:rsidRPr="003B3455" w:rsidRDefault="000E3652" w:rsidP="00FA0C14">
            <w:pPr>
              <w:kinsoku/>
              <w:overflowPunct/>
              <w:autoSpaceDE/>
              <w:autoSpaceDN/>
              <w:adjustRightInd/>
              <w:snapToGrid/>
              <w:jc w:val="center"/>
              <w:rPr>
                <w:rFonts w:asciiTheme="majorBidi" w:hAnsiTheme="majorBidi" w:cstheme="majorBidi"/>
                <w:sz w:val="18"/>
                <w:szCs w:val="18"/>
                <w:lang w:eastAsia="en-US"/>
              </w:rPr>
            </w:pPr>
            <w:r w:rsidRPr="003B3455">
              <w:rPr>
                <w:rFonts w:asciiTheme="majorBidi" w:hAnsiTheme="majorBidi" w:cstheme="majorBidi"/>
                <w:sz w:val="18"/>
                <w:szCs w:val="18"/>
                <w:lang w:eastAsia="en-US"/>
              </w:rPr>
              <w:t>P002</w:t>
            </w:r>
          </w:p>
          <w:p w14:paraId="15B3072A" w14:textId="77777777" w:rsidR="000E3652" w:rsidRPr="003B3455" w:rsidRDefault="000E3652" w:rsidP="00FA0C14">
            <w:pPr>
              <w:kinsoku/>
              <w:overflowPunct/>
              <w:autoSpaceDE/>
              <w:autoSpaceDN/>
              <w:adjustRightInd/>
              <w:snapToGrid/>
              <w:jc w:val="center"/>
              <w:rPr>
                <w:rFonts w:asciiTheme="majorBidi" w:hAnsiTheme="majorBidi" w:cstheme="majorBidi"/>
                <w:strike/>
                <w:sz w:val="18"/>
                <w:szCs w:val="18"/>
                <w:lang w:eastAsia="en-US"/>
              </w:rPr>
            </w:pPr>
            <w:r w:rsidRPr="003B3455">
              <w:rPr>
                <w:rFonts w:asciiTheme="majorBidi" w:hAnsiTheme="majorBidi" w:cstheme="majorBidi"/>
                <w:strike/>
                <w:sz w:val="18"/>
                <w:szCs w:val="18"/>
                <w:lang w:eastAsia="en-US"/>
              </w:rPr>
              <w:t>IBC08</w:t>
            </w:r>
          </w:p>
          <w:p w14:paraId="102680F8" w14:textId="77777777" w:rsidR="000E3652" w:rsidRDefault="000E3652" w:rsidP="00FA0C14">
            <w:pPr>
              <w:jc w:val="center"/>
              <w:rPr>
                <w:rFonts w:eastAsia="Times New Roman"/>
                <w:sz w:val="18"/>
                <w:szCs w:val="18"/>
              </w:rPr>
            </w:pPr>
            <w:r w:rsidRPr="003B3455">
              <w:rPr>
                <w:rFonts w:asciiTheme="majorBidi" w:hAnsiTheme="majorBidi" w:cstheme="majorBidi"/>
                <w:sz w:val="18"/>
                <w:szCs w:val="18"/>
                <w:u w:val="single"/>
                <w:lang w:eastAsia="en-US"/>
              </w:rPr>
              <w:t>IBC99</w:t>
            </w:r>
          </w:p>
        </w:tc>
        <w:tc>
          <w:tcPr>
            <w:tcW w:w="591" w:type="dxa"/>
            <w:tcBorders>
              <w:top w:val="single" w:sz="8" w:space="0" w:color="auto"/>
              <w:left w:val="single" w:sz="8" w:space="0" w:color="auto"/>
              <w:bottom w:val="single" w:sz="8" w:space="0" w:color="auto"/>
              <w:right w:val="single" w:sz="8" w:space="0" w:color="auto"/>
            </w:tcBorders>
          </w:tcPr>
          <w:p w14:paraId="302E721A" w14:textId="77777777" w:rsidR="000E3652" w:rsidRDefault="000E3652" w:rsidP="00FA0C14">
            <w:pPr>
              <w:rPr>
                <w:rFonts w:eastAsia="Times New Roman"/>
                <w:sz w:val="18"/>
                <w:szCs w:val="18"/>
              </w:rPr>
            </w:pPr>
            <w:r w:rsidRPr="003B3455">
              <w:rPr>
                <w:rFonts w:asciiTheme="majorBidi" w:hAnsiTheme="majorBidi" w:cstheme="majorBidi"/>
                <w:strike/>
                <w:sz w:val="18"/>
                <w:szCs w:val="18"/>
                <w:lang w:eastAsia="en-US"/>
              </w:rPr>
              <w:t>B2, B4</w:t>
            </w:r>
          </w:p>
        </w:tc>
        <w:tc>
          <w:tcPr>
            <w:tcW w:w="882" w:type="dxa"/>
            <w:tcBorders>
              <w:top w:val="single" w:sz="8" w:space="0" w:color="auto"/>
              <w:left w:val="single" w:sz="8" w:space="0" w:color="auto"/>
              <w:bottom w:val="single" w:sz="8" w:space="0" w:color="auto"/>
              <w:right w:val="single" w:sz="8" w:space="0" w:color="auto"/>
            </w:tcBorders>
          </w:tcPr>
          <w:p w14:paraId="00DC1848" w14:textId="77777777" w:rsidR="000E3652" w:rsidRDefault="000E3652" w:rsidP="00FA0C14">
            <w:pPr>
              <w:jc w:val="center"/>
              <w:rPr>
                <w:rFonts w:eastAsia="Times New Roman"/>
                <w:sz w:val="18"/>
                <w:szCs w:val="18"/>
              </w:rPr>
            </w:pPr>
            <w:r w:rsidRPr="003B3455">
              <w:rPr>
                <w:rFonts w:asciiTheme="majorBidi" w:hAnsiTheme="majorBidi" w:cstheme="majorBidi"/>
                <w:strike/>
                <w:sz w:val="18"/>
                <w:szCs w:val="18"/>
                <w:lang w:eastAsia="en-US"/>
              </w:rPr>
              <w:t>T3</w:t>
            </w:r>
            <w:r w:rsidRPr="003B3455">
              <w:rPr>
                <w:rFonts w:asciiTheme="majorBidi" w:hAnsiTheme="majorBidi" w:cstheme="majorBidi"/>
                <w:sz w:val="18"/>
                <w:szCs w:val="18"/>
                <w:lang w:eastAsia="en-US"/>
              </w:rPr>
              <w:t xml:space="preserve"> </w:t>
            </w:r>
            <w:r w:rsidRPr="003B3455">
              <w:rPr>
                <w:rFonts w:asciiTheme="majorBidi" w:hAnsiTheme="majorBidi" w:cstheme="majorBidi"/>
                <w:sz w:val="18"/>
                <w:szCs w:val="18"/>
                <w:u w:val="single"/>
                <w:lang w:eastAsia="en-US"/>
              </w:rPr>
              <w:t>T6</w:t>
            </w:r>
          </w:p>
        </w:tc>
        <w:tc>
          <w:tcPr>
            <w:tcW w:w="951" w:type="dxa"/>
            <w:tcBorders>
              <w:top w:val="single" w:sz="8" w:space="0" w:color="auto"/>
              <w:left w:val="single" w:sz="8" w:space="0" w:color="auto"/>
              <w:bottom w:val="single" w:sz="8" w:space="0" w:color="auto"/>
              <w:right w:val="single" w:sz="8" w:space="0" w:color="auto"/>
            </w:tcBorders>
          </w:tcPr>
          <w:p w14:paraId="169C248D" w14:textId="77777777" w:rsidR="000E3652" w:rsidRDefault="000E3652" w:rsidP="00FA0C14">
            <w:pPr>
              <w:jc w:val="center"/>
              <w:rPr>
                <w:rFonts w:eastAsia="Times New Roman"/>
                <w:sz w:val="18"/>
                <w:szCs w:val="18"/>
              </w:rPr>
            </w:pPr>
            <w:r w:rsidRPr="003B3455">
              <w:rPr>
                <w:rFonts w:asciiTheme="majorBidi" w:hAnsiTheme="majorBidi" w:cstheme="majorBidi"/>
                <w:sz w:val="18"/>
                <w:szCs w:val="18"/>
                <w:lang w:eastAsia="en-US"/>
              </w:rPr>
              <w:t>TP33</w:t>
            </w:r>
          </w:p>
        </w:tc>
      </w:tr>
    </w:tbl>
    <w:p w14:paraId="2C162FD7" w14:textId="77777777" w:rsidR="000E3652" w:rsidRDefault="000E3652" w:rsidP="000E3652">
      <w:pPr>
        <w:pStyle w:val="H1G"/>
        <w:rPr>
          <w:lang w:val="en-US"/>
        </w:rPr>
      </w:pPr>
      <w:r>
        <w:rPr>
          <w:lang w:val="en-US"/>
        </w:rPr>
        <w:tab/>
      </w:r>
      <w:r>
        <w:rPr>
          <w:lang w:val="en-US"/>
        </w:rPr>
        <w:tab/>
        <w:t>Option 2</w:t>
      </w:r>
    </w:p>
    <w:p w14:paraId="6A3610DD" w14:textId="578985A3" w:rsidR="000E3652" w:rsidRDefault="000E3652" w:rsidP="000E3652">
      <w:pPr>
        <w:pStyle w:val="SingleTxtG"/>
        <w:rPr>
          <w:lang w:val="en-US"/>
        </w:rPr>
      </w:pPr>
      <w:r>
        <w:rPr>
          <w:lang w:val="en-US"/>
        </w:rPr>
        <w:t>29.</w:t>
      </w:r>
      <w:r>
        <w:rPr>
          <w:lang w:val="en-US"/>
        </w:rPr>
        <w:tab/>
      </w:r>
      <w:r w:rsidR="00A10BCF">
        <w:rPr>
          <w:lang w:val="en-US"/>
        </w:rPr>
        <w:t>In 3.3, add</w:t>
      </w:r>
      <w:r>
        <w:rPr>
          <w:lang w:val="en-US"/>
        </w:rPr>
        <w:t xml:space="preserve"> a new special provision XXX as follows:</w:t>
      </w:r>
    </w:p>
    <w:p w14:paraId="3731CC3F" w14:textId="2EEF2434" w:rsidR="000E3652" w:rsidRPr="00EA71AA" w:rsidRDefault="00B23D89" w:rsidP="007E4029">
      <w:pPr>
        <w:tabs>
          <w:tab w:val="left" w:pos="2410"/>
        </w:tabs>
        <w:spacing w:after="120"/>
        <w:ind w:left="1701" w:right="1152"/>
        <w:jc w:val="both"/>
        <w:rPr>
          <w:rFonts w:eastAsia="Times New Roman"/>
          <w:lang w:val="en-US"/>
        </w:rPr>
      </w:pPr>
      <w:r>
        <w:rPr>
          <w:rFonts w:eastAsia="Times New Roman"/>
          <w:lang w:val="en-US"/>
        </w:rPr>
        <w:t>“</w:t>
      </w:r>
      <w:r w:rsidR="000E3652" w:rsidRPr="00E95C08">
        <w:rPr>
          <w:rFonts w:eastAsia="Times New Roman"/>
          <w:lang w:val="en-US"/>
        </w:rPr>
        <w:t>XXX</w:t>
      </w:r>
      <w:r>
        <w:rPr>
          <w:rFonts w:eastAsia="Times New Roman"/>
          <w:lang w:val="en-US"/>
        </w:rPr>
        <w:tab/>
      </w:r>
      <w:r w:rsidR="000E3652" w:rsidRPr="00E95C08">
        <w:rPr>
          <w:rFonts w:eastAsia="Times New Roman"/>
          <w:lang w:val="en-US"/>
        </w:rPr>
        <w:t>This entry applies only to aqueous solutions comprised of water, tetramethylammonium hydroxide (TMAH), and no more than 1</w:t>
      </w:r>
      <w:r w:rsidR="007E4029">
        <w:rPr>
          <w:rFonts w:eastAsia="Times New Roman"/>
          <w:lang w:val="en-US"/>
        </w:rPr>
        <w:t xml:space="preserve"> </w:t>
      </w:r>
      <w:r w:rsidR="000E3652" w:rsidRPr="00E95C08">
        <w:rPr>
          <w:rFonts w:eastAsia="Times New Roman"/>
          <w:lang w:val="en-US"/>
        </w:rPr>
        <w:t xml:space="preserve">% other constituents. Other formulations containing tetramethylammonium hydroxide must be assigned to an appropriate generic or </w:t>
      </w:r>
      <w:proofErr w:type="spellStart"/>
      <w:r w:rsidR="000E3652" w:rsidRPr="00E95C08">
        <w:rPr>
          <w:rFonts w:eastAsia="Times New Roman"/>
          <w:lang w:val="en-US"/>
        </w:rPr>
        <w:t>n.o.s</w:t>
      </w:r>
      <w:proofErr w:type="spellEnd"/>
      <w:r w:rsidR="000E3652" w:rsidRPr="00E95C08">
        <w:rPr>
          <w:rFonts w:eastAsia="Times New Roman"/>
          <w:lang w:val="en-US"/>
        </w:rPr>
        <w:t xml:space="preserve">. entry (e.g., UN 2389, Toxic liquid, corrosive, inorganic, </w:t>
      </w:r>
      <w:proofErr w:type="spellStart"/>
      <w:r w:rsidR="000E3652" w:rsidRPr="00E95C08">
        <w:rPr>
          <w:rFonts w:eastAsia="Times New Roman"/>
          <w:lang w:val="en-US"/>
        </w:rPr>
        <w:t>n.o.s</w:t>
      </w:r>
      <w:proofErr w:type="spellEnd"/>
      <w:r w:rsidR="000E3652" w:rsidRPr="00E95C08">
        <w:rPr>
          <w:rFonts w:eastAsia="Times New Roman"/>
          <w:lang w:val="en-US"/>
        </w:rPr>
        <w:t>., etc.).</w:t>
      </w:r>
      <w:r>
        <w:rPr>
          <w:rFonts w:eastAsia="Times New Roman"/>
          <w:lang w:val="en-US"/>
        </w:rPr>
        <w:t>”</w:t>
      </w:r>
    </w:p>
    <w:p w14:paraId="0C755E30" w14:textId="70E4A8D0" w:rsidR="000E3652" w:rsidRDefault="000E3652" w:rsidP="000E3652">
      <w:pPr>
        <w:pStyle w:val="SingleTxtG"/>
        <w:rPr>
          <w:lang w:val="en-US"/>
        </w:rPr>
      </w:pPr>
      <w:r>
        <w:rPr>
          <w:lang w:val="en-US"/>
        </w:rPr>
        <w:t>30.</w:t>
      </w:r>
      <w:r>
        <w:rPr>
          <w:lang w:val="en-US"/>
        </w:rPr>
        <w:tab/>
      </w:r>
      <w:r w:rsidR="00A10BCF">
        <w:rPr>
          <w:lang w:val="en-US"/>
        </w:rPr>
        <w:t>In 3.3, add</w:t>
      </w:r>
      <w:r>
        <w:rPr>
          <w:lang w:val="en-US"/>
        </w:rPr>
        <w:t xml:space="preserve"> a new special provision YYY as follows: </w:t>
      </w:r>
    </w:p>
    <w:p w14:paraId="0DAB0DFD" w14:textId="49904E01" w:rsidR="000E3652" w:rsidRDefault="00B23D89" w:rsidP="007E4029">
      <w:pPr>
        <w:tabs>
          <w:tab w:val="left" w:pos="2410"/>
        </w:tabs>
        <w:spacing w:after="120"/>
        <w:ind w:left="1701" w:right="1152"/>
        <w:jc w:val="both"/>
        <w:rPr>
          <w:rFonts w:eastAsia="Times New Roman"/>
          <w:lang w:val="en-US"/>
        </w:rPr>
      </w:pPr>
      <w:r>
        <w:rPr>
          <w:rFonts w:eastAsia="Times New Roman"/>
          <w:lang w:val="en-US"/>
        </w:rPr>
        <w:t>“</w:t>
      </w:r>
      <w:r w:rsidR="000E3652" w:rsidRPr="004876A8">
        <w:rPr>
          <w:rFonts w:eastAsia="Times New Roman"/>
          <w:lang w:val="en-US"/>
        </w:rPr>
        <w:t>YYY</w:t>
      </w:r>
      <w:r>
        <w:rPr>
          <w:rFonts w:eastAsia="Times New Roman"/>
          <w:lang w:val="en-US"/>
        </w:rPr>
        <w:tab/>
      </w:r>
      <w:r w:rsidR="000E3652" w:rsidRPr="004876A8">
        <w:rPr>
          <w:rFonts w:eastAsia="Times New Roman"/>
          <w:lang w:val="en-US"/>
        </w:rPr>
        <w:t>This entry applies only to formulations, with or without water, containing tetramethylammonium hydroxide and more than 1% other constituents.</w:t>
      </w:r>
      <w:r>
        <w:rPr>
          <w:rFonts w:eastAsia="Times New Roman"/>
          <w:lang w:val="en-US"/>
        </w:rPr>
        <w:t>”</w:t>
      </w:r>
    </w:p>
    <w:p w14:paraId="76445F60" w14:textId="084AE2FF" w:rsidR="000E3652" w:rsidRDefault="000E3652" w:rsidP="000E3652">
      <w:pPr>
        <w:pStyle w:val="SingleTxtG"/>
        <w:rPr>
          <w:lang w:val="en-US"/>
        </w:rPr>
      </w:pPr>
      <w:r>
        <w:rPr>
          <w:lang w:val="en-US"/>
        </w:rPr>
        <w:t>31.</w:t>
      </w:r>
      <w:r>
        <w:rPr>
          <w:lang w:val="en-US"/>
        </w:rPr>
        <w:tab/>
      </w:r>
      <w:r w:rsidR="00FA494A">
        <w:rPr>
          <w:lang w:val="en-US"/>
        </w:rPr>
        <w:t>Insert</w:t>
      </w:r>
      <w:r>
        <w:rPr>
          <w:lang w:val="en-US"/>
        </w:rPr>
        <w:t xml:space="preserve"> a new UN number XXXX for formulations, with or without water, containing tetramethylammonium hydroxide and more than 1</w:t>
      </w:r>
      <w:r w:rsidR="001E1A7B">
        <w:rPr>
          <w:lang w:val="en-US"/>
        </w:rPr>
        <w:t xml:space="preserve"> </w:t>
      </w:r>
      <w:r>
        <w:rPr>
          <w:lang w:val="en-US"/>
        </w:rPr>
        <w:t>% other constituents.</w:t>
      </w:r>
    </w:p>
    <w:p w14:paraId="380BD61E" w14:textId="432E70A8" w:rsidR="000E3652" w:rsidRPr="00EA71AA" w:rsidRDefault="000E3652" w:rsidP="000E3652">
      <w:pPr>
        <w:pStyle w:val="SingleTxtG"/>
        <w:rPr>
          <w:lang w:val="en-US"/>
        </w:rPr>
      </w:pPr>
      <w:r>
        <w:rPr>
          <w:lang w:val="en-US"/>
        </w:rPr>
        <w:t>32.</w:t>
      </w:r>
      <w:r>
        <w:rPr>
          <w:lang w:val="en-US"/>
        </w:rPr>
        <w:tab/>
        <w:t>Modify the entries for UN 1835 and UN 3423 and insert entries for UN XXXX as follows</w:t>
      </w:r>
      <w:r w:rsidR="00FA494A">
        <w:rPr>
          <w:lang w:val="en-US"/>
        </w:rPr>
        <w:t>:</w:t>
      </w:r>
    </w:p>
    <w:tbl>
      <w:tblPr>
        <w:tblW w:w="0" w:type="auto"/>
        <w:tblLayout w:type="fixed"/>
        <w:tblLook w:val="04A0" w:firstRow="1" w:lastRow="0" w:firstColumn="1" w:lastColumn="0" w:noHBand="0" w:noVBand="1"/>
      </w:tblPr>
      <w:tblGrid>
        <w:gridCol w:w="660"/>
        <w:gridCol w:w="2151"/>
        <w:gridCol w:w="628"/>
        <w:gridCol w:w="523"/>
        <w:gridCol w:w="568"/>
        <w:gridCol w:w="705"/>
        <w:gridCol w:w="522"/>
        <w:gridCol w:w="470"/>
        <w:gridCol w:w="567"/>
        <w:gridCol w:w="591"/>
        <w:gridCol w:w="882"/>
        <w:gridCol w:w="951"/>
      </w:tblGrid>
      <w:tr w:rsidR="000E3652" w14:paraId="76B8D0A0" w14:textId="77777777" w:rsidTr="00FA0C14">
        <w:trPr>
          <w:trHeight w:val="450"/>
        </w:trPr>
        <w:tc>
          <w:tcPr>
            <w:tcW w:w="660" w:type="dxa"/>
            <w:vMerge w:val="restart"/>
            <w:tcBorders>
              <w:top w:val="single" w:sz="8" w:space="0" w:color="auto"/>
              <w:left w:val="single" w:sz="8" w:space="0" w:color="auto"/>
              <w:bottom w:val="single" w:sz="2" w:space="0" w:color="auto"/>
              <w:right w:val="single" w:sz="8" w:space="0" w:color="auto"/>
            </w:tcBorders>
            <w:vAlign w:val="center"/>
            <w:hideMark/>
          </w:tcPr>
          <w:p w14:paraId="352805C4" w14:textId="77777777" w:rsidR="000E3652" w:rsidRPr="00D13A92" w:rsidRDefault="000E3652" w:rsidP="00FA0C14">
            <w:pPr>
              <w:jc w:val="center"/>
              <w:rPr>
                <w:rFonts w:asciiTheme="minorHAnsi" w:eastAsiaTheme="minorEastAsia" w:hAnsiTheme="minorHAnsi" w:cstheme="minorBidi"/>
                <w:sz w:val="16"/>
                <w:szCs w:val="16"/>
                <w:lang w:val="nl-BE"/>
              </w:rPr>
            </w:pPr>
            <w:r w:rsidRPr="00D13A92">
              <w:rPr>
                <w:rFonts w:eastAsia="Times New Roman"/>
                <w:sz w:val="16"/>
                <w:szCs w:val="16"/>
              </w:rPr>
              <w:t xml:space="preserve">UN No. </w:t>
            </w:r>
          </w:p>
        </w:tc>
        <w:tc>
          <w:tcPr>
            <w:tcW w:w="2151" w:type="dxa"/>
            <w:vMerge w:val="restart"/>
            <w:tcBorders>
              <w:top w:val="single" w:sz="8" w:space="0" w:color="auto"/>
              <w:left w:val="single" w:sz="8" w:space="0" w:color="auto"/>
              <w:bottom w:val="single" w:sz="2" w:space="0" w:color="auto"/>
              <w:right w:val="single" w:sz="8" w:space="0" w:color="auto"/>
            </w:tcBorders>
            <w:vAlign w:val="center"/>
            <w:hideMark/>
          </w:tcPr>
          <w:p w14:paraId="5B7207F1" w14:textId="77777777" w:rsidR="000E3652" w:rsidRPr="00D13A92" w:rsidRDefault="000E3652" w:rsidP="00FA0C14">
            <w:pPr>
              <w:jc w:val="center"/>
              <w:rPr>
                <w:sz w:val="16"/>
                <w:szCs w:val="16"/>
              </w:rPr>
            </w:pPr>
            <w:r w:rsidRPr="00D13A92">
              <w:rPr>
                <w:rFonts w:eastAsia="Times New Roman"/>
                <w:sz w:val="16"/>
                <w:szCs w:val="16"/>
              </w:rPr>
              <w:t xml:space="preserve">Name and description </w:t>
            </w:r>
          </w:p>
        </w:tc>
        <w:tc>
          <w:tcPr>
            <w:tcW w:w="628" w:type="dxa"/>
            <w:vMerge w:val="restart"/>
            <w:tcBorders>
              <w:top w:val="single" w:sz="8" w:space="0" w:color="auto"/>
              <w:left w:val="single" w:sz="8" w:space="0" w:color="auto"/>
              <w:bottom w:val="single" w:sz="2" w:space="0" w:color="auto"/>
              <w:right w:val="single" w:sz="8" w:space="0" w:color="auto"/>
            </w:tcBorders>
            <w:vAlign w:val="center"/>
            <w:hideMark/>
          </w:tcPr>
          <w:p w14:paraId="40A79D4A" w14:textId="77777777" w:rsidR="000E3652" w:rsidRPr="00D13A92" w:rsidRDefault="000E3652" w:rsidP="00FA0C14">
            <w:pPr>
              <w:jc w:val="center"/>
              <w:rPr>
                <w:sz w:val="16"/>
                <w:szCs w:val="16"/>
              </w:rPr>
            </w:pPr>
            <w:r w:rsidRPr="00D13A92">
              <w:rPr>
                <w:rFonts w:eastAsia="Times New Roman"/>
                <w:sz w:val="16"/>
                <w:szCs w:val="16"/>
              </w:rPr>
              <w:t xml:space="preserve">Class </w:t>
            </w:r>
          </w:p>
          <w:p w14:paraId="7949F992" w14:textId="77777777" w:rsidR="000E3652" w:rsidRPr="00D13A92" w:rsidRDefault="000E3652" w:rsidP="00FA0C14">
            <w:pPr>
              <w:jc w:val="center"/>
              <w:rPr>
                <w:sz w:val="16"/>
                <w:szCs w:val="16"/>
              </w:rPr>
            </w:pPr>
            <w:r w:rsidRPr="00D13A92">
              <w:rPr>
                <w:rFonts w:eastAsia="Times New Roman"/>
                <w:sz w:val="16"/>
                <w:szCs w:val="16"/>
              </w:rPr>
              <w:t xml:space="preserve">or division </w:t>
            </w:r>
          </w:p>
        </w:tc>
        <w:tc>
          <w:tcPr>
            <w:tcW w:w="523" w:type="dxa"/>
            <w:vMerge w:val="restart"/>
            <w:tcBorders>
              <w:top w:val="single" w:sz="8" w:space="0" w:color="auto"/>
              <w:left w:val="single" w:sz="8" w:space="0" w:color="auto"/>
              <w:bottom w:val="single" w:sz="2" w:space="0" w:color="auto"/>
              <w:right w:val="single" w:sz="8" w:space="0" w:color="auto"/>
            </w:tcBorders>
            <w:vAlign w:val="center"/>
            <w:hideMark/>
          </w:tcPr>
          <w:p w14:paraId="25F84024" w14:textId="77777777" w:rsidR="000E3652" w:rsidRPr="00D13A92" w:rsidRDefault="000E3652" w:rsidP="00FA0C14">
            <w:pPr>
              <w:jc w:val="center"/>
              <w:rPr>
                <w:sz w:val="16"/>
                <w:szCs w:val="16"/>
              </w:rPr>
            </w:pPr>
            <w:proofErr w:type="spellStart"/>
            <w:r w:rsidRPr="00D13A92">
              <w:rPr>
                <w:rFonts w:eastAsia="Times New Roman"/>
                <w:sz w:val="16"/>
                <w:szCs w:val="16"/>
              </w:rPr>
              <w:t>Subsi</w:t>
            </w:r>
            <w:proofErr w:type="spellEnd"/>
            <w:r w:rsidRPr="00D13A92">
              <w:rPr>
                <w:rFonts w:eastAsia="Times New Roman"/>
                <w:sz w:val="16"/>
                <w:szCs w:val="16"/>
              </w:rPr>
              <w:t xml:space="preserve">-diary hazard </w:t>
            </w:r>
          </w:p>
        </w:tc>
        <w:tc>
          <w:tcPr>
            <w:tcW w:w="568" w:type="dxa"/>
            <w:vMerge w:val="restart"/>
            <w:tcBorders>
              <w:top w:val="single" w:sz="8" w:space="0" w:color="auto"/>
              <w:left w:val="single" w:sz="8" w:space="0" w:color="auto"/>
              <w:bottom w:val="single" w:sz="2" w:space="0" w:color="auto"/>
              <w:right w:val="single" w:sz="8" w:space="0" w:color="auto"/>
            </w:tcBorders>
            <w:vAlign w:val="center"/>
            <w:hideMark/>
          </w:tcPr>
          <w:p w14:paraId="3FC16059" w14:textId="77777777" w:rsidR="000E3652" w:rsidRPr="00D13A92" w:rsidRDefault="000E3652" w:rsidP="00FA0C14">
            <w:pPr>
              <w:jc w:val="center"/>
              <w:rPr>
                <w:sz w:val="16"/>
                <w:szCs w:val="16"/>
              </w:rPr>
            </w:pPr>
            <w:r w:rsidRPr="00D13A92">
              <w:rPr>
                <w:rFonts w:eastAsia="Times New Roman"/>
                <w:sz w:val="16"/>
                <w:szCs w:val="16"/>
              </w:rPr>
              <w:t xml:space="preserve">UN packing group </w:t>
            </w:r>
          </w:p>
        </w:tc>
        <w:tc>
          <w:tcPr>
            <w:tcW w:w="705" w:type="dxa"/>
            <w:vMerge w:val="restart"/>
            <w:tcBorders>
              <w:top w:val="single" w:sz="8" w:space="0" w:color="auto"/>
              <w:left w:val="single" w:sz="8" w:space="0" w:color="auto"/>
              <w:bottom w:val="single" w:sz="2" w:space="0" w:color="auto"/>
              <w:right w:val="single" w:sz="8" w:space="0" w:color="auto"/>
            </w:tcBorders>
            <w:vAlign w:val="center"/>
            <w:hideMark/>
          </w:tcPr>
          <w:p w14:paraId="789A03CE" w14:textId="77777777" w:rsidR="000E3652" w:rsidRPr="00D13A92" w:rsidRDefault="000E3652" w:rsidP="00FA0C14">
            <w:pPr>
              <w:jc w:val="center"/>
              <w:rPr>
                <w:sz w:val="16"/>
                <w:szCs w:val="16"/>
              </w:rPr>
            </w:pPr>
            <w:r w:rsidRPr="00D13A92">
              <w:rPr>
                <w:rFonts w:eastAsia="Times New Roman"/>
                <w:sz w:val="16"/>
                <w:szCs w:val="16"/>
              </w:rPr>
              <w:t xml:space="preserve">Special </w:t>
            </w:r>
            <w:proofErr w:type="spellStart"/>
            <w:r w:rsidRPr="00D13A92">
              <w:rPr>
                <w:rFonts w:eastAsia="Times New Roman"/>
                <w:sz w:val="16"/>
                <w:szCs w:val="16"/>
              </w:rPr>
              <w:t>provi-sions</w:t>
            </w:r>
            <w:proofErr w:type="spellEnd"/>
            <w:r w:rsidRPr="00D13A92">
              <w:rPr>
                <w:rFonts w:eastAsia="Times New Roman"/>
                <w:sz w:val="16"/>
                <w:szCs w:val="16"/>
              </w:rPr>
              <w:t xml:space="preserve"> </w:t>
            </w:r>
          </w:p>
        </w:tc>
        <w:tc>
          <w:tcPr>
            <w:tcW w:w="992" w:type="dxa"/>
            <w:gridSpan w:val="2"/>
            <w:vMerge w:val="restart"/>
            <w:tcBorders>
              <w:top w:val="single" w:sz="8" w:space="0" w:color="auto"/>
              <w:left w:val="single" w:sz="8" w:space="0" w:color="auto"/>
              <w:bottom w:val="single" w:sz="2" w:space="0" w:color="auto"/>
              <w:right w:val="single" w:sz="8" w:space="0" w:color="auto"/>
            </w:tcBorders>
            <w:vAlign w:val="center"/>
            <w:hideMark/>
          </w:tcPr>
          <w:p w14:paraId="4790EEFF" w14:textId="77777777" w:rsidR="000E3652" w:rsidRPr="00D13A92" w:rsidRDefault="000E3652" w:rsidP="00FA0C14">
            <w:pPr>
              <w:jc w:val="center"/>
              <w:rPr>
                <w:sz w:val="16"/>
                <w:szCs w:val="16"/>
              </w:rPr>
            </w:pPr>
            <w:r w:rsidRPr="00D13A92">
              <w:rPr>
                <w:rFonts w:eastAsia="Times New Roman"/>
                <w:sz w:val="16"/>
                <w:szCs w:val="16"/>
              </w:rPr>
              <w:t xml:space="preserve">Limited &amp; excepted quantities </w:t>
            </w:r>
          </w:p>
        </w:tc>
        <w:tc>
          <w:tcPr>
            <w:tcW w:w="1158" w:type="dxa"/>
            <w:gridSpan w:val="2"/>
            <w:tcBorders>
              <w:top w:val="single" w:sz="8" w:space="0" w:color="auto"/>
              <w:left w:val="nil"/>
              <w:bottom w:val="single" w:sz="8" w:space="0" w:color="auto"/>
              <w:right w:val="single" w:sz="8" w:space="0" w:color="auto"/>
            </w:tcBorders>
            <w:vAlign w:val="center"/>
            <w:hideMark/>
          </w:tcPr>
          <w:p w14:paraId="1E2D7B8A" w14:textId="77777777" w:rsidR="000E3652" w:rsidRPr="00D13A92" w:rsidRDefault="000E3652" w:rsidP="00FA0C14">
            <w:pPr>
              <w:jc w:val="center"/>
              <w:rPr>
                <w:sz w:val="16"/>
                <w:szCs w:val="16"/>
              </w:rPr>
            </w:pPr>
            <w:proofErr w:type="spellStart"/>
            <w:r w:rsidRPr="00D13A92">
              <w:rPr>
                <w:rFonts w:eastAsia="Times New Roman"/>
                <w:sz w:val="16"/>
                <w:szCs w:val="16"/>
              </w:rPr>
              <w:t>Packagings</w:t>
            </w:r>
            <w:proofErr w:type="spellEnd"/>
            <w:r w:rsidRPr="00D13A92">
              <w:rPr>
                <w:rFonts w:eastAsia="Times New Roman"/>
                <w:sz w:val="16"/>
                <w:szCs w:val="16"/>
              </w:rPr>
              <w:t xml:space="preserve"> and IBCs </w:t>
            </w:r>
          </w:p>
        </w:tc>
        <w:tc>
          <w:tcPr>
            <w:tcW w:w="1833" w:type="dxa"/>
            <w:gridSpan w:val="2"/>
            <w:tcBorders>
              <w:top w:val="single" w:sz="8" w:space="0" w:color="auto"/>
              <w:left w:val="nil"/>
              <w:bottom w:val="single" w:sz="8" w:space="0" w:color="auto"/>
              <w:right w:val="single" w:sz="8" w:space="0" w:color="auto"/>
            </w:tcBorders>
            <w:vAlign w:val="center"/>
            <w:hideMark/>
          </w:tcPr>
          <w:p w14:paraId="51E91ADF" w14:textId="77777777" w:rsidR="000E3652" w:rsidRPr="00D13A92" w:rsidRDefault="000E3652" w:rsidP="00FA0C14">
            <w:pPr>
              <w:jc w:val="center"/>
              <w:rPr>
                <w:sz w:val="16"/>
                <w:szCs w:val="16"/>
              </w:rPr>
            </w:pPr>
            <w:r w:rsidRPr="00D13A92">
              <w:rPr>
                <w:rFonts w:eastAsia="Times New Roman"/>
                <w:sz w:val="16"/>
                <w:szCs w:val="16"/>
              </w:rPr>
              <w:t xml:space="preserve">Portable tanks and bulk containers </w:t>
            </w:r>
          </w:p>
        </w:tc>
      </w:tr>
      <w:tr w:rsidR="000E3652" w14:paraId="548BB32F" w14:textId="77777777" w:rsidTr="00FA0C14">
        <w:trPr>
          <w:trHeight w:val="195"/>
        </w:trPr>
        <w:tc>
          <w:tcPr>
            <w:tcW w:w="660" w:type="dxa"/>
            <w:vMerge/>
            <w:tcBorders>
              <w:top w:val="single" w:sz="8" w:space="0" w:color="auto"/>
              <w:left w:val="single" w:sz="8" w:space="0" w:color="auto"/>
              <w:bottom w:val="single" w:sz="2" w:space="0" w:color="auto"/>
              <w:right w:val="single" w:sz="8" w:space="0" w:color="auto"/>
            </w:tcBorders>
            <w:vAlign w:val="center"/>
            <w:hideMark/>
          </w:tcPr>
          <w:p w14:paraId="2B286E61" w14:textId="77777777" w:rsidR="000E3652" w:rsidRPr="00D13A92" w:rsidRDefault="000E3652" w:rsidP="00FA0C14">
            <w:pPr>
              <w:rPr>
                <w:sz w:val="16"/>
                <w:szCs w:val="16"/>
                <w:lang w:val="en-US"/>
              </w:rPr>
            </w:pPr>
          </w:p>
        </w:tc>
        <w:tc>
          <w:tcPr>
            <w:tcW w:w="2151" w:type="dxa"/>
            <w:vMerge/>
            <w:tcBorders>
              <w:top w:val="single" w:sz="8" w:space="0" w:color="auto"/>
              <w:left w:val="single" w:sz="8" w:space="0" w:color="auto"/>
              <w:bottom w:val="single" w:sz="2" w:space="0" w:color="auto"/>
              <w:right w:val="single" w:sz="8" w:space="0" w:color="auto"/>
            </w:tcBorders>
            <w:vAlign w:val="center"/>
            <w:hideMark/>
          </w:tcPr>
          <w:p w14:paraId="491F5A93" w14:textId="77777777" w:rsidR="000E3652" w:rsidRPr="00D13A92" w:rsidRDefault="000E3652" w:rsidP="00FA0C14">
            <w:pPr>
              <w:rPr>
                <w:sz w:val="16"/>
                <w:szCs w:val="16"/>
                <w:lang w:val="en-US"/>
              </w:rPr>
            </w:pPr>
          </w:p>
        </w:tc>
        <w:tc>
          <w:tcPr>
            <w:tcW w:w="628" w:type="dxa"/>
            <w:vMerge/>
            <w:tcBorders>
              <w:top w:val="single" w:sz="8" w:space="0" w:color="auto"/>
              <w:left w:val="single" w:sz="8" w:space="0" w:color="auto"/>
              <w:bottom w:val="single" w:sz="2" w:space="0" w:color="auto"/>
              <w:right w:val="single" w:sz="8" w:space="0" w:color="auto"/>
            </w:tcBorders>
            <w:vAlign w:val="center"/>
            <w:hideMark/>
          </w:tcPr>
          <w:p w14:paraId="52E2A35A" w14:textId="77777777" w:rsidR="000E3652" w:rsidRPr="00D13A92" w:rsidRDefault="000E3652" w:rsidP="00FA0C14">
            <w:pPr>
              <w:rPr>
                <w:sz w:val="16"/>
                <w:szCs w:val="16"/>
                <w:lang w:val="en-US"/>
              </w:rPr>
            </w:pPr>
          </w:p>
        </w:tc>
        <w:tc>
          <w:tcPr>
            <w:tcW w:w="523" w:type="dxa"/>
            <w:vMerge/>
            <w:tcBorders>
              <w:top w:val="single" w:sz="8" w:space="0" w:color="auto"/>
              <w:left w:val="single" w:sz="8" w:space="0" w:color="auto"/>
              <w:bottom w:val="single" w:sz="2" w:space="0" w:color="auto"/>
              <w:right w:val="single" w:sz="8" w:space="0" w:color="auto"/>
            </w:tcBorders>
            <w:vAlign w:val="center"/>
            <w:hideMark/>
          </w:tcPr>
          <w:p w14:paraId="5BA18764" w14:textId="77777777" w:rsidR="000E3652" w:rsidRPr="00D13A92" w:rsidRDefault="000E3652" w:rsidP="00FA0C14">
            <w:pPr>
              <w:rPr>
                <w:sz w:val="16"/>
                <w:szCs w:val="16"/>
                <w:lang w:val="en-US"/>
              </w:rPr>
            </w:pPr>
          </w:p>
        </w:tc>
        <w:tc>
          <w:tcPr>
            <w:tcW w:w="568" w:type="dxa"/>
            <w:vMerge/>
            <w:tcBorders>
              <w:top w:val="single" w:sz="8" w:space="0" w:color="auto"/>
              <w:left w:val="single" w:sz="8" w:space="0" w:color="auto"/>
              <w:bottom w:val="single" w:sz="2" w:space="0" w:color="auto"/>
              <w:right w:val="single" w:sz="8" w:space="0" w:color="auto"/>
            </w:tcBorders>
            <w:vAlign w:val="center"/>
            <w:hideMark/>
          </w:tcPr>
          <w:p w14:paraId="5ED3DD0B" w14:textId="77777777" w:rsidR="000E3652" w:rsidRPr="00D13A92" w:rsidRDefault="000E3652" w:rsidP="00FA0C14">
            <w:pPr>
              <w:rPr>
                <w:sz w:val="16"/>
                <w:szCs w:val="16"/>
                <w:lang w:val="en-US"/>
              </w:rPr>
            </w:pPr>
          </w:p>
        </w:tc>
        <w:tc>
          <w:tcPr>
            <w:tcW w:w="705" w:type="dxa"/>
            <w:vMerge/>
            <w:tcBorders>
              <w:top w:val="single" w:sz="8" w:space="0" w:color="auto"/>
              <w:left w:val="single" w:sz="8" w:space="0" w:color="auto"/>
              <w:bottom w:val="single" w:sz="2" w:space="0" w:color="auto"/>
              <w:right w:val="single" w:sz="8" w:space="0" w:color="auto"/>
            </w:tcBorders>
            <w:vAlign w:val="center"/>
            <w:hideMark/>
          </w:tcPr>
          <w:p w14:paraId="00D3E769" w14:textId="77777777" w:rsidR="000E3652" w:rsidRPr="00D13A92" w:rsidRDefault="000E3652" w:rsidP="00FA0C14">
            <w:pPr>
              <w:rPr>
                <w:sz w:val="16"/>
                <w:szCs w:val="16"/>
                <w:lang w:val="en-US"/>
              </w:rPr>
            </w:pPr>
          </w:p>
        </w:tc>
        <w:tc>
          <w:tcPr>
            <w:tcW w:w="992" w:type="dxa"/>
            <w:gridSpan w:val="2"/>
            <w:vMerge/>
            <w:tcBorders>
              <w:top w:val="single" w:sz="8" w:space="0" w:color="auto"/>
              <w:left w:val="single" w:sz="8" w:space="0" w:color="auto"/>
              <w:bottom w:val="single" w:sz="2" w:space="0" w:color="auto"/>
              <w:right w:val="single" w:sz="8" w:space="0" w:color="auto"/>
            </w:tcBorders>
            <w:vAlign w:val="center"/>
            <w:hideMark/>
          </w:tcPr>
          <w:p w14:paraId="5C6156A6" w14:textId="77777777" w:rsidR="000E3652" w:rsidRPr="00D13A92" w:rsidRDefault="000E3652" w:rsidP="00FA0C14">
            <w:pPr>
              <w:rPr>
                <w:sz w:val="16"/>
                <w:szCs w:val="16"/>
                <w:lang w:val="en-US"/>
              </w:rPr>
            </w:pPr>
          </w:p>
        </w:tc>
        <w:tc>
          <w:tcPr>
            <w:tcW w:w="567" w:type="dxa"/>
            <w:tcBorders>
              <w:top w:val="single" w:sz="8" w:space="0" w:color="auto"/>
              <w:left w:val="nil"/>
              <w:bottom w:val="single" w:sz="8" w:space="0" w:color="auto"/>
              <w:right w:val="single" w:sz="8" w:space="0" w:color="auto"/>
            </w:tcBorders>
            <w:vAlign w:val="center"/>
            <w:hideMark/>
          </w:tcPr>
          <w:p w14:paraId="1D45FE4B" w14:textId="77777777" w:rsidR="000E3652" w:rsidRPr="00D13A92" w:rsidRDefault="000E3652" w:rsidP="00FA0C14">
            <w:pPr>
              <w:jc w:val="center"/>
              <w:rPr>
                <w:sz w:val="16"/>
                <w:szCs w:val="16"/>
              </w:rPr>
            </w:pPr>
            <w:r w:rsidRPr="00D13A92">
              <w:rPr>
                <w:rFonts w:eastAsia="Times New Roman"/>
                <w:sz w:val="16"/>
                <w:szCs w:val="16"/>
              </w:rPr>
              <w:t xml:space="preserve">Packing instruction </w:t>
            </w:r>
          </w:p>
        </w:tc>
        <w:tc>
          <w:tcPr>
            <w:tcW w:w="591" w:type="dxa"/>
            <w:tcBorders>
              <w:top w:val="nil"/>
              <w:left w:val="single" w:sz="8" w:space="0" w:color="auto"/>
              <w:bottom w:val="single" w:sz="8" w:space="0" w:color="auto"/>
              <w:right w:val="single" w:sz="8" w:space="0" w:color="auto"/>
            </w:tcBorders>
            <w:vAlign w:val="center"/>
            <w:hideMark/>
          </w:tcPr>
          <w:p w14:paraId="213935FA" w14:textId="77777777" w:rsidR="000E3652" w:rsidRPr="00D13A92" w:rsidRDefault="000E3652" w:rsidP="00FA0C14">
            <w:pPr>
              <w:jc w:val="center"/>
              <w:rPr>
                <w:sz w:val="16"/>
                <w:szCs w:val="16"/>
              </w:rPr>
            </w:pPr>
            <w:r w:rsidRPr="00D13A92">
              <w:rPr>
                <w:rFonts w:eastAsia="Times New Roman"/>
                <w:sz w:val="16"/>
                <w:szCs w:val="16"/>
              </w:rPr>
              <w:t xml:space="preserve">Special packing provisions </w:t>
            </w:r>
          </w:p>
        </w:tc>
        <w:tc>
          <w:tcPr>
            <w:tcW w:w="882" w:type="dxa"/>
            <w:tcBorders>
              <w:top w:val="single" w:sz="8" w:space="0" w:color="auto"/>
              <w:left w:val="single" w:sz="8" w:space="0" w:color="auto"/>
              <w:bottom w:val="single" w:sz="8" w:space="0" w:color="auto"/>
              <w:right w:val="single" w:sz="8" w:space="0" w:color="auto"/>
            </w:tcBorders>
            <w:vAlign w:val="center"/>
            <w:hideMark/>
          </w:tcPr>
          <w:p w14:paraId="2AD86A2C" w14:textId="77777777" w:rsidR="000E3652" w:rsidRPr="00D13A92" w:rsidRDefault="000E3652" w:rsidP="00FA0C14">
            <w:pPr>
              <w:jc w:val="center"/>
              <w:rPr>
                <w:sz w:val="16"/>
                <w:szCs w:val="16"/>
              </w:rPr>
            </w:pPr>
            <w:r w:rsidRPr="00D13A92">
              <w:rPr>
                <w:rFonts w:eastAsia="Times New Roman"/>
                <w:sz w:val="16"/>
                <w:szCs w:val="16"/>
              </w:rPr>
              <w:t xml:space="preserve">Instructions </w:t>
            </w:r>
          </w:p>
        </w:tc>
        <w:tc>
          <w:tcPr>
            <w:tcW w:w="951" w:type="dxa"/>
            <w:tcBorders>
              <w:top w:val="nil"/>
              <w:left w:val="single" w:sz="8" w:space="0" w:color="auto"/>
              <w:bottom w:val="single" w:sz="8" w:space="0" w:color="auto"/>
              <w:right w:val="single" w:sz="8" w:space="0" w:color="auto"/>
            </w:tcBorders>
            <w:vAlign w:val="center"/>
            <w:hideMark/>
          </w:tcPr>
          <w:p w14:paraId="4B6DF639" w14:textId="77777777" w:rsidR="000E3652" w:rsidRPr="00D13A92" w:rsidRDefault="000E3652" w:rsidP="00FA0C14">
            <w:pPr>
              <w:jc w:val="center"/>
              <w:rPr>
                <w:sz w:val="16"/>
                <w:szCs w:val="16"/>
              </w:rPr>
            </w:pPr>
            <w:r w:rsidRPr="00D13A92">
              <w:rPr>
                <w:rFonts w:eastAsia="Times New Roman"/>
                <w:sz w:val="16"/>
                <w:szCs w:val="16"/>
              </w:rPr>
              <w:t xml:space="preserve">Special provisions </w:t>
            </w:r>
          </w:p>
        </w:tc>
      </w:tr>
      <w:tr w:rsidR="000E3652" w14:paraId="201AE36B" w14:textId="77777777" w:rsidTr="00FA0C14">
        <w:trPr>
          <w:trHeight w:val="288"/>
        </w:trPr>
        <w:tc>
          <w:tcPr>
            <w:tcW w:w="660" w:type="dxa"/>
            <w:tcBorders>
              <w:top w:val="nil"/>
              <w:left w:val="single" w:sz="8" w:space="0" w:color="auto"/>
              <w:bottom w:val="single" w:sz="8" w:space="0" w:color="auto"/>
              <w:right w:val="single" w:sz="8" w:space="0" w:color="auto"/>
            </w:tcBorders>
            <w:vAlign w:val="center"/>
          </w:tcPr>
          <w:p w14:paraId="0E66010C" w14:textId="77777777" w:rsidR="000E3652" w:rsidRPr="001C428A" w:rsidRDefault="000E3652" w:rsidP="00FA0C14">
            <w:pPr>
              <w:jc w:val="center"/>
              <w:rPr>
                <w:rFonts w:eastAsia="Times New Roman"/>
                <w:sz w:val="16"/>
                <w:szCs w:val="16"/>
              </w:rPr>
            </w:pPr>
            <w:r w:rsidRPr="001C428A">
              <w:rPr>
                <w:rFonts w:eastAsia="Times New Roman"/>
                <w:sz w:val="16"/>
                <w:szCs w:val="16"/>
              </w:rPr>
              <w:t>(1)</w:t>
            </w:r>
          </w:p>
        </w:tc>
        <w:tc>
          <w:tcPr>
            <w:tcW w:w="2151" w:type="dxa"/>
            <w:tcBorders>
              <w:top w:val="nil"/>
              <w:left w:val="single" w:sz="8" w:space="0" w:color="auto"/>
              <w:bottom w:val="single" w:sz="8" w:space="0" w:color="auto"/>
              <w:right w:val="single" w:sz="8" w:space="0" w:color="auto"/>
            </w:tcBorders>
            <w:vAlign w:val="center"/>
          </w:tcPr>
          <w:p w14:paraId="7A42DD35" w14:textId="77777777" w:rsidR="000E3652" w:rsidRPr="001C428A" w:rsidRDefault="000E3652" w:rsidP="00FA0C14">
            <w:pPr>
              <w:jc w:val="center"/>
              <w:rPr>
                <w:rFonts w:eastAsia="Times New Roman"/>
                <w:sz w:val="16"/>
                <w:szCs w:val="16"/>
                <w:lang w:val="en-US"/>
              </w:rPr>
            </w:pPr>
            <w:r w:rsidRPr="001C428A">
              <w:rPr>
                <w:rFonts w:eastAsia="Times New Roman"/>
                <w:sz w:val="16"/>
                <w:szCs w:val="16"/>
                <w:lang w:val="en-US"/>
              </w:rPr>
              <w:t>(2)</w:t>
            </w:r>
          </w:p>
        </w:tc>
        <w:tc>
          <w:tcPr>
            <w:tcW w:w="628" w:type="dxa"/>
            <w:tcBorders>
              <w:top w:val="nil"/>
              <w:left w:val="single" w:sz="8" w:space="0" w:color="auto"/>
              <w:bottom w:val="single" w:sz="8" w:space="0" w:color="auto"/>
              <w:right w:val="single" w:sz="8" w:space="0" w:color="auto"/>
            </w:tcBorders>
            <w:vAlign w:val="center"/>
          </w:tcPr>
          <w:p w14:paraId="722D2EC4" w14:textId="77777777" w:rsidR="000E3652" w:rsidRPr="001C428A" w:rsidRDefault="000E3652" w:rsidP="00FA0C14">
            <w:pPr>
              <w:jc w:val="center"/>
              <w:rPr>
                <w:rFonts w:eastAsia="Times New Roman"/>
                <w:sz w:val="16"/>
                <w:szCs w:val="16"/>
              </w:rPr>
            </w:pPr>
            <w:r w:rsidRPr="001C428A">
              <w:rPr>
                <w:rFonts w:eastAsia="Times New Roman"/>
                <w:sz w:val="16"/>
                <w:szCs w:val="16"/>
              </w:rPr>
              <w:t>(3)</w:t>
            </w:r>
          </w:p>
        </w:tc>
        <w:tc>
          <w:tcPr>
            <w:tcW w:w="523" w:type="dxa"/>
            <w:tcBorders>
              <w:top w:val="nil"/>
              <w:left w:val="single" w:sz="8" w:space="0" w:color="auto"/>
              <w:bottom w:val="single" w:sz="8" w:space="0" w:color="auto"/>
              <w:right w:val="single" w:sz="8" w:space="0" w:color="auto"/>
            </w:tcBorders>
            <w:vAlign w:val="center"/>
          </w:tcPr>
          <w:p w14:paraId="4A68006D" w14:textId="77777777" w:rsidR="000E3652" w:rsidRPr="001C428A" w:rsidRDefault="000E3652" w:rsidP="00FA0C14">
            <w:pPr>
              <w:jc w:val="center"/>
              <w:rPr>
                <w:rFonts w:eastAsia="Times New Roman"/>
                <w:sz w:val="16"/>
                <w:szCs w:val="16"/>
              </w:rPr>
            </w:pPr>
            <w:r w:rsidRPr="001C428A">
              <w:rPr>
                <w:rFonts w:eastAsia="Times New Roman"/>
                <w:sz w:val="16"/>
                <w:szCs w:val="16"/>
              </w:rPr>
              <w:t>(4)</w:t>
            </w:r>
          </w:p>
        </w:tc>
        <w:tc>
          <w:tcPr>
            <w:tcW w:w="568" w:type="dxa"/>
            <w:tcBorders>
              <w:top w:val="nil"/>
              <w:left w:val="single" w:sz="8" w:space="0" w:color="auto"/>
              <w:bottom w:val="single" w:sz="8" w:space="0" w:color="auto"/>
              <w:right w:val="single" w:sz="8" w:space="0" w:color="auto"/>
            </w:tcBorders>
            <w:vAlign w:val="center"/>
          </w:tcPr>
          <w:p w14:paraId="12E52CBE" w14:textId="77777777" w:rsidR="000E3652" w:rsidRPr="001C428A" w:rsidRDefault="000E3652" w:rsidP="00FA0C14">
            <w:pPr>
              <w:jc w:val="center"/>
              <w:rPr>
                <w:rFonts w:eastAsia="Times New Roman"/>
                <w:sz w:val="16"/>
                <w:szCs w:val="16"/>
              </w:rPr>
            </w:pPr>
            <w:r w:rsidRPr="001C428A">
              <w:rPr>
                <w:rFonts w:eastAsia="Times New Roman"/>
                <w:sz w:val="16"/>
                <w:szCs w:val="16"/>
              </w:rPr>
              <w:t>(5)</w:t>
            </w:r>
          </w:p>
        </w:tc>
        <w:tc>
          <w:tcPr>
            <w:tcW w:w="705" w:type="dxa"/>
            <w:tcBorders>
              <w:top w:val="nil"/>
              <w:left w:val="single" w:sz="8" w:space="0" w:color="auto"/>
              <w:bottom w:val="single" w:sz="8" w:space="0" w:color="auto"/>
              <w:right w:val="single" w:sz="8" w:space="0" w:color="auto"/>
            </w:tcBorders>
            <w:vAlign w:val="center"/>
          </w:tcPr>
          <w:p w14:paraId="7CF23203" w14:textId="77777777" w:rsidR="000E3652" w:rsidRPr="001C428A" w:rsidRDefault="000E3652" w:rsidP="00FA0C14">
            <w:pPr>
              <w:jc w:val="center"/>
              <w:rPr>
                <w:rFonts w:eastAsia="Times New Roman"/>
                <w:sz w:val="16"/>
                <w:szCs w:val="16"/>
              </w:rPr>
            </w:pPr>
            <w:r w:rsidRPr="001C428A">
              <w:rPr>
                <w:rFonts w:eastAsia="Times New Roman"/>
                <w:sz w:val="16"/>
                <w:szCs w:val="16"/>
              </w:rPr>
              <w:t>(6)</w:t>
            </w:r>
          </w:p>
        </w:tc>
        <w:tc>
          <w:tcPr>
            <w:tcW w:w="522" w:type="dxa"/>
            <w:tcBorders>
              <w:top w:val="nil"/>
              <w:left w:val="single" w:sz="8" w:space="0" w:color="auto"/>
              <w:bottom w:val="single" w:sz="8" w:space="0" w:color="auto"/>
              <w:right w:val="single" w:sz="8" w:space="0" w:color="auto"/>
            </w:tcBorders>
            <w:vAlign w:val="center"/>
          </w:tcPr>
          <w:p w14:paraId="727597BF" w14:textId="77777777" w:rsidR="000E3652" w:rsidRPr="001C428A" w:rsidRDefault="000E3652" w:rsidP="00FA0C14">
            <w:pPr>
              <w:jc w:val="center"/>
              <w:rPr>
                <w:rFonts w:eastAsia="Times New Roman"/>
                <w:sz w:val="16"/>
                <w:szCs w:val="16"/>
              </w:rPr>
            </w:pPr>
            <w:r w:rsidRPr="001C428A">
              <w:rPr>
                <w:rFonts w:eastAsia="Times New Roman"/>
                <w:sz w:val="16"/>
                <w:szCs w:val="16"/>
              </w:rPr>
              <w:t>(7a)</w:t>
            </w:r>
          </w:p>
        </w:tc>
        <w:tc>
          <w:tcPr>
            <w:tcW w:w="470" w:type="dxa"/>
            <w:tcBorders>
              <w:top w:val="nil"/>
              <w:left w:val="single" w:sz="8" w:space="0" w:color="auto"/>
              <w:bottom w:val="single" w:sz="8" w:space="0" w:color="auto"/>
              <w:right w:val="single" w:sz="8" w:space="0" w:color="auto"/>
            </w:tcBorders>
            <w:vAlign w:val="center"/>
          </w:tcPr>
          <w:p w14:paraId="244B6191" w14:textId="77777777" w:rsidR="000E3652" w:rsidRPr="001C428A" w:rsidRDefault="000E3652" w:rsidP="00FA0C14">
            <w:pPr>
              <w:jc w:val="center"/>
              <w:rPr>
                <w:rFonts w:eastAsia="Times New Roman"/>
                <w:sz w:val="16"/>
                <w:szCs w:val="16"/>
              </w:rPr>
            </w:pPr>
            <w:r w:rsidRPr="001C428A">
              <w:rPr>
                <w:rFonts w:eastAsia="Times New Roman"/>
                <w:sz w:val="16"/>
                <w:szCs w:val="16"/>
              </w:rPr>
              <w:t>(7b)</w:t>
            </w:r>
          </w:p>
        </w:tc>
        <w:tc>
          <w:tcPr>
            <w:tcW w:w="567" w:type="dxa"/>
            <w:tcBorders>
              <w:top w:val="single" w:sz="8" w:space="0" w:color="auto"/>
              <w:left w:val="single" w:sz="8" w:space="0" w:color="auto"/>
              <w:bottom w:val="single" w:sz="8" w:space="0" w:color="auto"/>
              <w:right w:val="single" w:sz="8" w:space="0" w:color="auto"/>
            </w:tcBorders>
            <w:vAlign w:val="center"/>
          </w:tcPr>
          <w:p w14:paraId="7AEAAFCB" w14:textId="77777777" w:rsidR="000E3652" w:rsidRPr="001C428A" w:rsidRDefault="000E3652" w:rsidP="00FA0C14">
            <w:pPr>
              <w:jc w:val="center"/>
              <w:rPr>
                <w:rFonts w:eastAsia="Times New Roman"/>
                <w:sz w:val="16"/>
                <w:szCs w:val="16"/>
              </w:rPr>
            </w:pPr>
            <w:r w:rsidRPr="001C428A">
              <w:rPr>
                <w:rFonts w:eastAsia="Times New Roman"/>
                <w:sz w:val="16"/>
                <w:szCs w:val="16"/>
              </w:rPr>
              <w:t>(8)</w:t>
            </w:r>
          </w:p>
        </w:tc>
        <w:tc>
          <w:tcPr>
            <w:tcW w:w="591" w:type="dxa"/>
            <w:tcBorders>
              <w:top w:val="single" w:sz="8" w:space="0" w:color="auto"/>
              <w:left w:val="single" w:sz="8" w:space="0" w:color="auto"/>
              <w:bottom w:val="single" w:sz="8" w:space="0" w:color="auto"/>
              <w:right w:val="single" w:sz="8" w:space="0" w:color="auto"/>
            </w:tcBorders>
            <w:vAlign w:val="center"/>
          </w:tcPr>
          <w:p w14:paraId="186700D3" w14:textId="77777777" w:rsidR="000E3652" w:rsidRPr="001C428A" w:rsidRDefault="000E3652" w:rsidP="00FA0C14">
            <w:pPr>
              <w:jc w:val="center"/>
              <w:rPr>
                <w:rFonts w:eastAsia="Times New Roman"/>
                <w:sz w:val="16"/>
                <w:szCs w:val="16"/>
              </w:rPr>
            </w:pPr>
            <w:r w:rsidRPr="001C428A">
              <w:rPr>
                <w:rFonts w:eastAsia="Times New Roman"/>
                <w:sz w:val="16"/>
                <w:szCs w:val="16"/>
              </w:rPr>
              <w:t>(9)</w:t>
            </w:r>
          </w:p>
        </w:tc>
        <w:tc>
          <w:tcPr>
            <w:tcW w:w="882" w:type="dxa"/>
            <w:tcBorders>
              <w:top w:val="single" w:sz="8" w:space="0" w:color="auto"/>
              <w:left w:val="single" w:sz="8" w:space="0" w:color="auto"/>
              <w:bottom w:val="single" w:sz="8" w:space="0" w:color="auto"/>
              <w:right w:val="single" w:sz="8" w:space="0" w:color="auto"/>
            </w:tcBorders>
            <w:vAlign w:val="center"/>
          </w:tcPr>
          <w:p w14:paraId="42975EB7" w14:textId="77777777" w:rsidR="000E3652" w:rsidRPr="001C428A" w:rsidRDefault="000E3652" w:rsidP="00FA0C14">
            <w:pPr>
              <w:jc w:val="center"/>
              <w:rPr>
                <w:rFonts w:eastAsia="Times New Roman"/>
                <w:sz w:val="16"/>
                <w:szCs w:val="16"/>
              </w:rPr>
            </w:pPr>
            <w:r w:rsidRPr="001C428A">
              <w:rPr>
                <w:rFonts w:eastAsia="Times New Roman"/>
                <w:sz w:val="16"/>
                <w:szCs w:val="16"/>
              </w:rPr>
              <w:t>(10)</w:t>
            </w:r>
          </w:p>
        </w:tc>
        <w:tc>
          <w:tcPr>
            <w:tcW w:w="951" w:type="dxa"/>
            <w:tcBorders>
              <w:top w:val="single" w:sz="8" w:space="0" w:color="auto"/>
              <w:left w:val="single" w:sz="8" w:space="0" w:color="auto"/>
              <w:bottom w:val="single" w:sz="8" w:space="0" w:color="auto"/>
              <w:right w:val="single" w:sz="8" w:space="0" w:color="auto"/>
            </w:tcBorders>
            <w:vAlign w:val="center"/>
          </w:tcPr>
          <w:p w14:paraId="441977EF" w14:textId="77777777" w:rsidR="000E3652" w:rsidRPr="001C428A" w:rsidRDefault="000E3652" w:rsidP="00FA0C14">
            <w:pPr>
              <w:jc w:val="center"/>
              <w:rPr>
                <w:rFonts w:eastAsia="Times New Roman"/>
                <w:sz w:val="16"/>
                <w:szCs w:val="16"/>
              </w:rPr>
            </w:pPr>
            <w:r w:rsidRPr="001C428A">
              <w:rPr>
                <w:rFonts w:eastAsia="Times New Roman"/>
                <w:sz w:val="16"/>
                <w:szCs w:val="16"/>
              </w:rPr>
              <w:t>(11)</w:t>
            </w:r>
          </w:p>
        </w:tc>
      </w:tr>
      <w:tr w:rsidR="000E3652" w14:paraId="781EF990" w14:textId="77777777" w:rsidTr="00FA0C14">
        <w:trPr>
          <w:trHeight w:val="840"/>
        </w:trPr>
        <w:tc>
          <w:tcPr>
            <w:tcW w:w="660" w:type="dxa"/>
            <w:tcBorders>
              <w:top w:val="nil"/>
              <w:left w:val="single" w:sz="8" w:space="0" w:color="auto"/>
              <w:bottom w:val="single" w:sz="8" w:space="0" w:color="auto"/>
              <w:right w:val="single" w:sz="8" w:space="0" w:color="auto"/>
            </w:tcBorders>
            <w:hideMark/>
          </w:tcPr>
          <w:p w14:paraId="4293404F" w14:textId="77777777" w:rsidR="000E3652" w:rsidRDefault="000E3652" w:rsidP="00FA0C14">
            <w:pPr>
              <w:jc w:val="both"/>
            </w:pPr>
            <w:r>
              <w:rPr>
                <w:rFonts w:eastAsia="Times New Roman"/>
                <w:sz w:val="18"/>
                <w:szCs w:val="18"/>
                <w:u w:val="single"/>
              </w:rPr>
              <w:t>1835</w:t>
            </w:r>
            <w:r>
              <w:rPr>
                <w:rFonts w:eastAsia="Times New Roman"/>
                <w:sz w:val="18"/>
                <w:szCs w:val="18"/>
              </w:rPr>
              <w:t xml:space="preserve"> </w:t>
            </w:r>
          </w:p>
        </w:tc>
        <w:tc>
          <w:tcPr>
            <w:tcW w:w="2151" w:type="dxa"/>
            <w:tcBorders>
              <w:top w:val="nil"/>
              <w:left w:val="single" w:sz="8" w:space="0" w:color="auto"/>
              <w:bottom w:val="single" w:sz="8" w:space="0" w:color="auto"/>
              <w:right w:val="single" w:sz="8" w:space="0" w:color="auto"/>
            </w:tcBorders>
            <w:hideMark/>
          </w:tcPr>
          <w:p w14:paraId="2616F8A2" w14:textId="77777777" w:rsidR="000E3652" w:rsidRPr="009025E8" w:rsidRDefault="000E3652" w:rsidP="00FA0C14">
            <w:r w:rsidRPr="009025E8">
              <w:rPr>
                <w:rFonts w:eastAsia="Times New Roman"/>
                <w:sz w:val="18"/>
                <w:szCs w:val="18"/>
                <w:lang w:val="en-US"/>
              </w:rPr>
              <w:t>TETRAMETHYLAMMONIUM</w:t>
            </w:r>
            <w:r w:rsidRPr="009025E8">
              <w:rPr>
                <w:rFonts w:eastAsia="Times New Roman"/>
                <w:sz w:val="18"/>
                <w:szCs w:val="18"/>
              </w:rPr>
              <w:t xml:space="preserve"> </w:t>
            </w:r>
          </w:p>
          <w:p w14:paraId="5A4D21D6" w14:textId="77777777" w:rsidR="000E3652" w:rsidRDefault="000E3652" w:rsidP="00FA0C14">
            <w:r w:rsidRPr="009025E8">
              <w:rPr>
                <w:rFonts w:eastAsia="Times New Roman"/>
                <w:sz w:val="18"/>
                <w:szCs w:val="18"/>
                <w:lang w:val="en-US"/>
              </w:rPr>
              <w:t>HYDROXIDE</w:t>
            </w:r>
            <w:r>
              <w:rPr>
                <w:rFonts w:eastAsia="Times New Roman"/>
                <w:sz w:val="18"/>
                <w:szCs w:val="18"/>
                <w:u w:val="single"/>
                <w:lang w:val="en-US"/>
              </w:rPr>
              <w:t xml:space="preserve"> AQUEOUS</w:t>
            </w:r>
            <w:r w:rsidRPr="009025E8">
              <w:rPr>
                <w:rFonts w:eastAsia="Times New Roman"/>
                <w:sz w:val="18"/>
                <w:szCs w:val="18"/>
                <w:lang w:val="en-US"/>
              </w:rPr>
              <w:t xml:space="preserve"> SOLUTION</w:t>
            </w:r>
            <w:r>
              <w:rPr>
                <w:rFonts w:eastAsia="Times New Roman"/>
                <w:sz w:val="18"/>
                <w:szCs w:val="18"/>
                <w:u w:val="single"/>
                <w:lang w:val="en-US"/>
              </w:rPr>
              <w:t xml:space="preserve"> with more than 25% tetramethylammonium hydroxide</w:t>
            </w:r>
            <w:r>
              <w:rPr>
                <w:rFonts w:eastAsia="Times New Roman"/>
                <w:sz w:val="18"/>
                <w:szCs w:val="18"/>
              </w:rPr>
              <w:t xml:space="preserve"> </w:t>
            </w:r>
          </w:p>
        </w:tc>
        <w:tc>
          <w:tcPr>
            <w:tcW w:w="628" w:type="dxa"/>
            <w:tcBorders>
              <w:top w:val="nil"/>
              <w:left w:val="single" w:sz="8" w:space="0" w:color="auto"/>
              <w:bottom w:val="single" w:sz="8" w:space="0" w:color="auto"/>
              <w:right w:val="single" w:sz="8" w:space="0" w:color="auto"/>
            </w:tcBorders>
            <w:hideMark/>
          </w:tcPr>
          <w:p w14:paraId="5C17F76A" w14:textId="77777777" w:rsidR="000E3652" w:rsidRDefault="000E3652" w:rsidP="00FA0C14">
            <w:pPr>
              <w:jc w:val="center"/>
            </w:pPr>
            <w:r>
              <w:rPr>
                <w:rFonts w:eastAsia="Times New Roman"/>
                <w:sz w:val="18"/>
                <w:szCs w:val="18"/>
                <w:u w:val="single"/>
              </w:rPr>
              <w:t>6.1</w:t>
            </w:r>
            <w:r>
              <w:rPr>
                <w:rFonts w:eastAsia="Times New Roman"/>
                <w:sz w:val="18"/>
                <w:szCs w:val="18"/>
              </w:rPr>
              <w:t xml:space="preserve"> </w:t>
            </w:r>
          </w:p>
        </w:tc>
        <w:tc>
          <w:tcPr>
            <w:tcW w:w="523" w:type="dxa"/>
            <w:tcBorders>
              <w:top w:val="nil"/>
              <w:left w:val="single" w:sz="8" w:space="0" w:color="auto"/>
              <w:bottom w:val="single" w:sz="8" w:space="0" w:color="auto"/>
              <w:right w:val="single" w:sz="8" w:space="0" w:color="auto"/>
            </w:tcBorders>
            <w:hideMark/>
          </w:tcPr>
          <w:p w14:paraId="1E7B9432" w14:textId="77777777" w:rsidR="000E3652" w:rsidRDefault="000E3652" w:rsidP="00FA0C14">
            <w:pPr>
              <w:jc w:val="center"/>
            </w:pPr>
            <w:r>
              <w:rPr>
                <w:rFonts w:eastAsia="Times New Roman"/>
                <w:sz w:val="18"/>
                <w:szCs w:val="18"/>
                <w:u w:val="single"/>
              </w:rPr>
              <w:t>8</w:t>
            </w:r>
            <w:r>
              <w:rPr>
                <w:rFonts w:eastAsia="Times New Roman"/>
                <w:sz w:val="18"/>
                <w:szCs w:val="18"/>
              </w:rPr>
              <w:t xml:space="preserve"> </w:t>
            </w:r>
          </w:p>
        </w:tc>
        <w:tc>
          <w:tcPr>
            <w:tcW w:w="568" w:type="dxa"/>
            <w:tcBorders>
              <w:top w:val="nil"/>
              <w:left w:val="single" w:sz="8" w:space="0" w:color="auto"/>
              <w:bottom w:val="single" w:sz="8" w:space="0" w:color="auto"/>
              <w:right w:val="single" w:sz="8" w:space="0" w:color="auto"/>
            </w:tcBorders>
            <w:hideMark/>
          </w:tcPr>
          <w:p w14:paraId="05F11138" w14:textId="77777777" w:rsidR="000E3652" w:rsidRDefault="000E3652" w:rsidP="00FA0C14">
            <w:pPr>
              <w:jc w:val="center"/>
            </w:pPr>
            <w:r>
              <w:rPr>
                <w:rFonts w:eastAsia="Times New Roman"/>
                <w:sz w:val="18"/>
                <w:szCs w:val="18"/>
                <w:u w:val="single"/>
              </w:rPr>
              <w:t>I</w:t>
            </w:r>
            <w:r>
              <w:rPr>
                <w:rFonts w:eastAsia="Times New Roman"/>
                <w:sz w:val="18"/>
                <w:szCs w:val="18"/>
              </w:rPr>
              <w:t xml:space="preserve"> </w:t>
            </w:r>
          </w:p>
        </w:tc>
        <w:tc>
          <w:tcPr>
            <w:tcW w:w="705" w:type="dxa"/>
            <w:tcBorders>
              <w:top w:val="nil"/>
              <w:left w:val="single" w:sz="8" w:space="0" w:color="auto"/>
              <w:bottom w:val="single" w:sz="8" w:space="0" w:color="auto"/>
              <w:right w:val="single" w:sz="8" w:space="0" w:color="auto"/>
            </w:tcBorders>
            <w:hideMark/>
          </w:tcPr>
          <w:p w14:paraId="0C2E36A9" w14:textId="77777777" w:rsidR="000E3652" w:rsidRDefault="000E3652" w:rsidP="00FA0C14">
            <w:pPr>
              <w:jc w:val="center"/>
              <w:rPr>
                <w:rFonts w:eastAsia="Times New Roman"/>
                <w:sz w:val="18"/>
                <w:szCs w:val="18"/>
                <w:u w:val="single"/>
              </w:rPr>
            </w:pPr>
            <w:r w:rsidRPr="0033513F">
              <w:rPr>
                <w:rFonts w:eastAsia="Times New Roman"/>
                <w:sz w:val="18"/>
                <w:szCs w:val="18"/>
                <w:u w:val="single"/>
              </w:rPr>
              <w:t>279</w:t>
            </w:r>
          </w:p>
          <w:p w14:paraId="63F3B667" w14:textId="77777777" w:rsidR="000E3652" w:rsidRDefault="000E3652" w:rsidP="00FA0C14">
            <w:pPr>
              <w:jc w:val="center"/>
              <w:rPr>
                <w:rFonts w:eastAsia="Times New Roman"/>
                <w:sz w:val="18"/>
                <w:szCs w:val="18"/>
              </w:rPr>
            </w:pPr>
            <w:r>
              <w:rPr>
                <w:rFonts w:eastAsia="Times New Roman"/>
                <w:sz w:val="18"/>
                <w:szCs w:val="18"/>
                <w:u w:val="single"/>
              </w:rPr>
              <w:t>XXX</w:t>
            </w:r>
          </w:p>
        </w:tc>
        <w:tc>
          <w:tcPr>
            <w:tcW w:w="522" w:type="dxa"/>
            <w:tcBorders>
              <w:top w:val="nil"/>
              <w:left w:val="single" w:sz="8" w:space="0" w:color="auto"/>
              <w:bottom w:val="single" w:sz="8" w:space="0" w:color="auto"/>
              <w:right w:val="single" w:sz="8" w:space="0" w:color="auto"/>
            </w:tcBorders>
            <w:hideMark/>
          </w:tcPr>
          <w:p w14:paraId="17A9726D" w14:textId="77777777" w:rsidR="000E3652" w:rsidRDefault="000E3652" w:rsidP="00FA0C14">
            <w:pPr>
              <w:jc w:val="center"/>
              <w:rPr>
                <w:rFonts w:asciiTheme="minorHAnsi" w:eastAsiaTheme="minorEastAsia" w:hAnsiTheme="minorHAnsi" w:cstheme="minorBidi"/>
                <w:sz w:val="22"/>
                <w:szCs w:val="22"/>
              </w:rPr>
            </w:pPr>
            <w:r>
              <w:rPr>
                <w:rFonts w:eastAsia="Times New Roman"/>
                <w:sz w:val="18"/>
                <w:szCs w:val="18"/>
                <w:u w:val="single"/>
              </w:rPr>
              <w:t>0</w:t>
            </w:r>
            <w:r>
              <w:rPr>
                <w:rFonts w:eastAsia="Times New Roman"/>
                <w:sz w:val="18"/>
                <w:szCs w:val="18"/>
              </w:rPr>
              <w:t xml:space="preserve"> </w:t>
            </w:r>
          </w:p>
        </w:tc>
        <w:tc>
          <w:tcPr>
            <w:tcW w:w="470" w:type="dxa"/>
            <w:tcBorders>
              <w:top w:val="nil"/>
              <w:left w:val="single" w:sz="8" w:space="0" w:color="auto"/>
              <w:bottom w:val="single" w:sz="8" w:space="0" w:color="auto"/>
              <w:right w:val="single" w:sz="8" w:space="0" w:color="auto"/>
            </w:tcBorders>
            <w:hideMark/>
          </w:tcPr>
          <w:p w14:paraId="5A976D61" w14:textId="77777777" w:rsidR="000E3652" w:rsidRDefault="000E3652" w:rsidP="00FA0C14">
            <w:pPr>
              <w:jc w:val="center"/>
            </w:pPr>
            <w:r>
              <w:rPr>
                <w:rFonts w:eastAsia="Times New Roman"/>
                <w:sz w:val="18"/>
                <w:szCs w:val="18"/>
                <w:u w:val="single"/>
              </w:rPr>
              <w:t>E5</w:t>
            </w:r>
            <w:r>
              <w:rPr>
                <w:rFonts w:eastAsia="Times New Roman"/>
                <w:sz w:val="18"/>
                <w:szCs w:val="18"/>
              </w:rPr>
              <w:t xml:space="preserve"> </w:t>
            </w:r>
          </w:p>
        </w:tc>
        <w:tc>
          <w:tcPr>
            <w:tcW w:w="567" w:type="dxa"/>
            <w:tcBorders>
              <w:top w:val="single" w:sz="8" w:space="0" w:color="auto"/>
              <w:left w:val="single" w:sz="8" w:space="0" w:color="auto"/>
              <w:bottom w:val="single" w:sz="8" w:space="0" w:color="auto"/>
              <w:right w:val="single" w:sz="8" w:space="0" w:color="auto"/>
            </w:tcBorders>
            <w:hideMark/>
          </w:tcPr>
          <w:p w14:paraId="7E4BFB66" w14:textId="77777777" w:rsidR="000E3652" w:rsidRDefault="000E3652" w:rsidP="00FA0C14">
            <w:pPr>
              <w:jc w:val="center"/>
            </w:pPr>
            <w:r>
              <w:rPr>
                <w:rFonts w:eastAsia="Times New Roman"/>
                <w:sz w:val="18"/>
                <w:szCs w:val="18"/>
                <w:u w:val="single"/>
              </w:rPr>
              <w:t>P001</w:t>
            </w:r>
            <w:r>
              <w:rPr>
                <w:rFonts w:eastAsia="Times New Roman"/>
                <w:sz w:val="18"/>
                <w:szCs w:val="18"/>
              </w:rPr>
              <w:t xml:space="preserve"> </w:t>
            </w:r>
          </w:p>
          <w:p w14:paraId="43F87E1A" w14:textId="77777777" w:rsidR="000E3652" w:rsidRDefault="000E3652" w:rsidP="00FA0C14">
            <w:pPr>
              <w:jc w:val="center"/>
            </w:pPr>
            <w:r>
              <w:rPr>
                <w:rFonts w:eastAsia="Times New Roman"/>
                <w:sz w:val="18"/>
                <w:szCs w:val="18"/>
              </w:rPr>
              <w:t xml:space="preserve">  </w:t>
            </w:r>
          </w:p>
        </w:tc>
        <w:tc>
          <w:tcPr>
            <w:tcW w:w="591" w:type="dxa"/>
            <w:tcBorders>
              <w:top w:val="single" w:sz="8" w:space="0" w:color="auto"/>
              <w:left w:val="single" w:sz="8" w:space="0" w:color="auto"/>
              <w:bottom w:val="single" w:sz="8" w:space="0" w:color="auto"/>
              <w:right w:val="single" w:sz="8" w:space="0" w:color="auto"/>
            </w:tcBorders>
            <w:hideMark/>
          </w:tcPr>
          <w:p w14:paraId="2F0A83A3" w14:textId="77777777" w:rsidR="000E3652" w:rsidRDefault="000E3652" w:rsidP="00FA0C14">
            <w:r>
              <w:rPr>
                <w:rFonts w:eastAsia="Times New Roman"/>
                <w:sz w:val="18"/>
                <w:szCs w:val="18"/>
              </w:rPr>
              <w:t xml:space="preserve">  </w:t>
            </w:r>
          </w:p>
        </w:tc>
        <w:tc>
          <w:tcPr>
            <w:tcW w:w="882" w:type="dxa"/>
            <w:tcBorders>
              <w:top w:val="single" w:sz="8" w:space="0" w:color="auto"/>
              <w:left w:val="single" w:sz="8" w:space="0" w:color="auto"/>
              <w:bottom w:val="single" w:sz="8" w:space="0" w:color="auto"/>
              <w:right w:val="single" w:sz="8" w:space="0" w:color="auto"/>
            </w:tcBorders>
            <w:hideMark/>
          </w:tcPr>
          <w:p w14:paraId="4168D609" w14:textId="77777777" w:rsidR="000E3652" w:rsidRDefault="000E3652" w:rsidP="00FA0C14">
            <w:pPr>
              <w:jc w:val="center"/>
            </w:pPr>
            <w:r>
              <w:rPr>
                <w:rFonts w:eastAsia="Times New Roman"/>
                <w:sz w:val="18"/>
                <w:szCs w:val="18"/>
                <w:u w:val="single"/>
              </w:rPr>
              <w:t>T14</w:t>
            </w:r>
            <w:r>
              <w:rPr>
                <w:rFonts w:eastAsia="Times New Roman"/>
                <w:sz w:val="18"/>
                <w:szCs w:val="18"/>
              </w:rPr>
              <w:t xml:space="preserve"> </w:t>
            </w:r>
          </w:p>
        </w:tc>
        <w:tc>
          <w:tcPr>
            <w:tcW w:w="951" w:type="dxa"/>
            <w:tcBorders>
              <w:top w:val="single" w:sz="8" w:space="0" w:color="auto"/>
              <w:left w:val="single" w:sz="8" w:space="0" w:color="auto"/>
              <w:bottom w:val="single" w:sz="8" w:space="0" w:color="auto"/>
              <w:right w:val="single" w:sz="8" w:space="0" w:color="auto"/>
            </w:tcBorders>
            <w:hideMark/>
          </w:tcPr>
          <w:p w14:paraId="6DE7FE98" w14:textId="77777777" w:rsidR="000E3652" w:rsidRDefault="000E3652" w:rsidP="00FA0C14">
            <w:pPr>
              <w:jc w:val="center"/>
            </w:pPr>
            <w:r>
              <w:rPr>
                <w:rFonts w:eastAsia="Times New Roman"/>
                <w:sz w:val="18"/>
                <w:szCs w:val="18"/>
                <w:u w:val="single"/>
              </w:rPr>
              <w:t>TP2</w:t>
            </w:r>
            <w:r>
              <w:rPr>
                <w:rFonts w:eastAsia="Times New Roman"/>
                <w:sz w:val="18"/>
                <w:szCs w:val="18"/>
              </w:rPr>
              <w:t xml:space="preserve"> </w:t>
            </w:r>
          </w:p>
        </w:tc>
      </w:tr>
      <w:tr w:rsidR="000E3652" w14:paraId="2BD0CD01" w14:textId="77777777" w:rsidTr="00FA0C14">
        <w:trPr>
          <w:trHeight w:val="840"/>
        </w:trPr>
        <w:tc>
          <w:tcPr>
            <w:tcW w:w="660" w:type="dxa"/>
            <w:tcBorders>
              <w:top w:val="single" w:sz="8" w:space="0" w:color="auto"/>
              <w:left w:val="single" w:sz="8" w:space="0" w:color="auto"/>
              <w:bottom w:val="single" w:sz="8" w:space="0" w:color="auto"/>
              <w:right w:val="single" w:sz="8" w:space="0" w:color="auto"/>
            </w:tcBorders>
            <w:hideMark/>
          </w:tcPr>
          <w:p w14:paraId="5758FC54" w14:textId="77777777" w:rsidR="000E3652" w:rsidRDefault="000E3652" w:rsidP="00FA0C14">
            <w:pPr>
              <w:jc w:val="both"/>
            </w:pPr>
            <w:r>
              <w:rPr>
                <w:rFonts w:eastAsia="Times New Roman"/>
                <w:sz w:val="18"/>
                <w:szCs w:val="18"/>
              </w:rPr>
              <w:t xml:space="preserve">1835 </w:t>
            </w:r>
          </w:p>
        </w:tc>
        <w:tc>
          <w:tcPr>
            <w:tcW w:w="2151" w:type="dxa"/>
            <w:tcBorders>
              <w:top w:val="single" w:sz="8" w:space="0" w:color="auto"/>
              <w:left w:val="single" w:sz="8" w:space="0" w:color="auto"/>
              <w:bottom w:val="single" w:sz="8" w:space="0" w:color="auto"/>
              <w:right w:val="single" w:sz="8" w:space="0" w:color="auto"/>
            </w:tcBorders>
            <w:hideMark/>
          </w:tcPr>
          <w:p w14:paraId="0BD4F577" w14:textId="77777777" w:rsidR="000E3652" w:rsidRPr="00E70B86" w:rsidRDefault="000E3652" w:rsidP="00FA0C14">
            <w:pPr>
              <w:rPr>
                <w:rFonts w:eastAsia="Times New Roman"/>
                <w:sz w:val="18"/>
                <w:szCs w:val="18"/>
              </w:rPr>
            </w:pPr>
            <w:r w:rsidRPr="00E70B86">
              <w:rPr>
                <w:rFonts w:eastAsia="Times New Roman"/>
                <w:sz w:val="18"/>
                <w:szCs w:val="18"/>
                <w:lang w:val="en-US"/>
              </w:rPr>
              <w:t>TETRAMETHYLAMMONIUM</w:t>
            </w:r>
            <w:r w:rsidRPr="00E70B86">
              <w:rPr>
                <w:rFonts w:eastAsia="Times New Roman"/>
                <w:sz w:val="18"/>
                <w:szCs w:val="18"/>
              </w:rPr>
              <w:t xml:space="preserve"> </w:t>
            </w:r>
          </w:p>
          <w:p w14:paraId="03D98CA2" w14:textId="67A4BD2A" w:rsidR="000E3652" w:rsidRPr="00E70B86" w:rsidRDefault="000E3652" w:rsidP="00FA0C14">
            <w:pPr>
              <w:rPr>
                <w:rFonts w:eastAsia="Times New Roman"/>
                <w:sz w:val="18"/>
                <w:szCs w:val="18"/>
              </w:rPr>
            </w:pPr>
            <w:r w:rsidRPr="00E70B86">
              <w:rPr>
                <w:rFonts w:eastAsia="Times New Roman"/>
                <w:sz w:val="18"/>
                <w:szCs w:val="18"/>
                <w:lang w:val="en-US"/>
              </w:rPr>
              <w:t xml:space="preserve">HYDROXIDE </w:t>
            </w:r>
            <w:r>
              <w:rPr>
                <w:rFonts w:eastAsia="Times New Roman"/>
                <w:sz w:val="18"/>
                <w:szCs w:val="18"/>
                <w:u w:val="single"/>
                <w:lang w:val="en-US"/>
              </w:rPr>
              <w:t xml:space="preserve">AQUEOUS </w:t>
            </w:r>
            <w:r w:rsidRPr="00E70B86">
              <w:rPr>
                <w:rFonts w:eastAsia="Times New Roman"/>
                <w:sz w:val="18"/>
                <w:szCs w:val="18"/>
                <w:lang w:val="en-US"/>
              </w:rPr>
              <w:t>SOLUTION</w:t>
            </w:r>
            <w:r w:rsidRPr="00E70B86">
              <w:rPr>
                <w:rFonts w:eastAsia="Times New Roman"/>
                <w:sz w:val="18"/>
                <w:szCs w:val="18"/>
                <w:u w:val="single"/>
                <w:lang w:val="en-US"/>
              </w:rPr>
              <w:t xml:space="preserve"> with not less than 2.5 % but </w:t>
            </w:r>
            <w:r>
              <w:rPr>
                <w:rFonts w:eastAsia="Times New Roman"/>
                <w:sz w:val="18"/>
                <w:szCs w:val="18"/>
                <w:u w:val="single"/>
                <w:lang w:val="en-US"/>
              </w:rPr>
              <w:t>not more</w:t>
            </w:r>
            <w:r w:rsidRPr="00E70B86">
              <w:rPr>
                <w:rFonts w:eastAsia="Times New Roman"/>
                <w:sz w:val="18"/>
                <w:szCs w:val="18"/>
                <w:u w:val="single"/>
                <w:lang w:val="en-US"/>
              </w:rPr>
              <w:t xml:space="preserve"> than 25 % tetramethylammonium hydroxide</w:t>
            </w:r>
            <w:r w:rsidRPr="00E70B86">
              <w:rPr>
                <w:rFonts w:eastAsia="Times New Roman"/>
                <w:sz w:val="18"/>
                <w:szCs w:val="18"/>
              </w:rPr>
              <w:t xml:space="preserve"> </w:t>
            </w:r>
          </w:p>
        </w:tc>
        <w:tc>
          <w:tcPr>
            <w:tcW w:w="628" w:type="dxa"/>
            <w:tcBorders>
              <w:top w:val="single" w:sz="8" w:space="0" w:color="auto"/>
              <w:left w:val="single" w:sz="8" w:space="0" w:color="auto"/>
              <w:bottom w:val="single" w:sz="8" w:space="0" w:color="auto"/>
              <w:right w:val="single" w:sz="8" w:space="0" w:color="auto"/>
            </w:tcBorders>
            <w:hideMark/>
          </w:tcPr>
          <w:p w14:paraId="4BF4D162" w14:textId="77777777" w:rsidR="000E3652" w:rsidRPr="00E70B86" w:rsidRDefault="000E3652" w:rsidP="00FA0C14">
            <w:pPr>
              <w:jc w:val="center"/>
              <w:rPr>
                <w:rFonts w:eastAsia="Times New Roman"/>
                <w:sz w:val="18"/>
                <w:szCs w:val="18"/>
              </w:rPr>
            </w:pPr>
            <w:r w:rsidRPr="00E70B86">
              <w:rPr>
                <w:rFonts w:eastAsia="Times New Roman"/>
                <w:sz w:val="18"/>
                <w:szCs w:val="18"/>
              </w:rPr>
              <w:t>8</w:t>
            </w:r>
          </w:p>
        </w:tc>
        <w:tc>
          <w:tcPr>
            <w:tcW w:w="523" w:type="dxa"/>
            <w:tcBorders>
              <w:top w:val="single" w:sz="8" w:space="0" w:color="auto"/>
              <w:left w:val="single" w:sz="8" w:space="0" w:color="auto"/>
              <w:bottom w:val="single" w:sz="8" w:space="0" w:color="auto"/>
              <w:right w:val="single" w:sz="8" w:space="0" w:color="auto"/>
            </w:tcBorders>
            <w:hideMark/>
          </w:tcPr>
          <w:p w14:paraId="0A116EBA" w14:textId="77777777" w:rsidR="000E3652" w:rsidRPr="00E70B86" w:rsidRDefault="000E3652" w:rsidP="00FA0C14">
            <w:pPr>
              <w:jc w:val="center"/>
              <w:rPr>
                <w:rFonts w:eastAsia="Times New Roman"/>
                <w:sz w:val="18"/>
                <w:szCs w:val="18"/>
                <w:u w:val="single"/>
              </w:rPr>
            </w:pPr>
            <w:r w:rsidRPr="00E70B86">
              <w:rPr>
                <w:rFonts w:eastAsia="Times New Roman"/>
                <w:sz w:val="18"/>
                <w:szCs w:val="18"/>
                <w:u w:val="single"/>
              </w:rPr>
              <w:t xml:space="preserve">6.1 </w:t>
            </w:r>
          </w:p>
        </w:tc>
        <w:tc>
          <w:tcPr>
            <w:tcW w:w="568" w:type="dxa"/>
            <w:tcBorders>
              <w:top w:val="single" w:sz="8" w:space="0" w:color="auto"/>
              <w:left w:val="single" w:sz="8" w:space="0" w:color="auto"/>
              <w:bottom w:val="single" w:sz="8" w:space="0" w:color="auto"/>
              <w:right w:val="single" w:sz="8" w:space="0" w:color="auto"/>
            </w:tcBorders>
            <w:hideMark/>
          </w:tcPr>
          <w:p w14:paraId="59D18C0B" w14:textId="77777777" w:rsidR="000E3652" w:rsidRDefault="000E3652" w:rsidP="00FA0C14">
            <w:pPr>
              <w:jc w:val="center"/>
              <w:rPr>
                <w:rFonts w:asciiTheme="minorHAnsi" w:eastAsiaTheme="minorEastAsia" w:hAnsiTheme="minorHAnsi" w:cstheme="minorBidi"/>
                <w:sz w:val="22"/>
                <w:szCs w:val="22"/>
                <w:lang w:val="nl-BE"/>
              </w:rPr>
            </w:pPr>
            <w:r>
              <w:rPr>
                <w:rFonts w:eastAsia="Times New Roman"/>
                <w:sz w:val="18"/>
                <w:szCs w:val="18"/>
              </w:rPr>
              <w:t xml:space="preserve">II </w:t>
            </w:r>
          </w:p>
        </w:tc>
        <w:tc>
          <w:tcPr>
            <w:tcW w:w="705" w:type="dxa"/>
            <w:tcBorders>
              <w:top w:val="single" w:sz="8" w:space="0" w:color="auto"/>
              <w:left w:val="single" w:sz="8" w:space="0" w:color="auto"/>
              <w:bottom w:val="single" w:sz="8" w:space="0" w:color="auto"/>
              <w:right w:val="single" w:sz="8" w:space="0" w:color="auto"/>
            </w:tcBorders>
            <w:hideMark/>
          </w:tcPr>
          <w:p w14:paraId="56F65DDB" w14:textId="29F3358F" w:rsidR="000E3652" w:rsidRDefault="000E3652" w:rsidP="00FA0C14">
            <w:pPr>
              <w:jc w:val="center"/>
              <w:rPr>
                <w:rFonts w:eastAsia="Times New Roman"/>
                <w:sz w:val="18"/>
                <w:szCs w:val="18"/>
                <w:u w:val="single"/>
              </w:rPr>
            </w:pPr>
            <w:r w:rsidRPr="0033513F">
              <w:rPr>
                <w:rFonts w:eastAsia="Times New Roman"/>
                <w:sz w:val="18"/>
                <w:szCs w:val="18"/>
                <w:u w:val="single"/>
              </w:rPr>
              <w:t>279</w:t>
            </w:r>
          </w:p>
          <w:p w14:paraId="447B8EEC" w14:textId="77777777" w:rsidR="000E3652" w:rsidRDefault="000E3652" w:rsidP="00FA0C14">
            <w:pPr>
              <w:jc w:val="center"/>
            </w:pPr>
            <w:r>
              <w:rPr>
                <w:sz w:val="18"/>
                <w:szCs w:val="18"/>
                <w:u w:val="single"/>
              </w:rPr>
              <w:t>XXX</w:t>
            </w:r>
          </w:p>
        </w:tc>
        <w:tc>
          <w:tcPr>
            <w:tcW w:w="522" w:type="dxa"/>
            <w:tcBorders>
              <w:top w:val="single" w:sz="8" w:space="0" w:color="auto"/>
              <w:left w:val="single" w:sz="8" w:space="0" w:color="auto"/>
              <w:bottom w:val="single" w:sz="8" w:space="0" w:color="auto"/>
              <w:right w:val="single" w:sz="8" w:space="0" w:color="auto"/>
            </w:tcBorders>
            <w:hideMark/>
          </w:tcPr>
          <w:p w14:paraId="5326D0F2" w14:textId="77777777" w:rsidR="000E3652" w:rsidRDefault="000E3652" w:rsidP="00FA0C14">
            <w:pPr>
              <w:jc w:val="center"/>
            </w:pPr>
            <w:r>
              <w:rPr>
                <w:rFonts w:eastAsia="Times New Roman"/>
                <w:sz w:val="18"/>
                <w:szCs w:val="18"/>
              </w:rPr>
              <w:t xml:space="preserve">1 L </w:t>
            </w:r>
          </w:p>
        </w:tc>
        <w:tc>
          <w:tcPr>
            <w:tcW w:w="470" w:type="dxa"/>
            <w:tcBorders>
              <w:top w:val="single" w:sz="8" w:space="0" w:color="auto"/>
              <w:left w:val="single" w:sz="8" w:space="0" w:color="auto"/>
              <w:bottom w:val="single" w:sz="8" w:space="0" w:color="auto"/>
              <w:right w:val="single" w:sz="8" w:space="0" w:color="auto"/>
            </w:tcBorders>
            <w:hideMark/>
          </w:tcPr>
          <w:p w14:paraId="132AAC42" w14:textId="77777777" w:rsidR="000E3652" w:rsidRDefault="000E3652" w:rsidP="00FA0C14">
            <w:pPr>
              <w:jc w:val="center"/>
            </w:pPr>
            <w:r>
              <w:rPr>
                <w:rFonts w:eastAsia="Times New Roman"/>
                <w:sz w:val="18"/>
                <w:szCs w:val="18"/>
              </w:rPr>
              <w:t xml:space="preserve">E2  </w:t>
            </w:r>
          </w:p>
        </w:tc>
        <w:tc>
          <w:tcPr>
            <w:tcW w:w="567" w:type="dxa"/>
            <w:tcBorders>
              <w:top w:val="single" w:sz="8" w:space="0" w:color="auto"/>
              <w:left w:val="single" w:sz="8" w:space="0" w:color="auto"/>
              <w:bottom w:val="single" w:sz="8" w:space="0" w:color="auto"/>
              <w:right w:val="single" w:sz="8" w:space="0" w:color="auto"/>
            </w:tcBorders>
            <w:hideMark/>
          </w:tcPr>
          <w:p w14:paraId="671F195F" w14:textId="77777777" w:rsidR="000E3652" w:rsidRDefault="000E3652" w:rsidP="00FA0C14">
            <w:pPr>
              <w:jc w:val="center"/>
            </w:pPr>
            <w:r>
              <w:rPr>
                <w:rFonts w:eastAsia="Times New Roman"/>
                <w:sz w:val="18"/>
                <w:szCs w:val="18"/>
              </w:rPr>
              <w:t xml:space="preserve">P001 </w:t>
            </w:r>
          </w:p>
          <w:p w14:paraId="2F1D3099" w14:textId="77777777" w:rsidR="000E3652" w:rsidRDefault="000E3652" w:rsidP="00FA0C14">
            <w:pPr>
              <w:jc w:val="center"/>
            </w:pPr>
            <w:r>
              <w:rPr>
                <w:rFonts w:eastAsia="Times New Roman"/>
                <w:sz w:val="18"/>
                <w:szCs w:val="18"/>
              </w:rPr>
              <w:t xml:space="preserve">IBC02 </w:t>
            </w:r>
          </w:p>
        </w:tc>
        <w:tc>
          <w:tcPr>
            <w:tcW w:w="591" w:type="dxa"/>
            <w:tcBorders>
              <w:top w:val="single" w:sz="8" w:space="0" w:color="auto"/>
              <w:left w:val="single" w:sz="8" w:space="0" w:color="auto"/>
              <w:bottom w:val="single" w:sz="8" w:space="0" w:color="auto"/>
              <w:right w:val="single" w:sz="8" w:space="0" w:color="auto"/>
            </w:tcBorders>
            <w:hideMark/>
          </w:tcPr>
          <w:p w14:paraId="0DDE2451" w14:textId="77777777" w:rsidR="000E3652" w:rsidRDefault="000E3652" w:rsidP="00FA0C14">
            <w:r>
              <w:rPr>
                <w:rFonts w:eastAsia="Times New Roman"/>
                <w:sz w:val="18"/>
                <w:szCs w:val="18"/>
              </w:rPr>
              <w:t xml:space="preserve">  </w:t>
            </w:r>
          </w:p>
        </w:tc>
        <w:tc>
          <w:tcPr>
            <w:tcW w:w="882" w:type="dxa"/>
            <w:tcBorders>
              <w:top w:val="single" w:sz="8" w:space="0" w:color="auto"/>
              <w:left w:val="single" w:sz="8" w:space="0" w:color="auto"/>
              <w:bottom w:val="single" w:sz="8" w:space="0" w:color="auto"/>
              <w:right w:val="single" w:sz="8" w:space="0" w:color="auto"/>
            </w:tcBorders>
            <w:hideMark/>
          </w:tcPr>
          <w:p w14:paraId="1E23FCE3" w14:textId="77777777" w:rsidR="000E3652" w:rsidRDefault="000E3652" w:rsidP="00FA0C14">
            <w:pPr>
              <w:jc w:val="center"/>
            </w:pPr>
            <w:r>
              <w:rPr>
                <w:rFonts w:eastAsia="Times New Roman"/>
                <w:sz w:val="18"/>
                <w:szCs w:val="18"/>
              </w:rPr>
              <w:t xml:space="preserve">T7 </w:t>
            </w:r>
          </w:p>
        </w:tc>
        <w:tc>
          <w:tcPr>
            <w:tcW w:w="951" w:type="dxa"/>
            <w:tcBorders>
              <w:top w:val="single" w:sz="8" w:space="0" w:color="auto"/>
              <w:left w:val="single" w:sz="8" w:space="0" w:color="auto"/>
              <w:bottom w:val="single" w:sz="8" w:space="0" w:color="auto"/>
              <w:right w:val="single" w:sz="8" w:space="0" w:color="auto"/>
            </w:tcBorders>
            <w:hideMark/>
          </w:tcPr>
          <w:p w14:paraId="65A9528D" w14:textId="77777777" w:rsidR="000E3652" w:rsidRDefault="000E3652" w:rsidP="00FA0C14">
            <w:pPr>
              <w:jc w:val="center"/>
            </w:pPr>
            <w:r>
              <w:rPr>
                <w:rFonts w:eastAsia="Times New Roman"/>
                <w:sz w:val="18"/>
                <w:szCs w:val="18"/>
              </w:rPr>
              <w:t xml:space="preserve">TP2 </w:t>
            </w:r>
          </w:p>
        </w:tc>
      </w:tr>
      <w:tr w:rsidR="000E3652" w14:paraId="5F157E14" w14:textId="77777777" w:rsidTr="00FA0C14">
        <w:trPr>
          <w:trHeight w:val="840"/>
        </w:trPr>
        <w:tc>
          <w:tcPr>
            <w:tcW w:w="660" w:type="dxa"/>
            <w:tcBorders>
              <w:top w:val="single" w:sz="8" w:space="0" w:color="auto"/>
              <w:left w:val="single" w:sz="8" w:space="0" w:color="auto"/>
              <w:bottom w:val="single" w:sz="8" w:space="0" w:color="auto"/>
              <w:right w:val="single" w:sz="8" w:space="0" w:color="auto"/>
            </w:tcBorders>
            <w:hideMark/>
          </w:tcPr>
          <w:p w14:paraId="04557AC8" w14:textId="77777777" w:rsidR="000E3652" w:rsidRDefault="000E3652" w:rsidP="00FA0C14">
            <w:pPr>
              <w:jc w:val="both"/>
            </w:pPr>
            <w:r>
              <w:rPr>
                <w:rFonts w:eastAsia="Times New Roman"/>
                <w:sz w:val="18"/>
                <w:szCs w:val="18"/>
              </w:rPr>
              <w:t xml:space="preserve">1835 </w:t>
            </w:r>
          </w:p>
        </w:tc>
        <w:tc>
          <w:tcPr>
            <w:tcW w:w="2151" w:type="dxa"/>
            <w:tcBorders>
              <w:top w:val="single" w:sz="8" w:space="0" w:color="auto"/>
              <w:left w:val="single" w:sz="8" w:space="0" w:color="auto"/>
              <w:bottom w:val="single" w:sz="8" w:space="0" w:color="auto"/>
              <w:right w:val="single" w:sz="8" w:space="0" w:color="auto"/>
            </w:tcBorders>
            <w:hideMark/>
          </w:tcPr>
          <w:p w14:paraId="5E53EED8" w14:textId="77777777" w:rsidR="000E3652" w:rsidRDefault="000E3652" w:rsidP="00FA0C14">
            <w:r>
              <w:rPr>
                <w:rFonts w:eastAsia="Times New Roman"/>
                <w:sz w:val="18"/>
                <w:szCs w:val="18"/>
                <w:lang w:val="en-US"/>
              </w:rPr>
              <w:t>TETRAMETHYLAMMONIUM</w:t>
            </w:r>
            <w:r>
              <w:rPr>
                <w:rFonts w:eastAsia="Times New Roman"/>
                <w:sz w:val="18"/>
                <w:szCs w:val="18"/>
              </w:rPr>
              <w:t xml:space="preserve"> </w:t>
            </w:r>
          </w:p>
          <w:p w14:paraId="54FECA68" w14:textId="77777777" w:rsidR="000E3652" w:rsidRDefault="000E3652" w:rsidP="00FA0C14">
            <w:r>
              <w:rPr>
                <w:rFonts w:eastAsia="Times New Roman"/>
                <w:sz w:val="18"/>
                <w:szCs w:val="18"/>
                <w:lang w:val="en-US"/>
              </w:rPr>
              <w:t xml:space="preserve">HYDROXIDE </w:t>
            </w:r>
            <w:r>
              <w:rPr>
                <w:rFonts w:eastAsia="Times New Roman"/>
                <w:sz w:val="18"/>
                <w:szCs w:val="18"/>
                <w:u w:val="single"/>
                <w:lang w:val="en-US"/>
              </w:rPr>
              <w:t xml:space="preserve">AQUEOUS </w:t>
            </w:r>
            <w:r>
              <w:rPr>
                <w:rFonts w:eastAsia="Times New Roman"/>
                <w:sz w:val="18"/>
                <w:szCs w:val="18"/>
                <w:lang w:val="en-US"/>
              </w:rPr>
              <w:t>SOLUTION</w:t>
            </w:r>
            <w:r>
              <w:rPr>
                <w:rFonts w:eastAsia="Times New Roman"/>
                <w:sz w:val="18"/>
                <w:szCs w:val="18"/>
                <w:u w:val="single"/>
                <w:lang w:val="en-US"/>
              </w:rPr>
              <w:t xml:space="preserve"> with less than 2.5 % tetramethylammonium hydroxide</w:t>
            </w:r>
            <w:r>
              <w:rPr>
                <w:rFonts w:eastAsia="Times New Roman"/>
                <w:sz w:val="18"/>
                <w:szCs w:val="18"/>
              </w:rPr>
              <w:t xml:space="preserve"> </w:t>
            </w:r>
          </w:p>
        </w:tc>
        <w:tc>
          <w:tcPr>
            <w:tcW w:w="628" w:type="dxa"/>
            <w:tcBorders>
              <w:top w:val="single" w:sz="8" w:space="0" w:color="auto"/>
              <w:left w:val="single" w:sz="8" w:space="0" w:color="auto"/>
              <w:bottom w:val="single" w:sz="8" w:space="0" w:color="auto"/>
              <w:right w:val="single" w:sz="8" w:space="0" w:color="auto"/>
            </w:tcBorders>
            <w:hideMark/>
          </w:tcPr>
          <w:p w14:paraId="4DA7CDE0" w14:textId="77777777" w:rsidR="000E3652" w:rsidRDefault="000E3652" w:rsidP="00FA0C14">
            <w:pPr>
              <w:jc w:val="center"/>
            </w:pPr>
            <w:r>
              <w:rPr>
                <w:rFonts w:eastAsia="Times New Roman"/>
                <w:sz w:val="18"/>
                <w:szCs w:val="18"/>
              </w:rPr>
              <w:t xml:space="preserve">8 </w:t>
            </w:r>
          </w:p>
        </w:tc>
        <w:tc>
          <w:tcPr>
            <w:tcW w:w="523" w:type="dxa"/>
            <w:tcBorders>
              <w:top w:val="single" w:sz="8" w:space="0" w:color="auto"/>
              <w:left w:val="single" w:sz="8" w:space="0" w:color="auto"/>
              <w:bottom w:val="single" w:sz="8" w:space="0" w:color="auto"/>
              <w:right w:val="single" w:sz="8" w:space="0" w:color="auto"/>
            </w:tcBorders>
            <w:hideMark/>
          </w:tcPr>
          <w:p w14:paraId="3991D8E7" w14:textId="77777777" w:rsidR="000E3652" w:rsidRDefault="000E3652" w:rsidP="00FA0C14">
            <w:pPr>
              <w:jc w:val="center"/>
            </w:pPr>
            <w:r>
              <w:rPr>
                <w:rFonts w:eastAsia="Times New Roman"/>
                <w:sz w:val="18"/>
                <w:szCs w:val="18"/>
              </w:rPr>
              <w:t xml:space="preserve">  </w:t>
            </w:r>
          </w:p>
        </w:tc>
        <w:tc>
          <w:tcPr>
            <w:tcW w:w="568" w:type="dxa"/>
            <w:tcBorders>
              <w:top w:val="single" w:sz="8" w:space="0" w:color="auto"/>
              <w:left w:val="single" w:sz="8" w:space="0" w:color="auto"/>
              <w:bottom w:val="single" w:sz="8" w:space="0" w:color="auto"/>
              <w:right w:val="single" w:sz="8" w:space="0" w:color="auto"/>
            </w:tcBorders>
            <w:hideMark/>
          </w:tcPr>
          <w:p w14:paraId="2B3AD72F" w14:textId="77777777" w:rsidR="000E3652" w:rsidRDefault="000E3652" w:rsidP="00FA0C14">
            <w:pPr>
              <w:jc w:val="center"/>
            </w:pPr>
            <w:r>
              <w:rPr>
                <w:rFonts w:eastAsia="Times New Roman"/>
                <w:sz w:val="18"/>
                <w:szCs w:val="18"/>
              </w:rPr>
              <w:t xml:space="preserve">III </w:t>
            </w:r>
          </w:p>
        </w:tc>
        <w:tc>
          <w:tcPr>
            <w:tcW w:w="705" w:type="dxa"/>
            <w:tcBorders>
              <w:top w:val="single" w:sz="8" w:space="0" w:color="auto"/>
              <w:left w:val="single" w:sz="8" w:space="0" w:color="auto"/>
              <w:bottom w:val="single" w:sz="8" w:space="0" w:color="auto"/>
              <w:right w:val="single" w:sz="8" w:space="0" w:color="auto"/>
            </w:tcBorders>
            <w:hideMark/>
          </w:tcPr>
          <w:p w14:paraId="0B5DE192" w14:textId="77777777" w:rsidR="000E3652" w:rsidRDefault="000E3652" w:rsidP="00FA0C14">
            <w:pPr>
              <w:jc w:val="center"/>
              <w:rPr>
                <w:rFonts w:eastAsia="Times New Roman"/>
                <w:sz w:val="18"/>
                <w:szCs w:val="18"/>
                <w:u w:val="single"/>
              </w:rPr>
            </w:pPr>
            <w:r w:rsidRPr="0033513F">
              <w:rPr>
                <w:rFonts w:eastAsia="Times New Roman"/>
                <w:sz w:val="18"/>
                <w:szCs w:val="18"/>
                <w:u w:val="single"/>
              </w:rPr>
              <w:t>279</w:t>
            </w:r>
          </w:p>
          <w:p w14:paraId="2BA35A0F" w14:textId="77777777" w:rsidR="000E3652" w:rsidRDefault="000E3652" w:rsidP="00FA0C14">
            <w:pPr>
              <w:jc w:val="center"/>
              <w:rPr>
                <w:rFonts w:eastAsia="Times New Roman"/>
                <w:sz w:val="18"/>
                <w:szCs w:val="18"/>
              </w:rPr>
            </w:pPr>
            <w:r>
              <w:rPr>
                <w:rFonts w:eastAsia="Times New Roman"/>
                <w:sz w:val="18"/>
                <w:szCs w:val="18"/>
              </w:rPr>
              <w:t>223</w:t>
            </w:r>
          </w:p>
          <w:p w14:paraId="2D15290D" w14:textId="38282100" w:rsidR="000E3652" w:rsidRPr="00FA494A" w:rsidRDefault="000E3652" w:rsidP="00FA0C14">
            <w:pPr>
              <w:jc w:val="center"/>
              <w:rPr>
                <w:u w:val="single"/>
              </w:rPr>
            </w:pPr>
            <w:r w:rsidRPr="008A0AB4">
              <w:rPr>
                <w:rFonts w:eastAsia="Times New Roman"/>
                <w:sz w:val="18"/>
                <w:szCs w:val="18"/>
                <w:u w:val="single"/>
              </w:rPr>
              <w:t>XXX</w:t>
            </w:r>
          </w:p>
        </w:tc>
        <w:tc>
          <w:tcPr>
            <w:tcW w:w="522" w:type="dxa"/>
            <w:tcBorders>
              <w:top w:val="single" w:sz="8" w:space="0" w:color="auto"/>
              <w:left w:val="single" w:sz="8" w:space="0" w:color="auto"/>
              <w:bottom w:val="single" w:sz="8" w:space="0" w:color="auto"/>
              <w:right w:val="single" w:sz="8" w:space="0" w:color="auto"/>
            </w:tcBorders>
            <w:hideMark/>
          </w:tcPr>
          <w:p w14:paraId="1FD4AA4C" w14:textId="77777777" w:rsidR="000E3652" w:rsidRDefault="000E3652" w:rsidP="00FA0C14">
            <w:pPr>
              <w:jc w:val="center"/>
            </w:pPr>
            <w:r>
              <w:rPr>
                <w:rFonts w:eastAsia="Times New Roman"/>
                <w:sz w:val="18"/>
                <w:szCs w:val="18"/>
              </w:rPr>
              <w:t xml:space="preserve">5 L </w:t>
            </w:r>
          </w:p>
        </w:tc>
        <w:tc>
          <w:tcPr>
            <w:tcW w:w="470" w:type="dxa"/>
            <w:tcBorders>
              <w:top w:val="single" w:sz="8" w:space="0" w:color="auto"/>
              <w:left w:val="single" w:sz="8" w:space="0" w:color="auto"/>
              <w:bottom w:val="single" w:sz="8" w:space="0" w:color="auto"/>
              <w:right w:val="single" w:sz="8" w:space="0" w:color="auto"/>
            </w:tcBorders>
            <w:hideMark/>
          </w:tcPr>
          <w:p w14:paraId="3C95DF88" w14:textId="77777777" w:rsidR="000E3652" w:rsidRDefault="000E3652" w:rsidP="00FA0C14">
            <w:pPr>
              <w:jc w:val="center"/>
            </w:pPr>
            <w:r>
              <w:rPr>
                <w:rFonts w:eastAsia="Times New Roman"/>
                <w:sz w:val="18"/>
                <w:szCs w:val="18"/>
              </w:rPr>
              <w:t xml:space="preserve">E1 </w:t>
            </w:r>
          </w:p>
        </w:tc>
        <w:tc>
          <w:tcPr>
            <w:tcW w:w="567" w:type="dxa"/>
            <w:tcBorders>
              <w:top w:val="single" w:sz="8" w:space="0" w:color="auto"/>
              <w:left w:val="single" w:sz="8" w:space="0" w:color="auto"/>
              <w:bottom w:val="single" w:sz="8" w:space="0" w:color="auto"/>
              <w:right w:val="single" w:sz="8" w:space="0" w:color="auto"/>
            </w:tcBorders>
            <w:hideMark/>
          </w:tcPr>
          <w:p w14:paraId="5CAD278A" w14:textId="77777777" w:rsidR="000E3652" w:rsidRDefault="000E3652" w:rsidP="00FA0C14">
            <w:pPr>
              <w:jc w:val="center"/>
            </w:pPr>
            <w:r>
              <w:rPr>
                <w:rFonts w:eastAsia="Times New Roman"/>
                <w:sz w:val="18"/>
                <w:szCs w:val="18"/>
              </w:rPr>
              <w:t xml:space="preserve">P001 </w:t>
            </w:r>
          </w:p>
          <w:p w14:paraId="79D2CFBE" w14:textId="77777777" w:rsidR="000E3652" w:rsidRDefault="000E3652" w:rsidP="00FA0C14">
            <w:pPr>
              <w:jc w:val="center"/>
            </w:pPr>
            <w:r>
              <w:rPr>
                <w:rFonts w:eastAsia="Times New Roman"/>
                <w:sz w:val="18"/>
                <w:szCs w:val="18"/>
              </w:rPr>
              <w:t xml:space="preserve">IBC03 </w:t>
            </w:r>
          </w:p>
          <w:p w14:paraId="27789A78" w14:textId="77777777" w:rsidR="000E3652" w:rsidRDefault="000E3652" w:rsidP="00FA0C14">
            <w:pPr>
              <w:jc w:val="center"/>
            </w:pPr>
            <w:r>
              <w:rPr>
                <w:rFonts w:eastAsia="Times New Roman"/>
                <w:sz w:val="18"/>
                <w:szCs w:val="18"/>
              </w:rPr>
              <w:t xml:space="preserve">LP01 </w:t>
            </w:r>
          </w:p>
        </w:tc>
        <w:tc>
          <w:tcPr>
            <w:tcW w:w="591" w:type="dxa"/>
            <w:tcBorders>
              <w:top w:val="single" w:sz="8" w:space="0" w:color="auto"/>
              <w:left w:val="single" w:sz="8" w:space="0" w:color="auto"/>
              <w:bottom w:val="single" w:sz="8" w:space="0" w:color="auto"/>
              <w:right w:val="single" w:sz="8" w:space="0" w:color="auto"/>
            </w:tcBorders>
            <w:hideMark/>
          </w:tcPr>
          <w:p w14:paraId="58CABD8B" w14:textId="77777777" w:rsidR="000E3652" w:rsidRDefault="000E3652" w:rsidP="00FA0C14">
            <w:r>
              <w:rPr>
                <w:rFonts w:eastAsia="Times New Roman"/>
                <w:sz w:val="18"/>
                <w:szCs w:val="18"/>
              </w:rPr>
              <w:t xml:space="preserve">  </w:t>
            </w:r>
          </w:p>
        </w:tc>
        <w:tc>
          <w:tcPr>
            <w:tcW w:w="882" w:type="dxa"/>
            <w:tcBorders>
              <w:top w:val="single" w:sz="8" w:space="0" w:color="auto"/>
              <w:left w:val="single" w:sz="8" w:space="0" w:color="auto"/>
              <w:bottom w:val="single" w:sz="8" w:space="0" w:color="auto"/>
              <w:right w:val="single" w:sz="8" w:space="0" w:color="auto"/>
            </w:tcBorders>
            <w:hideMark/>
          </w:tcPr>
          <w:p w14:paraId="74D65010" w14:textId="77777777" w:rsidR="000E3652" w:rsidRDefault="000E3652" w:rsidP="00FA0C14">
            <w:pPr>
              <w:jc w:val="center"/>
            </w:pPr>
            <w:r>
              <w:rPr>
                <w:rFonts w:eastAsia="Times New Roman"/>
                <w:sz w:val="18"/>
                <w:szCs w:val="18"/>
              </w:rPr>
              <w:t xml:space="preserve">T7 </w:t>
            </w:r>
          </w:p>
        </w:tc>
        <w:tc>
          <w:tcPr>
            <w:tcW w:w="951" w:type="dxa"/>
            <w:tcBorders>
              <w:top w:val="single" w:sz="8" w:space="0" w:color="auto"/>
              <w:left w:val="single" w:sz="8" w:space="0" w:color="auto"/>
              <w:bottom w:val="single" w:sz="8" w:space="0" w:color="auto"/>
              <w:right w:val="single" w:sz="8" w:space="0" w:color="auto"/>
            </w:tcBorders>
            <w:hideMark/>
          </w:tcPr>
          <w:p w14:paraId="5CCA7C75" w14:textId="77777777" w:rsidR="000E3652" w:rsidRDefault="000E3652" w:rsidP="00FA0C14">
            <w:pPr>
              <w:jc w:val="center"/>
            </w:pPr>
            <w:r>
              <w:rPr>
                <w:rFonts w:eastAsia="Times New Roman"/>
                <w:sz w:val="18"/>
                <w:szCs w:val="18"/>
              </w:rPr>
              <w:t xml:space="preserve">TP2 </w:t>
            </w:r>
          </w:p>
        </w:tc>
      </w:tr>
    </w:tbl>
    <w:p w14:paraId="7BDD8D92" w14:textId="5CEE9ED3" w:rsidR="000E3652" w:rsidRDefault="000E3652" w:rsidP="000E3652">
      <w:pPr>
        <w:pStyle w:val="SingleTxtG"/>
        <w:rPr>
          <w:b/>
          <w:bCs/>
        </w:rPr>
      </w:pPr>
    </w:p>
    <w:p w14:paraId="494FEF46" w14:textId="77777777" w:rsidR="000E3652" w:rsidRDefault="000E3652">
      <w:pPr>
        <w:suppressAutoHyphens w:val="0"/>
        <w:kinsoku/>
        <w:overflowPunct/>
        <w:autoSpaceDE/>
        <w:autoSpaceDN/>
        <w:adjustRightInd/>
        <w:snapToGrid/>
        <w:spacing w:after="200" w:line="276" w:lineRule="auto"/>
        <w:rPr>
          <w:b/>
          <w:bCs/>
        </w:rPr>
      </w:pPr>
      <w:r>
        <w:rPr>
          <w:b/>
          <w:bCs/>
        </w:rPr>
        <w:br w:type="page"/>
      </w:r>
    </w:p>
    <w:p w14:paraId="506BEB50" w14:textId="35D46476" w:rsidR="000E3652" w:rsidRPr="00930966" w:rsidRDefault="000E3652" w:rsidP="00667C74">
      <w:pPr>
        <w:pStyle w:val="HChG"/>
        <w:tabs>
          <w:tab w:val="left" w:pos="6804"/>
        </w:tabs>
        <w:rPr>
          <w:b w:val="0"/>
          <w:bCs/>
          <w:lang w:val="en-US"/>
        </w:rPr>
      </w:pPr>
      <w:r>
        <w:rPr>
          <w:lang w:val="en-US"/>
        </w:rPr>
        <w:t>Annex I</w:t>
      </w:r>
      <w:r w:rsidR="00667C74">
        <w:rPr>
          <w:lang w:val="en-US"/>
        </w:rPr>
        <w:tab/>
      </w:r>
      <w:r w:rsidR="00667C74">
        <w:rPr>
          <w:lang w:val="en-US"/>
        </w:rPr>
        <w:tab/>
      </w:r>
      <w:r w:rsidR="00930966" w:rsidRPr="0026298D">
        <w:rPr>
          <w:sz w:val="20"/>
          <w:lang w:val="en-US"/>
        </w:rPr>
        <w:t>[English only]</w:t>
      </w:r>
    </w:p>
    <w:p w14:paraId="247A017F" w14:textId="77777777" w:rsidR="000E3652" w:rsidRDefault="000E3652" w:rsidP="000E3652"/>
    <w:p w14:paraId="779828F2" w14:textId="77777777" w:rsidR="000E3652" w:rsidRDefault="000E3652" w:rsidP="000E3652"/>
    <w:p w14:paraId="2367B484" w14:textId="77777777" w:rsidR="000E3652" w:rsidRDefault="000E3652" w:rsidP="000E3652"/>
    <w:p w14:paraId="5C84F54E" w14:textId="77777777" w:rsidR="000E3652" w:rsidRDefault="000E3652" w:rsidP="000E3652"/>
    <w:p w14:paraId="73C3AADE" w14:textId="77777777" w:rsidR="000E3652" w:rsidRDefault="000E3652" w:rsidP="000E3652"/>
    <w:p w14:paraId="347EF851" w14:textId="77777777" w:rsidR="000E3652" w:rsidRDefault="000E3652" w:rsidP="000E3652"/>
    <w:p w14:paraId="06090409" w14:textId="77777777" w:rsidR="000E3652" w:rsidRDefault="000E3652" w:rsidP="000E3652"/>
    <w:p w14:paraId="22EC811F" w14:textId="77777777" w:rsidR="000E3652" w:rsidRDefault="000E3652" w:rsidP="000E3652"/>
    <w:p w14:paraId="66225069" w14:textId="77777777" w:rsidR="000E3652" w:rsidRDefault="000E3652" w:rsidP="000E3652"/>
    <w:p w14:paraId="4D73B74B" w14:textId="77777777" w:rsidR="000E3652" w:rsidRDefault="000E3652" w:rsidP="000E3652"/>
    <w:p w14:paraId="6B4B8858" w14:textId="77777777" w:rsidR="000E3652" w:rsidRDefault="000E3652" w:rsidP="000E3652"/>
    <w:p w14:paraId="4BBA787A" w14:textId="77777777" w:rsidR="000E3652" w:rsidRDefault="000E3652" w:rsidP="000E3652"/>
    <w:p w14:paraId="4BACB85C" w14:textId="77777777" w:rsidR="000E3652" w:rsidRDefault="000E3652" w:rsidP="000E3652"/>
    <w:p w14:paraId="3C298BAC" w14:textId="77777777" w:rsidR="000E3652" w:rsidRDefault="000E3652" w:rsidP="000E3652"/>
    <w:p w14:paraId="20E00EB1" w14:textId="77777777" w:rsidR="000E3652" w:rsidRDefault="000E3652" w:rsidP="000E3652"/>
    <w:p w14:paraId="4EA06189" w14:textId="77777777" w:rsidR="000E3652" w:rsidRDefault="000E3652" w:rsidP="000E3652"/>
    <w:p w14:paraId="79CA9850" w14:textId="77777777" w:rsidR="000E3652" w:rsidRDefault="000E3652" w:rsidP="000E3652"/>
    <w:p w14:paraId="6C422334" w14:textId="77777777" w:rsidR="000E3652" w:rsidRDefault="000E3652" w:rsidP="000E3652"/>
    <w:p w14:paraId="404D82B1" w14:textId="77777777" w:rsidR="000E3652" w:rsidRDefault="000E3652" w:rsidP="000E3652"/>
    <w:p w14:paraId="789BA36E" w14:textId="77777777" w:rsidR="000E3652" w:rsidRDefault="000E3652" w:rsidP="000E3652"/>
    <w:p w14:paraId="05D998B8" w14:textId="77777777" w:rsidR="000E3652" w:rsidRPr="003F121C" w:rsidRDefault="000E3652" w:rsidP="000E3652">
      <w:pPr>
        <w:jc w:val="center"/>
        <w:rPr>
          <w:b/>
          <w:bCs/>
          <w:sz w:val="28"/>
          <w:szCs w:val="28"/>
        </w:rPr>
      </w:pPr>
      <w:r w:rsidRPr="003F121C">
        <w:rPr>
          <w:b/>
          <w:bCs/>
          <w:sz w:val="28"/>
          <w:szCs w:val="28"/>
        </w:rPr>
        <w:t>REPORT ON PACKING GROUP ASSIGNMENT</w:t>
      </w:r>
    </w:p>
    <w:p w14:paraId="07C471BC" w14:textId="77777777" w:rsidR="000E3652" w:rsidRPr="003F121C" w:rsidRDefault="000E3652" w:rsidP="000E3652">
      <w:pPr>
        <w:jc w:val="center"/>
        <w:rPr>
          <w:b/>
          <w:bCs/>
          <w:sz w:val="28"/>
          <w:szCs w:val="28"/>
        </w:rPr>
      </w:pPr>
      <w:r w:rsidRPr="003F121C">
        <w:rPr>
          <w:b/>
          <w:bCs/>
          <w:sz w:val="28"/>
          <w:szCs w:val="28"/>
        </w:rPr>
        <w:t>UNDER UN TDG FOR TETRAMETHYLAMMONIUM HYDROXIDE</w:t>
      </w:r>
    </w:p>
    <w:p w14:paraId="164BF731" w14:textId="77777777" w:rsidR="000E3652" w:rsidRDefault="000E3652" w:rsidP="000E3652"/>
    <w:p w14:paraId="7B56C79F" w14:textId="77777777" w:rsidR="000E3652" w:rsidRDefault="000E3652" w:rsidP="000E3652"/>
    <w:p w14:paraId="4B352123" w14:textId="77777777" w:rsidR="000E3652" w:rsidRDefault="000E3652" w:rsidP="000E3652"/>
    <w:p w14:paraId="504517A7" w14:textId="77777777" w:rsidR="000E3652" w:rsidRDefault="000E3652" w:rsidP="000E3652"/>
    <w:p w14:paraId="05A936A4" w14:textId="77777777" w:rsidR="000E3652" w:rsidRDefault="000E3652" w:rsidP="000E3652"/>
    <w:p w14:paraId="47A1E44E" w14:textId="77777777" w:rsidR="000E3652" w:rsidRDefault="000E3652" w:rsidP="000E3652"/>
    <w:p w14:paraId="28C05D0E" w14:textId="77777777" w:rsidR="000E3652" w:rsidRDefault="000E3652" w:rsidP="000E3652"/>
    <w:p w14:paraId="76BE97F5" w14:textId="77777777" w:rsidR="000E3652" w:rsidRDefault="000E3652" w:rsidP="000E3652"/>
    <w:p w14:paraId="08D882DA" w14:textId="77777777" w:rsidR="000E3652" w:rsidRDefault="000E3652" w:rsidP="000E3652"/>
    <w:p w14:paraId="75208796" w14:textId="77777777" w:rsidR="000E3652" w:rsidRDefault="000E3652" w:rsidP="000E3652"/>
    <w:p w14:paraId="7BFE6DA4" w14:textId="77777777" w:rsidR="000E3652" w:rsidRDefault="000E3652" w:rsidP="000E3652"/>
    <w:p w14:paraId="6AC118FF" w14:textId="77777777" w:rsidR="000E3652" w:rsidRDefault="000E3652" w:rsidP="000E3652"/>
    <w:p w14:paraId="0CE8E88C" w14:textId="77777777" w:rsidR="000E3652" w:rsidRDefault="000E3652" w:rsidP="000E3652"/>
    <w:p w14:paraId="5E2E0AA4" w14:textId="77777777" w:rsidR="000E3652" w:rsidRDefault="000E3652" w:rsidP="000E3652"/>
    <w:p w14:paraId="275B0FDE" w14:textId="77777777" w:rsidR="000E3652" w:rsidRDefault="000E3652" w:rsidP="000E3652"/>
    <w:p w14:paraId="6B7C8CC4" w14:textId="77777777" w:rsidR="000E3652" w:rsidRDefault="000E3652" w:rsidP="000E3652"/>
    <w:p w14:paraId="2431223B" w14:textId="77777777" w:rsidR="000E3652" w:rsidRDefault="000E3652" w:rsidP="000E3652"/>
    <w:p w14:paraId="0BFB01FC" w14:textId="77777777" w:rsidR="000E3652" w:rsidRDefault="000E3652" w:rsidP="000E3652"/>
    <w:p w14:paraId="3787DE24" w14:textId="77777777" w:rsidR="000E3652" w:rsidRDefault="000E3652" w:rsidP="000E3652"/>
    <w:p w14:paraId="7261CA64" w14:textId="77777777" w:rsidR="000E3652" w:rsidRDefault="000E3652" w:rsidP="000E3652"/>
    <w:p w14:paraId="2C9E4AD3" w14:textId="77777777" w:rsidR="000E3652" w:rsidRDefault="000E3652" w:rsidP="000E3652">
      <w:pPr>
        <w:spacing w:line="240" w:lineRule="auto"/>
      </w:pPr>
      <w:r>
        <w:t>Prepared by:</w:t>
      </w:r>
    </w:p>
    <w:p w14:paraId="4FA95B17" w14:textId="77777777" w:rsidR="000E3652" w:rsidRDefault="000E3652" w:rsidP="000E3652">
      <w:pPr>
        <w:spacing w:line="240" w:lineRule="auto"/>
      </w:pPr>
      <w:r>
        <w:t>IHSC, LLC</w:t>
      </w:r>
    </w:p>
    <w:p w14:paraId="2F186469" w14:textId="77777777" w:rsidR="000E3652" w:rsidRDefault="000E3652" w:rsidP="000E3652">
      <w:pPr>
        <w:spacing w:line="240" w:lineRule="auto"/>
      </w:pPr>
      <w:r>
        <w:t xml:space="preserve">Milford, CT </w:t>
      </w:r>
    </w:p>
    <w:p w14:paraId="55D0EEEE" w14:textId="77777777" w:rsidR="000E3652" w:rsidRDefault="000E3652" w:rsidP="000E3652">
      <w:pPr>
        <w:spacing w:line="240" w:lineRule="auto"/>
      </w:pPr>
      <w:r>
        <w:t>August 21, 2022</w:t>
      </w:r>
    </w:p>
    <w:p w14:paraId="4B6AF1AF" w14:textId="77777777" w:rsidR="000E3652" w:rsidRDefault="000E3652" w:rsidP="000E3652"/>
    <w:p w14:paraId="60C69C84" w14:textId="77777777" w:rsidR="000E3652" w:rsidRDefault="000E3652" w:rsidP="000E3652"/>
    <w:p w14:paraId="3E6F5AE8" w14:textId="77777777" w:rsidR="000E3652" w:rsidRDefault="000E3652" w:rsidP="000E3652"/>
    <w:p w14:paraId="07297809" w14:textId="08B2DB68" w:rsidR="000E3652" w:rsidRDefault="000E3652">
      <w:pPr>
        <w:suppressAutoHyphens w:val="0"/>
        <w:kinsoku/>
        <w:overflowPunct/>
        <w:autoSpaceDE/>
        <w:autoSpaceDN/>
        <w:adjustRightInd/>
        <w:snapToGrid/>
        <w:spacing w:after="200" w:line="276" w:lineRule="auto"/>
        <w:rPr>
          <w:b/>
          <w:bCs/>
        </w:rPr>
      </w:pPr>
      <w:r>
        <w:rPr>
          <w:b/>
          <w:bCs/>
        </w:rPr>
        <w:br w:type="page"/>
      </w:r>
    </w:p>
    <w:p w14:paraId="6B6FF7BC" w14:textId="77777777" w:rsidR="000E3652" w:rsidRDefault="000E3652" w:rsidP="000E3652">
      <w:r>
        <w:t>As requested, I have reviewed the available toxicity data for tetramethylammonium hydroxide (TMAH) (CAS 75-59-2) to determine the appropriate transport packing groups for the substance and mixtures (aqueous solutions) based on dermal toxicity under the UN Model Regulations on the Transport of Dangerous Goods.</w:t>
      </w:r>
    </w:p>
    <w:p w14:paraId="417FCF39" w14:textId="77777777" w:rsidR="000E3652" w:rsidRDefault="000E3652" w:rsidP="000E3652"/>
    <w:p w14:paraId="5F3D9526" w14:textId="77777777" w:rsidR="000E3652" w:rsidRDefault="000E3652" w:rsidP="000E3652">
      <w:r>
        <w:t xml:space="preserve">Division 6.1 covers toxic substances. Substances of Division 6.1 are assigned to three packing groups based on their degree of hazard. The UN Model regulations tell us that we need to take human experience into account but that in the absence of human experience, the assignment is based on animal data. The criteria for Class 6.1 dermal toxicity packing group assignment based on animal test data is shown below.  </w:t>
      </w:r>
    </w:p>
    <w:p w14:paraId="588FABAB" w14:textId="77777777" w:rsidR="000E3652" w:rsidRDefault="000E3652" w:rsidP="000E3652"/>
    <w:tbl>
      <w:tblPr>
        <w:tblStyle w:val="TableGrid"/>
        <w:tblW w:w="0" w:type="auto"/>
        <w:tblInd w:w="2628" w:type="dxa"/>
        <w:tblLook w:val="04A0" w:firstRow="1" w:lastRow="0" w:firstColumn="1" w:lastColumn="0" w:noHBand="0" w:noVBand="1"/>
      </w:tblPr>
      <w:tblGrid>
        <w:gridCol w:w="2160"/>
        <w:gridCol w:w="2880"/>
      </w:tblGrid>
      <w:tr w:rsidR="000E3652" w14:paraId="2CFB7030" w14:textId="77777777" w:rsidTr="00FA0C14">
        <w:tc>
          <w:tcPr>
            <w:tcW w:w="2160" w:type="dxa"/>
          </w:tcPr>
          <w:p w14:paraId="1AB9A94C" w14:textId="77777777" w:rsidR="000E3652" w:rsidRDefault="000E3652" w:rsidP="00FA0C14">
            <w:pPr>
              <w:jc w:val="center"/>
            </w:pPr>
            <w:r>
              <w:t>Packing Group</w:t>
            </w:r>
          </w:p>
        </w:tc>
        <w:tc>
          <w:tcPr>
            <w:tcW w:w="2880" w:type="dxa"/>
          </w:tcPr>
          <w:p w14:paraId="5FA08AD8" w14:textId="77777777" w:rsidR="000E3652" w:rsidRDefault="000E3652" w:rsidP="00FA0C14">
            <w:r>
              <w:t>Dermal toxicity LD50 (mg/kg)</w:t>
            </w:r>
          </w:p>
        </w:tc>
      </w:tr>
      <w:tr w:rsidR="000E3652" w14:paraId="7BCC3259" w14:textId="77777777" w:rsidTr="00FA0C14">
        <w:tc>
          <w:tcPr>
            <w:tcW w:w="2160" w:type="dxa"/>
          </w:tcPr>
          <w:p w14:paraId="450BB49C" w14:textId="77777777" w:rsidR="000E3652" w:rsidRDefault="000E3652" w:rsidP="00FA0C14">
            <w:pPr>
              <w:jc w:val="center"/>
            </w:pPr>
            <w:r>
              <w:t>I</w:t>
            </w:r>
          </w:p>
        </w:tc>
        <w:tc>
          <w:tcPr>
            <w:tcW w:w="2880" w:type="dxa"/>
          </w:tcPr>
          <w:p w14:paraId="6D1C8FF9" w14:textId="77777777" w:rsidR="000E3652" w:rsidRDefault="000E3652" w:rsidP="00FA0C14">
            <w:pPr>
              <w:jc w:val="center"/>
            </w:pPr>
            <w:r>
              <w:t>&lt;=50</w:t>
            </w:r>
          </w:p>
        </w:tc>
      </w:tr>
      <w:tr w:rsidR="000E3652" w14:paraId="0C7816F0" w14:textId="77777777" w:rsidTr="00FA0C14">
        <w:tc>
          <w:tcPr>
            <w:tcW w:w="2160" w:type="dxa"/>
          </w:tcPr>
          <w:p w14:paraId="63B479F0" w14:textId="77777777" w:rsidR="000E3652" w:rsidRDefault="000E3652" w:rsidP="00FA0C14">
            <w:pPr>
              <w:jc w:val="center"/>
            </w:pPr>
            <w:r>
              <w:t>II</w:t>
            </w:r>
          </w:p>
        </w:tc>
        <w:tc>
          <w:tcPr>
            <w:tcW w:w="2880" w:type="dxa"/>
          </w:tcPr>
          <w:p w14:paraId="1DB6E4E6" w14:textId="77777777" w:rsidR="000E3652" w:rsidRDefault="000E3652" w:rsidP="00FA0C14">
            <w:pPr>
              <w:jc w:val="center"/>
            </w:pPr>
            <w:r>
              <w:t>&gt;50 and &lt;=200</w:t>
            </w:r>
          </w:p>
        </w:tc>
      </w:tr>
      <w:tr w:rsidR="000E3652" w14:paraId="03736771" w14:textId="77777777" w:rsidTr="00FA0C14">
        <w:tc>
          <w:tcPr>
            <w:tcW w:w="2160" w:type="dxa"/>
          </w:tcPr>
          <w:p w14:paraId="76149E52" w14:textId="77777777" w:rsidR="000E3652" w:rsidRDefault="000E3652" w:rsidP="00FA0C14">
            <w:pPr>
              <w:jc w:val="center"/>
            </w:pPr>
            <w:r>
              <w:t>III</w:t>
            </w:r>
          </w:p>
        </w:tc>
        <w:tc>
          <w:tcPr>
            <w:tcW w:w="2880" w:type="dxa"/>
          </w:tcPr>
          <w:p w14:paraId="100AA548" w14:textId="77777777" w:rsidR="000E3652" w:rsidRDefault="000E3652" w:rsidP="00FA0C14">
            <w:pPr>
              <w:jc w:val="center"/>
            </w:pPr>
            <w:r>
              <w:t>&gt;200 and &lt;=1000</w:t>
            </w:r>
          </w:p>
        </w:tc>
      </w:tr>
    </w:tbl>
    <w:p w14:paraId="7D541AEF" w14:textId="77777777" w:rsidR="000E3652" w:rsidRDefault="000E3652" w:rsidP="000E3652"/>
    <w:p w14:paraId="1E9A4E91" w14:textId="77777777" w:rsidR="000E3652" w:rsidRDefault="000E3652" w:rsidP="000E3652">
      <w:r>
        <w:t xml:space="preserve">This packing group assignment corresponds with the GHS dermal toxicities of categories 1, 2 and 3. </w:t>
      </w:r>
    </w:p>
    <w:p w14:paraId="20C4E160" w14:textId="77777777" w:rsidR="000E3652" w:rsidRDefault="000E3652" w:rsidP="000E3652"/>
    <w:tbl>
      <w:tblPr>
        <w:tblStyle w:val="TableGrid"/>
        <w:tblW w:w="0" w:type="auto"/>
        <w:tblInd w:w="2628" w:type="dxa"/>
        <w:tblLook w:val="04A0" w:firstRow="1" w:lastRow="0" w:firstColumn="1" w:lastColumn="0" w:noHBand="0" w:noVBand="1"/>
      </w:tblPr>
      <w:tblGrid>
        <w:gridCol w:w="2160"/>
        <w:gridCol w:w="2880"/>
      </w:tblGrid>
      <w:tr w:rsidR="000E3652" w14:paraId="39AAB771" w14:textId="77777777" w:rsidTr="00FA0C14">
        <w:tc>
          <w:tcPr>
            <w:tcW w:w="2160" w:type="dxa"/>
          </w:tcPr>
          <w:p w14:paraId="3C06EB67" w14:textId="77777777" w:rsidR="000E3652" w:rsidRDefault="000E3652" w:rsidP="00FA0C14">
            <w:pPr>
              <w:jc w:val="center"/>
            </w:pPr>
            <w:r>
              <w:t>GHS Category</w:t>
            </w:r>
          </w:p>
        </w:tc>
        <w:tc>
          <w:tcPr>
            <w:tcW w:w="2880" w:type="dxa"/>
          </w:tcPr>
          <w:p w14:paraId="7081ABDA" w14:textId="77777777" w:rsidR="000E3652" w:rsidRDefault="000E3652" w:rsidP="00FA0C14">
            <w:r>
              <w:t>Dermal toxicity LD50 (mg/kg)</w:t>
            </w:r>
          </w:p>
        </w:tc>
      </w:tr>
      <w:tr w:rsidR="000E3652" w14:paraId="18D67014" w14:textId="77777777" w:rsidTr="00FA0C14">
        <w:tc>
          <w:tcPr>
            <w:tcW w:w="2160" w:type="dxa"/>
          </w:tcPr>
          <w:p w14:paraId="654C3D98" w14:textId="77777777" w:rsidR="000E3652" w:rsidRDefault="000E3652" w:rsidP="00FA0C14">
            <w:pPr>
              <w:jc w:val="center"/>
            </w:pPr>
            <w:r>
              <w:t>1</w:t>
            </w:r>
          </w:p>
        </w:tc>
        <w:tc>
          <w:tcPr>
            <w:tcW w:w="2880" w:type="dxa"/>
          </w:tcPr>
          <w:p w14:paraId="38E3DE5D" w14:textId="77777777" w:rsidR="000E3652" w:rsidRDefault="000E3652" w:rsidP="00FA0C14">
            <w:pPr>
              <w:jc w:val="center"/>
            </w:pPr>
            <w:r>
              <w:t>&lt;=50</w:t>
            </w:r>
          </w:p>
        </w:tc>
      </w:tr>
      <w:tr w:rsidR="000E3652" w14:paraId="6E3C4B04" w14:textId="77777777" w:rsidTr="00FA0C14">
        <w:tc>
          <w:tcPr>
            <w:tcW w:w="2160" w:type="dxa"/>
          </w:tcPr>
          <w:p w14:paraId="75965E05" w14:textId="77777777" w:rsidR="000E3652" w:rsidRDefault="000E3652" w:rsidP="00FA0C14">
            <w:pPr>
              <w:jc w:val="center"/>
            </w:pPr>
            <w:r>
              <w:t>2</w:t>
            </w:r>
          </w:p>
        </w:tc>
        <w:tc>
          <w:tcPr>
            <w:tcW w:w="2880" w:type="dxa"/>
          </w:tcPr>
          <w:p w14:paraId="24A1CCD8" w14:textId="77777777" w:rsidR="000E3652" w:rsidRDefault="000E3652" w:rsidP="00FA0C14">
            <w:pPr>
              <w:jc w:val="center"/>
            </w:pPr>
            <w:r>
              <w:t>&gt;50 and &lt;=200</w:t>
            </w:r>
          </w:p>
        </w:tc>
      </w:tr>
      <w:tr w:rsidR="000E3652" w14:paraId="37647FBE" w14:textId="77777777" w:rsidTr="00FA0C14">
        <w:tc>
          <w:tcPr>
            <w:tcW w:w="2160" w:type="dxa"/>
          </w:tcPr>
          <w:p w14:paraId="1A16BC69" w14:textId="77777777" w:rsidR="000E3652" w:rsidRDefault="000E3652" w:rsidP="00FA0C14">
            <w:pPr>
              <w:jc w:val="center"/>
            </w:pPr>
            <w:r>
              <w:t>3</w:t>
            </w:r>
          </w:p>
        </w:tc>
        <w:tc>
          <w:tcPr>
            <w:tcW w:w="2880" w:type="dxa"/>
          </w:tcPr>
          <w:p w14:paraId="7546C79B" w14:textId="77777777" w:rsidR="000E3652" w:rsidRDefault="000E3652" w:rsidP="00FA0C14">
            <w:pPr>
              <w:jc w:val="center"/>
            </w:pPr>
            <w:r>
              <w:t>&gt;200 and &lt;=1000</w:t>
            </w:r>
          </w:p>
        </w:tc>
      </w:tr>
    </w:tbl>
    <w:p w14:paraId="25856E5F" w14:textId="77777777" w:rsidR="000E3652" w:rsidRDefault="000E3652" w:rsidP="000E3652"/>
    <w:p w14:paraId="0AE7FDE5" w14:textId="77777777" w:rsidR="000E3652" w:rsidRDefault="000E3652" w:rsidP="000E3652">
      <w:r>
        <w:t xml:space="preserve">The main source of data on the acute dermal toxicity of TMAH is the EU REACH Registration for the substance. These data are summarized below. </w:t>
      </w:r>
    </w:p>
    <w:p w14:paraId="0103E355" w14:textId="77777777" w:rsidR="000E3652" w:rsidRDefault="000E3652" w:rsidP="000E3652"/>
    <w:p w14:paraId="0D34DCA5" w14:textId="77777777" w:rsidR="000E3652" w:rsidRPr="00C52810" w:rsidRDefault="000E3652" w:rsidP="000E3652">
      <w:r w:rsidRPr="00C52810">
        <w:t>The National Library of Medicine’s Hazardous Substance Data Bank (HSDB) reports 2 values from a 2011 article in Toxicology and Industrial Health. The article describes a dermal rat study but there is no reference to a standardized study methodology. The doses applied to the rats were not provided. The OECD method specifies that the chemical be applied to the dorsal/flank area of the rat after the fur is closely clipped the day prior to the test. The method states that care must be taken to avoid abrading the skin to avoid affecting the permeability of the skin. In the article it was stated that the hair was shaved with an electric razor, which could abrade the skin. In the OECH method, the test chemical is applied as uniformly as possible to the prepared area covering at least 10% of the total body surface (estimated to be approximately 25 cm2). In the article it is stated that glass rings with an internal diameter of 3.1 cm, 3.5 cm external diameter and 2.5 cm height were glued to the back of the rat. The test solutions were then applied to this small area (9.7 cm2).  The exposure time was 4 hours while the OECD method requires 24 hours, and the area is covered so the animal cannot ingest the chemical.  In the article some of the rats were dosed with atropine after 5 minutes. It is not clear whether this was a separate test or part of the protocol. It is unknown what effect this might have had on the results.  Given these uncertainties, I have not used these results in my evaluation as they cannot be considered reliable and are not comparable to the standard study results.</w:t>
      </w:r>
    </w:p>
    <w:p w14:paraId="4001523A" w14:textId="77777777" w:rsidR="000E3652" w:rsidRPr="00C52810" w:rsidRDefault="000E3652" w:rsidP="000E3652"/>
    <w:p w14:paraId="0DBC4777" w14:textId="77777777" w:rsidR="000E3652" w:rsidRDefault="000E3652" w:rsidP="000E3652">
      <w:r w:rsidRPr="00C52810">
        <w:t>All reported dermal studies were conducted in rats as specified by OECD Guideline 405 (Acute Dermal Toxicity) following Good Laboratory Practice (GLP). The</w:t>
      </w:r>
      <w:r>
        <w:t xml:space="preserve"> duration of exposure for each was 24 hours. Each of the dermal studies reported in the REACH Registration were given a reliability rating of 1 (reliable without restriction). There were no dermal studies with pure TMAH. All 4 studies used aqueous solutions of TMAH, either 2.5% or 25%. From these results, the authors of 3 studies determined an equivalent LD50 for the pure substance (100% TMAH).  The registrants concluded that the dermal toxicity classification for the substance TMAH is Category 1. </w:t>
      </w:r>
    </w:p>
    <w:p w14:paraId="0B0E477F" w14:textId="77777777" w:rsidR="000E3652" w:rsidRDefault="000E3652" w:rsidP="000E3652"/>
    <w:p w14:paraId="3DD98D82" w14:textId="77777777" w:rsidR="000E3652" w:rsidRDefault="000E3652" w:rsidP="000E3652">
      <w:pPr>
        <w:jc w:val="center"/>
      </w:pPr>
      <w:r>
        <w:t>REACH Registration Reported Dermal Toxicity Data Summary</w:t>
      </w:r>
    </w:p>
    <w:tbl>
      <w:tblPr>
        <w:tblStyle w:val="TableGrid"/>
        <w:tblW w:w="9450" w:type="dxa"/>
        <w:tblInd w:w="198" w:type="dxa"/>
        <w:tblLook w:val="04A0" w:firstRow="1" w:lastRow="0" w:firstColumn="1" w:lastColumn="0" w:noHBand="0" w:noVBand="1"/>
      </w:tblPr>
      <w:tblGrid>
        <w:gridCol w:w="1170"/>
        <w:gridCol w:w="900"/>
        <w:gridCol w:w="2250"/>
        <w:gridCol w:w="1530"/>
        <w:gridCol w:w="3600"/>
      </w:tblGrid>
      <w:tr w:rsidR="000E3652" w14:paraId="3A79ABA9" w14:textId="77777777" w:rsidTr="00FA0C14">
        <w:tc>
          <w:tcPr>
            <w:tcW w:w="1170" w:type="dxa"/>
          </w:tcPr>
          <w:p w14:paraId="5E167ACF" w14:textId="77777777" w:rsidR="000E3652" w:rsidRDefault="000E3652" w:rsidP="00FA0C14">
            <w:pPr>
              <w:jc w:val="center"/>
            </w:pPr>
            <w:r>
              <w:t>Study Number</w:t>
            </w:r>
          </w:p>
        </w:tc>
        <w:tc>
          <w:tcPr>
            <w:tcW w:w="900" w:type="dxa"/>
          </w:tcPr>
          <w:p w14:paraId="1F723516" w14:textId="77777777" w:rsidR="000E3652" w:rsidRDefault="000E3652" w:rsidP="00FA0C14">
            <w:r>
              <w:t>Species</w:t>
            </w:r>
          </w:p>
        </w:tc>
        <w:tc>
          <w:tcPr>
            <w:tcW w:w="2250" w:type="dxa"/>
          </w:tcPr>
          <w:p w14:paraId="7B6B5751" w14:textId="77777777" w:rsidR="000E3652" w:rsidRDefault="000E3652" w:rsidP="00FA0C14">
            <w:r>
              <w:t>Test Material</w:t>
            </w:r>
          </w:p>
        </w:tc>
        <w:tc>
          <w:tcPr>
            <w:tcW w:w="1530" w:type="dxa"/>
          </w:tcPr>
          <w:p w14:paraId="6001C5D2" w14:textId="77777777" w:rsidR="000E3652" w:rsidRDefault="000E3652" w:rsidP="00FA0C14">
            <w:r>
              <w:t>Dermal LD50 mg/kg</w:t>
            </w:r>
          </w:p>
        </w:tc>
        <w:tc>
          <w:tcPr>
            <w:tcW w:w="3600" w:type="dxa"/>
          </w:tcPr>
          <w:p w14:paraId="3F0EEBD2" w14:textId="77777777" w:rsidR="000E3652" w:rsidRDefault="000E3652" w:rsidP="00FA0C14">
            <w:r>
              <w:t>Discussion</w:t>
            </w:r>
          </w:p>
        </w:tc>
      </w:tr>
      <w:tr w:rsidR="000E3652" w14:paraId="6F03F347" w14:textId="77777777" w:rsidTr="00FA0C14">
        <w:tc>
          <w:tcPr>
            <w:tcW w:w="1170" w:type="dxa"/>
          </w:tcPr>
          <w:p w14:paraId="68BB3A19" w14:textId="77777777" w:rsidR="000E3652" w:rsidRDefault="000E3652" w:rsidP="00FA0C14">
            <w:pPr>
              <w:jc w:val="center"/>
            </w:pPr>
            <w:r>
              <w:t>1</w:t>
            </w:r>
          </w:p>
        </w:tc>
        <w:tc>
          <w:tcPr>
            <w:tcW w:w="900" w:type="dxa"/>
          </w:tcPr>
          <w:p w14:paraId="71B0CAC3" w14:textId="77777777" w:rsidR="000E3652" w:rsidRDefault="000E3652" w:rsidP="00FA0C14">
            <w:r>
              <w:t>Rat</w:t>
            </w:r>
          </w:p>
        </w:tc>
        <w:tc>
          <w:tcPr>
            <w:tcW w:w="2250" w:type="dxa"/>
          </w:tcPr>
          <w:p w14:paraId="265F9A72" w14:textId="77777777" w:rsidR="000E3652" w:rsidRDefault="000E3652" w:rsidP="00FA0C14">
            <w:r>
              <w:t>2.5% Aqueous Solution</w:t>
            </w:r>
          </w:p>
          <w:p w14:paraId="3CB4C7C7" w14:textId="77777777" w:rsidR="000E3652" w:rsidRDefault="000E3652" w:rsidP="00FA0C14">
            <w:r>
              <w:t>Equivalent 100%</w:t>
            </w:r>
          </w:p>
        </w:tc>
        <w:tc>
          <w:tcPr>
            <w:tcW w:w="1530" w:type="dxa"/>
          </w:tcPr>
          <w:p w14:paraId="7E60F841" w14:textId="77777777" w:rsidR="000E3652" w:rsidRDefault="000E3652" w:rsidP="00FA0C14">
            <w:r>
              <w:t xml:space="preserve">&gt;1000- &lt;2000 </w:t>
            </w:r>
          </w:p>
          <w:p w14:paraId="6920C315" w14:textId="77777777" w:rsidR="000E3652" w:rsidRDefault="000E3652" w:rsidP="00FA0C14"/>
          <w:p w14:paraId="28E8E501" w14:textId="77777777" w:rsidR="000E3652" w:rsidRDefault="000E3652" w:rsidP="00FA0C14">
            <w:r>
              <w:t>&gt;25-&lt;50</w:t>
            </w:r>
          </w:p>
        </w:tc>
        <w:tc>
          <w:tcPr>
            <w:tcW w:w="3600" w:type="dxa"/>
          </w:tcPr>
          <w:p w14:paraId="09A6322E" w14:textId="77777777" w:rsidR="000E3652" w:rsidRDefault="000E3652" w:rsidP="00FA0C14">
            <w:r>
              <w:t>Doses-200, 1000 and 2000 mg/kg</w:t>
            </w:r>
          </w:p>
          <w:p w14:paraId="47DFC7E2" w14:textId="77777777" w:rsidR="000E3652" w:rsidRDefault="000E3652" w:rsidP="00FA0C14">
            <w:r>
              <w:t>3 rats at 200 and 2000 mg/kg; 10 rats at 1000 mg/kg; all animals died at 2000 mg/kg; no mortality at 200 and 1000 mg/kg</w:t>
            </w:r>
          </w:p>
        </w:tc>
      </w:tr>
      <w:tr w:rsidR="000E3652" w14:paraId="519C7E59" w14:textId="77777777" w:rsidTr="00FA0C14">
        <w:tc>
          <w:tcPr>
            <w:tcW w:w="1170" w:type="dxa"/>
          </w:tcPr>
          <w:p w14:paraId="0598E441" w14:textId="77777777" w:rsidR="000E3652" w:rsidRDefault="000E3652" w:rsidP="00FA0C14">
            <w:pPr>
              <w:jc w:val="center"/>
            </w:pPr>
            <w:r>
              <w:t>2</w:t>
            </w:r>
          </w:p>
        </w:tc>
        <w:tc>
          <w:tcPr>
            <w:tcW w:w="900" w:type="dxa"/>
          </w:tcPr>
          <w:p w14:paraId="55795606" w14:textId="77777777" w:rsidR="000E3652" w:rsidRDefault="000E3652" w:rsidP="00FA0C14">
            <w:r>
              <w:t>Rat</w:t>
            </w:r>
          </w:p>
        </w:tc>
        <w:tc>
          <w:tcPr>
            <w:tcW w:w="2250" w:type="dxa"/>
          </w:tcPr>
          <w:p w14:paraId="2AE5F7CD" w14:textId="77777777" w:rsidR="000E3652" w:rsidRDefault="000E3652" w:rsidP="00FA0C14">
            <w:r>
              <w:t>25% Aqueous Solution</w:t>
            </w:r>
          </w:p>
          <w:p w14:paraId="53604239" w14:textId="77777777" w:rsidR="000E3652" w:rsidRDefault="000E3652" w:rsidP="00FA0C14">
            <w:r>
              <w:t>Equivalent 100%</w:t>
            </w:r>
          </w:p>
        </w:tc>
        <w:tc>
          <w:tcPr>
            <w:tcW w:w="1530" w:type="dxa"/>
          </w:tcPr>
          <w:p w14:paraId="2ED95AE0" w14:textId="77777777" w:rsidR="000E3652" w:rsidRDefault="000E3652" w:rsidP="00FA0C14">
            <w:r>
              <w:t>&gt;50-200</w:t>
            </w:r>
          </w:p>
          <w:p w14:paraId="638018DE" w14:textId="77777777" w:rsidR="000E3652" w:rsidRDefault="000E3652" w:rsidP="00FA0C14">
            <w:r>
              <w:t>&gt;12.5 - &lt;50</w:t>
            </w:r>
          </w:p>
        </w:tc>
        <w:tc>
          <w:tcPr>
            <w:tcW w:w="3600" w:type="dxa"/>
          </w:tcPr>
          <w:p w14:paraId="4446E027" w14:textId="77777777" w:rsidR="000E3652" w:rsidRDefault="000E3652" w:rsidP="00FA0C14">
            <w:r>
              <w:t>Doses – 50, 200, 1000 and 2000 mg/kg</w:t>
            </w:r>
          </w:p>
          <w:p w14:paraId="6E121A65" w14:textId="77777777" w:rsidR="000E3652" w:rsidRDefault="000E3652" w:rsidP="00FA0C14">
            <w:r>
              <w:t>10 rats at 50 and 200 mg/kg; 3 rats at 1000 and 2000 mg/kg</w:t>
            </w:r>
          </w:p>
          <w:p w14:paraId="478B99EA" w14:textId="77777777" w:rsidR="000E3652" w:rsidRDefault="000E3652" w:rsidP="00FA0C14">
            <w:r>
              <w:t>All animals died at 1000 and 2000 mg/kg; at 200 mg/kg 8 of 10 animals died; no mortality at 50 mg/kg</w:t>
            </w:r>
          </w:p>
        </w:tc>
      </w:tr>
      <w:tr w:rsidR="000E3652" w14:paraId="702F4911" w14:textId="77777777" w:rsidTr="00FA0C14">
        <w:tc>
          <w:tcPr>
            <w:tcW w:w="1170" w:type="dxa"/>
          </w:tcPr>
          <w:p w14:paraId="7BA7FC16" w14:textId="77777777" w:rsidR="000E3652" w:rsidRDefault="000E3652" w:rsidP="00FA0C14">
            <w:pPr>
              <w:jc w:val="center"/>
            </w:pPr>
            <w:r>
              <w:t>3</w:t>
            </w:r>
          </w:p>
        </w:tc>
        <w:tc>
          <w:tcPr>
            <w:tcW w:w="900" w:type="dxa"/>
          </w:tcPr>
          <w:p w14:paraId="767EDD70" w14:textId="77777777" w:rsidR="000E3652" w:rsidRDefault="000E3652" w:rsidP="00FA0C14">
            <w:r>
              <w:t>Rat</w:t>
            </w:r>
          </w:p>
        </w:tc>
        <w:tc>
          <w:tcPr>
            <w:tcW w:w="2250" w:type="dxa"/>
          </w:tcPr>
          <w:p w14:paraId="7C01FEDB" w14:textId="77777777" w:rsidR="000E3652" w:rsidRDefault="000E3652" w:rsidP="00FA0C14">
            <w:r>
              <w:t>25% Aqueous Solution</w:t>
            </w:r>
          </w:p>
          <w:p w14:paraId="739B0A6C" w14:textId="77777777" w:rsidR="000E3652" w:rsidRDefault="000E3652" w:rsidP="00FA0C14">
            <w:r>
              <w:t>Equivalent 100%</w:t>
            </w:r>
          </w:p>
        </w:tc>
        <w:tc>
          <w:tcPr>
            <w:tcW w:w="1530" w:type="dxa"/>
          </w:tcPr>
          <w:p w14:paraId="1DEBBC9C" w14:textId="77777777" w:rsidR="000E3652" w:rsidRDefault="000E3652" w:rsidP="00FA0C14">
            <w:r>
              <w:t>449.1</w:t>
            </w:r>
          </w:p>
          <w:p w14:paraId="77AF6B62" w14:textId="77777777" w:rsidR="000E3652" w:rsidRDefault="000E3652" w:rsidP="00FA0C14">
            <w:r>
              <w:t>112</w:t>
            </w:r>
          </w:p>
        </w:tc>
        <w:tc>
          <w:tcPr>
            <w:tcW w:w="3600" w:type="dxa"/>
          </w:tcPr>
          <w:p w14:paraId="1FB79014" w14:textId="77777777" w:rsidR="000E3652" w:rsidRDefault="000E3652" w:rsidP="00FA0C14">
            <w:r>
              <w:t>Doses – 200, 400 and 500 mg/kg</w:t>
            </w:r>
          </w:p>
          <w:p w14:paraId="601F244F" w14:textId="77777777" w:rsidR="000E3652" w:rsidRDefault="000E3652" w:rsidP="00FA0C14">
            <w:r>
              <w:t xml:space="preserve">5 rats at 200 and 500 mg/kg and </w:t>
            </w:r>
            <w:proofErr w:type="gramStart"/>
            <w:r>
              <w:t>10  rats</w:t>
            </w:r>
            <w:proofErr w:type="gramEnd"/>
            <w:r>
              <w:t xml:space="preserve"> at 400 mg/kg</w:t>
            </w:r>
          </w:p>
          <w:p w14:paraId="25C0CAC2" w14:textId="77777777" w:rsidR="000E3652" w:rsidRDefault="000E3652" w:rsidP="00FA0C14">
            <w:r>
              <w:t>3 of 5 animals died at 500 mg/kg; 2 of 10 animals dies at 400 mg/kg; no mortality at 200 mg/kg</w:t>
            </w:r>
          </w:p>
        </w:tc>
      </w:tr>
      <w:tr w:rsidR="000E3652" w14:paraId="48C2611B" w14:textId="77777777" w:rsidTr="00FA0C14">
        <w:tc>
          <w:tcPr>
            <w:tcW w:w="1170" w:type="dxa"/>
          </w:tcPr>
          <w:p w14:paraId="61131426" w14:textId="77777777" w:rsidR="000E3652" w:rsidRDefault="000E3652" w:rsidP="00FA0C14">
            <w:pPr>
              <w:jc w:val="center"/>
            </w:pPr>
            <w:r>
              <w:t>4</w:t>
            </w:r>
          </w:p>
        </w:tc>
        <w:tc>
          <w:tcPr>
            <w:tcW w:w="900" w:type="dxa"/>
          </w:tcPr>
          <w:p w14:paraId="33F8E320" w14:textId="77777777" w:rsidR="000E3652" w:rsidRDefault="000E3652" w:rsidP="00FA0C14">
            <w:r>
              <w:t>Rat</w:t>
            </w:r>
          </w:p>
        </w:tc>
        <w:tc>
          <w:tcPr>
            <w:tcW w:w="2250" w:type="dxa"/>
          </w:tcPr>
          <w:p w14:paraId="6E2E1CFC" w14:textId="77777777" w:rsidR="000E3652" w:rsidRDefault="000E3652" w:rsidP="00FA0C14">
            <w:r>
              <w:t>25% Aqueous Solution</w:t>
            </w:r>
          </w:p>
          <w:p w14:paraId="7A1AF1FE" w14:textId="77777777" w:rsidR="000E3652" w:rsidRDefault="000E3652" w:rsidP="00FA0C14">
            <w:r>
              <w:t>Equivalent 100%</w:t>
            </w:r>
          </w:p>
        </w:tc>
        <w:tc>
          <w:tcPr>
            <w:tcW w:w="1530" w:type="dxa"/>
          </w:tcPr>
          <w:p w14:paraId="76C2A69D" w14:textId="77777777" w:rsidR="000E3652" w:rsidRDefault="000E3652" w:rsidP="00FA0C14">
            <w:r>
              <w:t>&gt;200-&lt;1000</w:t>
            </w:r>
          </w:p>
          <w:p w14:paraId="247ED34B" w14:textId="77777777" w:rsidR="000E3652" w:rsidRDefault="000E3652" w:rsidP="00FA0C14">
            <w:r>
              <w:t>&gt;50 - &lt;250</w:t>
            </w:r>
          </w:p>
        </w:tc>
        <w:tc>
          <w:tcPr>
            <w:tcW w:w="3600" w:type="dxa"/>
          </w:tcPr>
          <w:p w14:paraId="307C9A45" w14:textId="77777777" w:rsidR="000E3652" w:rsidRDefault="000E3652" w:rsidP="00FA0C14">
            <w:r>
              <w:t>Doses – 200, 1000 and 2000 mg/kg</w:t>
            </w:r>
          </w:p>
          <w:p w14:paraId="3737217C" w14:textId="77777777" w:rsidR="000E3652" w:rsidRDefault="000E3652" w:rsidP="00FA0C14">
            <w:r>
              <w:t>10 rats at 200 mg/kg, 3 rats at 1000 and 2000 mg/kg</w:t>
            </w:r>
          </w:p>
          <w:p w14:paraId="590C5269" w14:textId="77777777" w:rsidR="000E3652" w:rsidRDefault="000E3652" w:rsidP="00FA0C14">
            <w:r>
              <w:t>All animals died at 1000 and 2000 mg/</w:t>
            </w:r>
            <w:proofErr w:type="gramStart"/>
            <w:r>
              <w:t>kg;</w:t>
            </w:r>
            <w:proofErr w:type="gramEnd"/>
            <w:r>
              <w:t xml:space="preserve"> no mortality at 200 mg/kg</w:t>
            </w:r>
          </w:p>
        </w:tc>
      </w:tr>
    </w:tbl>
    <w:p w14:paraId="64143647" w14:textId="77777777" w:rsidR="000E3652" w:rsidRDefault="000E3652" w:rsidP="000E3652"/>
    <w:p w14:paraId="76732A17" w14:textId="77777777" w:rsidR="000E3652" w:rsidRDefault="000E3652" w:rsidP="000E3652">
      <w:bookmarkStart w:id="1" w:name="_Hlk111033509"/>
      <w:r w:rsidRPr="00D47515">
        <w:t xml:space="preserve">It is recognized that the transport regulations specify dermal toxicity testing in rabbits rather than rats. However, many experts have concluded that the dermal toxicity values for these two species are comparable and since 2017 OECD 402 has specified that the adult rats are the preferred species to be used for dermal toxicity testing. Prior to 2017, rats, rabbits and guinea pigs were listed as options. </w:t>
      </w:r>
    </w:p>
    <w:p w14:paraId="3B22AE90" w14:textId="77777777" w:rsidR="000E3652" w:rsidRPr="00D47515" w:rsidRDefault="000E3652" w:rsidP="000E3652"/>
    <w:p w14:paraId="3C8FAE0B" w14:textId="77777777" w:rsidR="000E3652" w:rsidRDefault="000E3652" w:rsidP="000E3652">
      <w:r w:rsidRPr="00D47515">
        <w:t xml:space="preserve">The GHS specifies both rats and rabbits as the preferred species for dermal toxicity testing with no adjustment of the criteria. In the case where both rat and rabbit data are available and the data disagrees the GHS </w:t>
      </w:r>
      <w:proofErr w:type="gramStart"/>
      <w:r w:rsidRPr="00D47515">
        <w:t>advises;  “</w:t>
      </w:r>
      <w:proofErr w:type="gramEnd"/>
      <w:r w:rsidRPr="00D47515">
        <w:t xml:space="preserve">When experimental data for acute toxicity are available in several animal species, scientific judgement should be used in selecting the most appropriate LD50 value from among valid, well-performed tests.” This recognizes that all useful animal data should be used for classification, assigning both the hazard class and category (equivalent to the packing group).  </w:t>
      </w:r>
    </w:p>
    <w:p w14:paraId="6F14ACC4" w14:textId="77777777" w:rsidR="000E3652" w:rsidRPr="00D47515" w:rsidRDefault="000E3652" w:rsidP="000E3652"/>
    <w:p w14:paraId="0734D411" w14:textId="77777777" w:rsidR="000E3652" w:rsidRPr="00D47515" w:rsidRDefault="000E3652" w:rsidP="000E3652">
      <w:r w:rsidRPr="00D47515">
        <w:t xml:space="preserve"> In a 2004 article by C. </w:t>
      </w:r>
      <w:proofErr w:type="spellStart"/>
      <w:r w:rsidRPr="00D47515">
        <w:t>Auletta</w:t>
      </w:r>
      <w:proofErr w:type="spellEnd"/>
      <w:r w:rsidRPr="00D47515">
        <w:t xml:space="preserve"> titled “Current in vivo Assays for Cutaneous Toxicity: Local and Systemic Toxicity Testing” published in the journal </w:t>
      </w:r>
      <w:r w:rsidRPr="00D47515">
        <w:rPr>
          <w:i/>
          <w:iCs/>
        </w:rPr>
        <w:t>Basic &amp; Clinical Pharmacology &amp; Toxicology</w:t>
      </w:r>
      <w:r w:rsidRPr="00D47515">
        <w:t xml:space="preserve"> the author states: </w:t>
      </w:r>
    </w:p>
    <w:p w14:paraId="10B84335" w14:textId="77777777" w:rsidR="000E3652" w:rsidRDefault="000E3652" w:rsidP="000E3652">
      <w:pPr>
        <w:ind w:left="720"/>
        <w:rPr>
          <w:color w:val="292526"/>
        </w:rPr>
      </w:pPr>
      <w:r w:rsidRPr="00D47515">
        <w:t>“</w:t>
      </w:r>
      <w:r w:rsidRPr="00D47515">
        <w:rPr>
          <w:color w:val="292526"/>
        </w:rPr>
        <w:t xml:space="preserve">The albino rabbit has historically been the model of choice for local toxicity (irritation) and for acute and </w:t>
      </w:r>
      <w:proofErr w:type="spellStart"/>
      <w:r w:rsidRPr="00D47515">
        <w:rPr>
          <w:color w:val="292526"/>
        </w:rPr>
        <w:t>subchronic</w:t>
      </w:r>
      <w:proofErr w:type="spellEnd"/>
      <w:r w:rsidRPr="00D47515">
        <w:rPr>
          <w:color w:val="292526"/>
        </w:rPr>
        <w:t xml:space="preserve"> systemic toxicity evaluations. The choice of this model was based on factors such as size and ease of handling and the high permeability of its skin. However, because of the rabbit’s enhanced sensitivity to dermal insult, it is generally considered to be over-predictive and the relevance to humans of irritation seen in rabbits has been questioned (National Academy of Sciences 1977). Many current regulations specify the albino rat as preferable to the rabbit, although the rabbit is still the standard for local toxicity (irritation) evaluations. The guinea pig is generally listed in testing guidelines as an acceptable species, but it is rarely used in toxicity evaluations.” </w:t>
      </w:r>
    </w:p>
    <w:p w14:paraId="07F6F01F" w14:textId="77777777" w:rsidR="000E3652" w:rsidRPr="00D47515" w:rsidRDefault="000E3652" w:rsidP="000E3652">
      <w:pPr>
        <w:ind w:left="720"/>
      </w:pPr>
    </w:p>
    <w:p w14:paraId="27667AA7" w14:textId="77777777" w:rsidR="000E3652" w:rsidRDefault="000E3652" w:rsidP="000E3652">
      <w:r w:rsidRPr="00D47515">
        <w:t>In the OECD Guidance Notes on Dermal Absorption (Draft Second Edition) from October 2019, it is stated “However, the rat is the preferred species for in vivo studies because of consistency and the fact that more extensive and complete data can be collected in this species (</w:t>
      </w:r>
      <w:proofErr w:type="gramStart"/>
      <w:r w:rsidRPr="00D47515">
        <w:t>e.g.</w:t>
      </w:r>
      <w:proofErr w:type="gramEnd"/>
      <w:r w:rsidRPr="00D47515">
        <w:t xml:space="preserve"> excreta and carcass).” It further states “As rat (or rabbit) skin is more permeable than human skin, an appropriately conducted in vitro or in vivo study is unlikely to underestimate dermal absorption in humans.” </w:t>
      </w:r>
    </w:p>
    <w:p w14:paraId="217C24A6" w14:textId="77777777" w:rsidR="000E3652" w:rsidRPr="00D47515" w:rsidRDefault="000E3652" w:rsidP="000E3652"/>
    <w:p w14:paraId="3296AED3" w14:textId="77777777" w:rsidR="000E3652" w:rsidRPr="00D47515" w:rsidRDefault="000E3652" w:rsidP="000E3652">
      <w:proofErr w:type="gramStart"/>
      <w:r w:rsidRPr="00D47515">
        <w:t>Based on the fact that</w:t>
      </w:r>
      <w:proofErr w:type="gramEnd"/>
      <w:r w:rsidRPr="00D47515">
        <w:t xml:space="preserve"> the current OECD method for dermal toxicity specifies the rat as the preferred species and many other regulatory systems require these tests for registration and other regulatory purposes, almost all new testing is being conducted with rats. Both GHS and transport classifications are being based on these data. To conduct an additional test in rabbits solely for transport classification would result in unnecessary animal testing. </w:t>
      </w:r>
    </w:p>
    <w:p w14:paraId="59BDA92C" w14:textId="77777777" w:rsidR="000E3652" w:rsidRDefault="000E3652" w:rsidP="000E3652">
      <w:r w:rsidRPr="00D47515">
        <w:t>In this case, as we have no valid rabbit test data, it is appropriate to use the rat data that was generated using accepted international standards and good laboratory practice to assign transport packing groups.</w:t>
      </w:r>
      <w:r>
        <w:t xml:space="preserve"> </w:t>
      </w:r>
    </w:p>
    <w:bookmarkEnd w:id="1"/>
    <w:p w14:paraId="5C0FD2A0" w14:textId="77777777" w:rsidR="000E3652" w:rsidRPr="00DE0D96" w:rsidRDefault="000E3652" w:rsidP="000E3652">
      <w:pPr>
        <w:spacing w:line="240" w:lineRule="auto"/>
        <w:rPr>
          <w:rFonts w:cstheme="minorHAnsi"/>
        </w:rPr>
      </w:pPr>
    </w:p>
    <w:p w14:paraId="66103590" w14:textId="77777777" w:rsidR="000E3652" w:rsidRDefault="000E3652" w:rsidP="000E3652">
      <w:r>
        <w:t xml:space="preserve">Under the GHS, some countries have reviewed TMAH and have assigned hazard classifications for TMAH as a substance. In some </w:t>
      </w:r>
      <w:proofErr w:type="gramStart"/>
      <w:r>
        <w:t>cases</w:t>
      </w:r>
      <w:proofErr w:type="gramEnd"/>
      <w:r>
        <w:t xml:space="preserve"> these classifications are mandatory and in others advisory. The following are Competent Authority Assigned Dermal Toxicity Classifications for TMAH. </w:t>
      </w:r>
    </w:p>
    <w:p w14:paraId="16E3D5AB" w14:textId="77777777" w:rsidR="000E3652" w:rsidRDefault="000E3652" w:rsidP="000E3652">
      <w:pPr>
        <w:jc w:val="center"/>
      </w:pPr>
      <w:r>
        <w:t>Japan – Category 2 (recommended)</w:t>
      </w:r>
    </w:p>
    <w:p w14:paraId="3D88BA5E" w14:textId="77777777" w:rsidR="000E3652" w:rsidRDefault="000E3652" w:rsidP="000E3652">
      <w:pPr>
        <w:jc w:val="center"/>
      </w:pPr>
      <w:r>
        <w:t>Australia – Category 3 (recommended)</w:t>
      </w:r>
    </w:p>
    <w:p w14:paraId="4162794C" w14:textId="77777777" w:rsidR="000E3652" w:rsidRDefault="000E3652" w:rsidP="000E3652">
      <w:pPr>
        <w:jc w:val="center"/>
      </w:pPr>
      <w:r>
        <w:t>New Zealand – No dermal classification</w:t>
      </w:r>
    </w:p>
    <w:p w14:paraId="79D42795" w14:textId="63093C6B" w:rsidR="000E3652" w:rsidRDefault="000E3652" w:rsidP="000E3652">
      <w:pPr>
        <w:jc w:val="center"/>
      </w:pPr>
      <w:r>
        <w:t>Korea – Category 1 (mandatory)</w:t>
      </w:r>
    </w:p>
    <w:p w14:paraId="745FCEDA" w14:textId="1A8F7650" w:rsidR="00F34BDB" w:rsidRDefault="00F34BDB">
      <w:pPr>
        <w:suppressAutoHyphens w:val="0"/>
        <w:kinsoku/>
        <w:overflowPunct/>
        <w:autoSpaceDE/>
        <w:autoSpaceDN/>
        <w:adjustRightInd/>
        <w:snapToGrid/>
        <w:spacing w:after="200" w:line="276" w:lineRule="auto"/>
      </w:pPr>
      <w:r>
        <w:br w:type="page"/>
      </w:r>
    </w:p>
    <w:p w14:paraId="3BAB3A51" w14:textId="0A0C7BAB" w:rsidR="00F34BDB" w:rsidRDefault="00F34BDB" w:rsidP="00F34BDB">
      <w:r>
        <w:t xml:space="preserve">Australia has developed a Human Health Tier II assessment for TMAH and its pentahydrate. This was published June 28, 2019, and is available </w:t>
      </w:r>
      <w:hyperlink r:id="rId12" w:history="1">
        <w:r w:rsidRPr="004C18CA">
          <w:rPr>
            <w:rStyle w:val="Hyperlink"/>
          </w:rPr>
          <w:t>here</w:t>
        </w:r>
      </w:hyperlink>
      <w:r>
        <w:t xml:space="preserve">. The data reported are the same as cited above from the REACH Registration. This assessment concluded a GHS classification of Acute Toxicity Oral and Dermal Category 3, relying on the 112 mg/kg data point. </w:t>
      </w:r>
    </w:p>
    <w:p w14:paraId="32E9176F" w14:textId="77777777" w:rsidR="00F34BDB" w:rsidRDefault="00F34BDB" w:rsidP="00F34BDB"/>
    <w:p w14:paraId="3334C748" w14:textId="77777777" w:rsidR="00F34BDB" w:rsidRDefault="00F34BDB" w:rsidP="00F34BDB">
      <w:r>
        <w:t xml:space="preserve">The findings in laboratory animals are consistent with the human experience with TMAH and the toxic effects are similar. In these dermal studies TMAH was absorbed through the skin to cause acutely lethal effects when the doses were high enough. These studies were all conducted following internationally accepted standardized methods using good laboratory practice. Based on both human experience and the animal data presented above, it is appropriate to conclude that TMAH should be assigned during transport to Division 6.1 (in addition to any other hazards). Since 2 of the 4 studies indicate a dermal toxicity of &lt;50 mg/kg, it would seem appropriate to assign 100% TMAH to packing group I based on dermal toxicity. </w:t>
      </w:r>
    </w:p>
    <w:p w14:paraId="0ACDD35A" w14:textId="77777777" w:rsidR="00F34BDB" w:rsidRDefault="00F34BDB" w:rsidP="00F34BDB"/>
    <w:p w14:paraId="1531CE08" w14:textId="77777777" w:rsidR="00F34BDB" w:rsidRPr="00852BFA" w:rsidRDefault="00F34BDB" w:rsidP="00F34BDB">
      <w:pPr>
        <w:rPr>
          <w:b/>
          <w:bCs/>
        </w:rPr>
      </w:pPr>
      <w:r w:rsidRPr="00852BFA">
        <w:rPr>
          <w:b/>
          <w:bCs/>
        </w:rPr>
        <w:t>Human Experience</w:t>
      </w:r>
    </w:p>
    <w:p w14:paraId="32B9D46F" w14:textId="02C2E65F" w:rsidR="00F34BDB" w:rsidRPr="00852BFA" w:rsidRDefault="00F34BDB" w:rsidP="00F34BDB">
      <w:pPr>
        <w:spacing w:line="240" w:lineRule="auto"/>
        <w:rPr>
          <w:rFonts w:cstheme="minorHAnsi"/>
        </w:rPr>
      </w:pPr>
      <w:r w:rsidRPr="00852BFA">
        <w:t xml:space="preserve">There have been </w:t>
      </w:r>
      <w:proofErr w:type="gramStart"/>
      <w:r w:rsidRPr="00852BFA">
        <w:t>a number of</w:t>
      </w:r>
      <w:proofErr w:type="gramEnd"/>
      <w:r w:rsidRPr="00852BFA">
        <w:t xml:space="preserve"> reported cases of worker exposure to TMAH where toxic effects were observed. These reports support the conclusion that TMAH should be classified for acute toxicity in addition to corrosivity for transport. These cases were summarized in the report by Charles River Laboratories titled: “</w:t>
      </w:r>
      <w:r w:rsidRPr="00852BFA">
        <w:rPr>
          <w:rFonts w:cstheme="minorHAnsi"/>
        </w:rPr>
        <w:t xml:space="preserve">Expert Statement on the co-exposure of TMAH and Ethoxylated Alcohols and its toxicological relevance” In the summary, it is observed that there has been only one case of death resulting where the exposures were to concentrations below 25%. In that case, the individual was exposed to a mixture containing several additional chemicals including 5% </w:t>
      </w:r>
      <w:proofErr w:type="spellStart"/>
      <w:r w:rsidRPr="00852BFA">
        <w:rPr>
          <w:rFonts w:cstheme="minorHAnsi"/>
        </w:rPr>
        <w:t>monoethanolamine</w:t>
      </w:r>
      <w:proofErr w:type="spellEnd"/>
      <w:r w:rsidRPr="00852BFA">
        <w:rPr>
          <w:rFonts w:cstheme="minorHAnsi"/>
        </w:rPr>
        <w:t xml:space="preserve"> and 10% ethoxylated alcohol (a non-ionic surfactant). The concentration of TMAH in the mixture was 8.75%. This exposure was not to a simple aqueous solution of TMAH. </w:t>
      </w:r>
    </w:p>
    <w:p w14:paraId="1E1783C3" w14:textId="77777777" w:rsidR="00F34BDB" w:rsidRPr="00852BFA" w:rsidRDefault="00F34BDB" w:rsidP="00F34BDB">
      <w:pPr>
        <w:spacing w:line="240" w:lineRule="auto"/>
        <w:rPr>
          <w:rFonts w:cstheme="minorHAnsi"/>
        </w:rPr>
      </w:pPr>
    </w:p>
    <w:p w14:paraId="072696BA" w14:textId="77777777" w:rsidR="00F34BDB" w:rsidRPr="00852BFA" w:rsidRDefault="00F34BDB" w:rsidP="00F34BDB">
      <w:pPr>
        <w:spacing w:line="240" w:lineRule="auto"/>
        <w:rPr>
          <w:rFonts w:cstheme="minorHAnsi"/>
        </w:rPr>
      </w:pPr>
      <w:r w:rsidRPr="00852BFA">
        <w:rPr>
          <w:rFonts w:cstheme="minorHAnsi"/>
        </w:rPr>
        <w:t xml:space="preserve">This exposure was not a transportation accident. The exposure occurred when an employee was conducting a demonstration of a pellet cleaning formulation. The worker had created a temporary enclosure for the cleaning solution by placing pallets to form a well in the </w:t>
      </w:r>
      <w:proofErr w:type="spellStart"/>
      <w:r w:rsidRPr="00852BFA">
        <w:rPr>
          <w:rFonts w:cstheme="minorHAnsi"/>
        </w:rPr>
        <w:t>center</w:t>
      </w:r>
      <w:proofErr w:type="spellEnd"/>
      <w:r w:rsidRPr="00852BFA">
        <w:rPr>
          <w:rFonts w:cstheme="minorHAnsi"/>
        </w:rPr>
        <w:t xml:space="preserve"> for the cleaning bath. While standing in the well, he opened the bung of the drum. The liquid quickly poured out wetting his Skin and work clothing on his legs, </w:t>
      </w:r>
      <w:proofErr w:type="gramStart"/>
      <w:r w:rsidRPr="00852BFA">
        <w:rPr>
          <w:rFonts w:cstheme="minorHAnsi"/>
        </w:rPr>
        <w:t>hands</w:t>
      </w:r>
      <w:proofErr w:type="gramEnd"/>
      <w:r w:rsidRPr="00852BFA">
        <w:rPr>
          <w:rFonts w:cstheme="minorHAnsi"/>
        </w:rPr>
        <w:t xml:space="preserve"> and arms. He was not wearing any impervious protective clothing – only safety shoes, cotton gloves and normal work clothing. He continued to fill the bath with the cleaner and water for about 10 minutes while wearing the wet clothing. He went to a washroom to rinse his clothes after approximately 18 minutes but returned 2-3 minutes later stating that he could not rinse his clothing there. He was directed to a shower room a few minutes later. The worker was found unconscious in front of the shower room door an hour later. He was undressed but was not wet so had apparently not actually showered. The authors of the article on this accident did not discuss the label or SDS for this cleaner but since the product contained 8.75% TMAH, it should have been classified minimally as corrosive and appropriate protective clothing and equipment including impervious gloves, clothing, </w:t>
      </w:r>
      <w:proofErr w:type="gramStart"/>
      <w:r w:rsidRPr="00852BFA">
        <w:rPr>
          <w:rFonts w:cstheme="minorHAnsi"/>
        </w:rPr>
        <w:t>boots</w:t>
      </w:r>
      <w:proofErr w:type="gramEnd"/>
      <w:r w:rsidRPr="00852BFA">
        <w:rPr>
          <w:rFonts w:cstheme="minorHAnsi"/>
        </w:rPr>
        <w:t xml:space="preserve"> and eye/face protection should have been used. A safety shower and eye </w:t>
      </w:r>
      <w:proofErr w:type="gramStart"/>
      <w:r w:rsidRPr="00852BFA">
        <w:rPr>
          <w:rFonts w:cstheme="minorHAnsi"/>
        </w:rPr>
        <w:t>was</w:t>
      </w:r>
      <w:proofErr w:type="gramEnd"/>
      <w:r w:rsidRPr="00852BFA">
        <w:rPr>
          <w:rFonts w:cstheme="minorHAnsi"/>
        </w:rPr>
        <w:t xml:space="preserve"> should have been in the immediate area where corrosive chemicals are handled. This was a tragic industrial accident resulting from extremely poor work practices that could easily have been prevented. </w:t>
      </w:r>
    </w:p>
    <w:p w14:paraId="6E710A9A" w14:textId="77777777" w:rsidR="00F34BDB" w:rsidRPr="00852BFA" w:rsidRDefault="00F34BDB" w:rsidP="00F34BDB">
      <w:pPr>
        <w:spacing w:line="240" w:lineRule="auto"/>
        <w:rPr>
          <w:rFonts w:cstheme="minorHAnsi"/>
        </w:rPr>
      </w:pPr>
    </w:p>
    <w:p w14:paraId="01B09628" w14:textId="77777777" w:rsidR="00F34BDB" w:rsidRPr="00852BFA" w:rsidRDefault="00F34BDB" w:rsidP="00F34BDB">
      <w:pPr>
        <w:spacing w:line="240" w:lineRule="auto"/>
        <w:rPr>
          <w:rFonts w:cstheme="minorHAnsi"/>
        </w:rPr>
      </w:pPr>
      <w:r w:rsidRPr="00852BFA">
        <w:rPr>
          <w:rFonts w:cstheme="minorHAnsi"/>
        </w:rPr>
        <w:t xml:space="preserve">It is well known that surfactants enhance skin absorption of chemicals. Surfactants are currently used as penetration enhancers in dermal drug delivery systems. In the articles “Role of Surfactants as Penetration Enhancer in Transdermal Drug Delivery Systems” by A. Pandey et al. published in the Journal of Molecular Pharmaceutics &amp; Organic Processes” in 2014 and “Status of surfactants as penetration enhancers in transdermal drug delivery” by I. </w:t>
      </w:r>
      <w:proofErr w:type="spellStart"/>
      <w:r w:rsidRPr="00852BFA">
        <w:rPr>
          <w:rFonts w:cstheme="minorHAnsi"/>
        </w:rPr>
        <w:t>Som</w:t>
      </w:r>
      <w:proofErr w:type="spellEnd"/>
      <w:r w:rsidRPr="00852BFA">
        <w:rPr>
          <w:rFonts w:cstheme="minorHAnsi"/>
        </w:rPr>
        <w:t xml:space="preserve"> et al. published in the Journal of Pharmacy and </w:t>
      </w:r>
      <w:proofErr w:type="spellStart"/>
      <w:r w:rsidRPr="00852BFA">
        <w:rPr>
          <w:rFonts w:cstheme="minorHAnsi"/>
        </w:rPr>
        <w:t>Bioallied</w:t>
      </w:r>
      <w:proofErr w:type="spellEnd"/>
      <w:r w:rsidRPr="00852BFA">
        <w:rPr>
          <w:rFonts w:cstheme="minorHAnsi"/>
        </w:rPr>
        <w:t xml:space="preserve"> Sciences in 2012, the authors observe that surfactants are used to increase the transfer of drugs through the skin. Both articles discuss the use of </w:t>
      </w:r>
      <w:proofErr w:type="spellStart"/>
      <w:r w:rsidRPr="00852BFA">
        <w:rPr>
          <w:rFonts w:cstheme="minorHAnsi"/>
        </w:rPr>
        <w:t>nonionic</w:t>
      </w:r>
      <w:proofErr w:type="spellEnd"/>
      <w:r w:rsidRPr="00852BFA">
        <w:rPr>
          <w:rFonts w:cstheme="minorHAnsi"/>
        </w:rPr>
        <w:t xml:space="preserve"> surfactants such as ethoxylated alcohols in these applications. The presence of this surfactant in this mixture could have acted to enhance the absorption of TMAH resulting is a more serious poisoning than would have occurred with a simple aqueous solution. </w:t>
      </w:r>
    </w:p>
    <w:p w14:paraId="6E7D38B2" w14:textId="77777777" w:rsidR="00F34BDB" w:rsidRPr="00852BFA" w:rsidRDefault="00F34BDB" w:rsidP="00F34BDB">
      <w:pPr>
        <w:spacing w:line="240" w:lineRule="auto"/>
        <w:rPr>
          <w:rFonts w:cstheme="minorHAnsi"/>
        </w:rPr>
      </w:pPr>
    </w:p>
    <w:p w14:paraId="54F4FF66" w14:textId="77777777" w:rsidR="00F34BDB" w:rsidRDefault="00F34BDB" w:rsidP="00F34BDB">
      <w:pPr>
        <w:spacing w:line="240" w:lineRule="auto"/>
        <w:rPr>
          <w:rFonts w:cstheme="minorHAnsi"/>
        </w:rPr>
      </w:pPr>
      <w:r w:rsidRPr="00852BFA">
        <w:rPr>
          <w:rFonts w:cstheme="minorHAnsi"/>
        </w:rPr>
        <w:t>This case supports the conclusion that TMAH presents a dermal toxicity hazard but should not be used to assign a degree of hazard to aqueous TMAH solutions because of the confounding factors.</w:t>
      </w:r>
    </w:p>
    <w:p w14:paraId="55F6CAD7" w14:textId="77777777" w:rsidR="00F34BDB" w:rsidRDefault="00F34BDB" w:rsidP="00F34BDB"/>
    <w:p w14:paraId="77D06B53" w14:textId="77777777" w:rsidR="00F34BDB" w:rsidRPr="00EE6E19" w:rsidRDefault="00F34BDB" w:rsidP="00F34BDB">
      <w:pPr>
        <w:rPr>
          <w:b/>
          <w:bCs/>
        </w:rPr>
      </w:pPr>
      <w:r w:rsidRPr="00EE6E19">
        <w:rPr>
          <w:b/>
          <w:bCs/>
        </w:rPr>
        <w:t>Mixture Classification</w:t>
      </w:r>
    </w:p>
    <w:p w14:paraId="11B24B76" w14:textId="77777777" w:rsidR="00F34BDB" w:rsidRDefault="00F34BDB" w:rsidP="00F34BDB">
      <w:r>
        <w:t>While incidental human exposure can certainly provide valuable information regarding potential hazards of chemicals, these unfortunate incidents cannot accurately inform us on assignment of packing groups. The information from these incidents is not detailed or well reported enough to provide the dose data needed to assign packing groups under the agreed criteria. While we cannot ignore human experience, where good quality animal test data are available, we should rely on those data for assignment of the appropriate packing group.</w:t>
      </w:r>
    </w:p>
    <w:p w14:paraId="0005AE89" w14:textId="77777777" w:rsidR="00F34BDB" w:rsidRDefault="00F34BDB" w:rsidP="00F34BDB"/>
    <w:p w14:paraId="750567E0" w14:textId="77777777" w:rsidR="00F34BDB" w:rsidRDefault="00F34BDB" w:rsidP="00F34BDB">
      <w:r>
        <w:t>Under the UN TDG Regulations, the toxicity of mixtures is determined following the procedures at 2.6.2.3 to classify and assign the packing group.</w:t>
      </w:r>
    </w:p>
    <w:p w14:paraId="6B6EFFB9" w14:textId="77777777" w:rsidR="00F34BDB" w:rsidRDefault="00F34BDB" w:rsidP="00F34BDB">
      <w:r>
        <w:rPr>
          <w:noProof/>
        </w:rPr>
        <w:drawing>
          <wp:inline distT="0" distB="0" distL="0" distR="0" wp14:anchorId="047BA042" wp14:editId="15BFC89D">
            <wp:extent cx="5505450" cy="1876425"/>
            <wp:effectExtent l="0" t="0" r="0" b="9525"/>
            <wp:docPr id="3" name="Picture 3"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letter&#10;&#10;Description automatically generated"/>
                    <pic:cNvPicPr/>
                  </pic:nvPicPr>
                  <pic:blipFill>
                    <a:blip r:embed="rId13"/>
                    <a:stretch>
                      <a:fillRect/>
                    </a:stretch>
                  </pic:blipFill>
                  <pic:spPr>
                    <a:xfrm>
                      <a:off x="0" y="0"/>
                      <a:ext cx="5505450" cy="1876425"/>
                    </a:xfrm>
                    <a:prstGeom prst="rect">
                      <a:avLst/>
                    </a:prstGeom>
                  </pic:spPr>
                </pic:pic>
              </a:graphicData>
            </a:graphic>
          </wp:inline>
        </w:drawing>
      </w:r>
    </w:p>
    <w:p w14:paraId="1C5553DF" w14:textId="77777777" w:rsidR="00F34BDB" w:rsidRDefault="00F34BDB" w:rsidP="00F34BDB">
      <w:r>
        <w:t xml:space="preserve">Aqueous solutions of TMAH contain only one active substance but 2.6.2.3.2 states that the dermal toxicity of the mixture is determined using the formula in the absence of reliable data on the actual mixture to be transported. </w:t>
      </w:r>
    </w:p>
    <w:p w14:paraId="7E1258A6" w14:textId="7AC253E7" w:rsidR="00F34BDB" w:rsidRDefault="00F34BDB" w:rsidP="00F34BDB">
      <w:r>
        <w:t>We have three reliable animal studies of 25% aqueous solutions of TMAH. The lowest reported LD50 from these studies is &gt;50 – 200 mg/kg. That would result in this mixture being assigned to packing group II. We also have one reliable study with a 2.5% aqueous solution that would result in that mixture not being classified as 6.1 for transport.</w:t>
      </w:r>
    </w:p>
    <w:p w14:paraId="20DFC46E" w14:textId="77777777" w:rsidR="00F34BDB" w:rsidRDefault="00F34BDB" w:rsidP="00F34BDB"/>
    <w:p w14:paraId="437F67A2" w14:textId="77777777" w:rsidR="00F34BDB" w:rsidRDefault="00F34BDB" w:rsidP="00F34BDB">
      <w:r>
        <w:t>If the mixture contains only one active substance, and the LD50 of that constituent is known, in the absence of reliable data on the actual mixture, the dermal LD50 may be obtained by calculation using the formula above. This approach can also be used to determine the concentration of the active substance in a mixture at which a packing group assignment would be applied.</w:t>
      </w:r>
    </w:p>
    <w:p w14:paraId="09B78A1F" w14:textId="77777777" w:rsidR="00F34BDB" w:rsidRDefault="00F34BDB" w:rsidP="00F34BDB"/>
    <w:p w14:paraId="613A79B0" w14:textId="77777777" w:rsidR="00F34BDB" w:rsidRPr="00C03CA8" w:rsidRDefault="00F34BDB" w:rsidP="00F34BDB">
      <w:r w:rsidRPr="00C03CA8">
        <w:t xml:space="preserve">We know that the 2 lowest </w:t>
      </w:r>
      <w:proofErr w:type="gramStart"/>
      <w:r w:rsidRPr="00C03CA8">
        <w:t>substance</w:t>
      </w:r>
      <w:proofErr w:type="gramEnd"/>
      <w:r w:rsidRPr="00C03CA8">
        <w:t xml:space="preserve"> dermal LD50 based on reliable animal studies are &gt;12.5 - &lt;50 mg/kg and &gt;25 - &lt;50 mg/kg. Based on these data, we can conclude that the LD50 of the substance is between 25 and 50 mg/kg. </w:t>
      </w:r>
    </w:p>
    <w:p w14:paraId="1B5B3825" w14:textId="39DFEA52" w:rsidR="00F34BDB" w:rsidRDefault="00F34BDB" w:rsidP="00F34BDB">
      <w:r w:rsidRPr="00C03CA8">
        <w:t>If we use the active substance LD50 value of 25 mg/kg we can calculate that concentration which would be assigned to PG II using the formula.</w:t>
      </w:r>
    </w:p>
    <w:p w14:paraId="1585A9CD" w14:textId="77777777" w:rsidR="00F34BDB" w:rsidRPr="00C03CA8" w:rsidRDefault="00F34BDB" w:rsidP="00F34BDB"/>
    <w:p w14:paraId="43CFE674" w14:textId="77777777" w:rsidR="00F34BDB" w:rsidRPr="00C03CA8" w:rsidRDefault="00F34BDB" w:rsidP="00F34BDB">
      <w:pPr>
        <w:spacing w:line="240" w:lineRule="auto"/>
      </w:pPr>
      <w:r w:rsidRPr="00C03CA8">
        <w:tab/>
      </w:r>
      <w:r w:rsidRPr="00C03CA8">
        <w:tab/>
        <w:t xml:space="preserve">51 mg/kg =   </w:t>
      </w:r>
      <w:r w:rsidRPr="00C03CA8">
        <w:rPr>
          <w:u w:val="single"/>
        </w:rPr>
        <w:t>25 x 100</w:t>
      </w:r>
      <w:r w:rsidRPr="00C03CA8">
        <w:t xml:space="preserve">          x = 49%</w:t>
      </w:r>
    </w:p>
    <w:p w14:paraId="19C8C6D6" w14:textId="77777777" w:rsidR="00F34BDB" w:rsidRPr="00C03CA8" w:rsidRDefault="00F34BDB" w:rsidP="00F34BDB">
      <w:pPr>
        <w:spacing w:line="240" w:lineRule="auto"/>
      </w:pPr>
      <w:r w:rsidRPr="00C03CA8">
        <w:t xml:space="preserve">                                                         X</w:t>
      </w:r>
    </w:p>
    <w:p w14:paraId="4680B949" w14:textId="77777777" w:rsidR="00F34BDB" w:rsidRPr="00C03CA8" w:rsidRDefault="00F34BDB" w:rsidP="00F34BDB">
      <w:pPr>
        <w:spacing w:line="240" w:lineRule="auto"/>
      </w:pPr>
    </w:p>
    <w:p w14:paraId="5351128A" w14:textId="77777777" w:rsidR="00F34BDB" w:rsidRDefault="00F34BDB" w:rsidP="00F34BDB">
      <w:r w:rsidRPr="00C03CA8">
        <w:t>If we use the lowest value that can fall within the range of &gt;12.5 - &lt;50 mg/kg, the calculated LD 50 that would result in a PG II assignment would be 24.7%.</w:t>
      </w:r>
    </w:p>
    <w:p w14:paraId="68411CFC" w14:textId="77777777" w:rsidR="00F34BDB" w:rsidRPr="00C03CA8" w:rsidRDefault="00F34BDB" w:rsidP="00F34BDB"/>
    <w:p w14:paraId="2501DC1F" w14:textId="77777777" w:rsidR="00F34BDB" w:rsidRPr="00C03CA8" w:rsidRDefault="00F34BDB" w:rsidP="00F34BDB">
      <w:pPr>
        <w:spacing w:line="240" w:lineRule="auto"/>
      </w:pPr>
      <w:r w:rsidRPr="00C03CA8">
        <w:tab/>
      </w:r>
      <w:r w:rsidRPr="00C03CA8">
        <w:tab/>
        <w:t xml:space="preserve">51 mg/kg = </w:t>
      </w:r>
      <w:r w:rsidRPr="00C03CA8">
        <w:rPr>
          <w:u w:val="single"/>
        </w:rPr>
        <w:t>12.6 x 100</w:t>
      </w:r>
      <w:r w:rsidRPr="00C03CA8">
        <w:t xml:space="preserve">          x = 24.7%</w:t>
      </w:r>
    </w:p>
    <w:p w14:paraId="53664C4E" w14:textId="77777777" w:rsidR="00F34BDB" w:rsidRPr="00C03CA8" w:rsidRDefault="00F34BDB" w:rsidP="00F34BDB">
      <w:pPr>
        <w:spacing w:line="240" w:lineRule="auto"/>
      </w:pPr>
      <w:r w:rsidRPr="00C03CA8">
        <w:t xml:space="preserve">                                                         X</w:t>
      </w:r>
    </w:p>
    <w:p w14:paraId="168A2B46" w14:textId="77777777" w:rsidR="00F34BDB" w:rsidRPr="00C03CA8" w:rsidRDefault="00F34BDB" w:rsidP="00F34BDB">
      <w:pPr>
        <w:spacing w:line="240" w:lineRule="auto"/>
      </w:pPr>
    </w:p>
    <w:p w14:paraId="4DAAD53A" w14:textId="77777777" w:rsidR="00F34BDB" w:rsidRPr="00C03CA8" w:rsidRDefault="00F34BDB" w:rsidP="00F34BDB">
      <w:pPr>
        <w:spacing w:line="240" w:lineRule="auto"/>
      </w:pPr>
      <w:r w:rsidRPr="00C03CA8">
        <w:t xml:space="preserve">Using 12.6 mg/kg, we can calculate very conservatively that the PG II concentration would be at least 24.7%. However, we have 3 reliable dermal rat studies with 25% aqueous solutions of TMAH with the reported dermal LD50s above 50 mg/kg (&gt;50 – 200 mg/kg, 449.1 mg/kg and &gt;200 – 1000 mg/kg). </w:t>
      </w:r>
    </w:p>
    <w:p w14:paraId="2DC2DFC6" w14:textId="77777777" w:rsidR="00F34BDB" w:rsidRPr="00C03CA8" w:rsidRDefault="00F34BDB" w:rsidP="00F34BDB">
      <w:pPr>
        <w:spacing w:line="240" w:lineRule="auto"/>
      </w:pPr>
    </w:p>
    <w:p w14:paraId="280F7045" w14:textId="77777777" w:rsidR="00F34BDB" w:rsidRPr="00C03CA8" w:rsidRDefault="00F34BDB" w:rsidP="00F34BDB">
      <w:pPr>
        <w:spacing w:line="240" w:lineRule="auto"/>
      </w:pPr>
      <w:r w:rsidRPr="00C03CA8">
        <w:t xml:space="preserve">Therefore, based on the both the calculation method in the TDG and reliable animal test data, we can conclude that an aqueous solution of TMAH with a concentration of 25% and lower would be assigned to packing group II. The actual concentration limit for PG I should fall somewhere between &gt;25-49%. </w:t>
      </w:r>
    </w:p>
    <w:p w14:paraId="7352C986" w14:textId="77777777" w:rsidR="00F34BDB" w:rsidRPr="00C03CA8" w:rsidRDefault="00F34BDB" w:rsidP="00F34BDB">
      <w:pPr>
        <w:spacing w:line="240" w:lineRule="auto"/>
      </w:pPr>
    </w:p>
    <w:p w14:paraId="4A0A1E4D" w14:textId="77777777" w:rsidR="00F34BDB" w:rsidRPr="00C03CA8" w:rsidRDefault="00F34BDB" w:rsidP="00F34BDB">
      <w:pPr>
        <w:spacing w:line="240" w:lineRule="auto"/>
      </w:pPr>
      <w:r w:rsidRPr="00C03CA8">
        <w:t xml:space="preserve">Based on this analysis using the reliable animal data, the calculation would suggest that aqueous solutions of TMAH should be classified as follows: </w:t>
      </w:r>
    </w:p>
    <w:p w14:paraId="01395D4C" w14:textId="77777777" w:rsidR="00F34BDB" w:rsidRDefault="00F34BDB" w:rsidP="00F34BDB">
      <w:pPr>
        <w:spacing w:line="240" w:lineRule="auto"/>
        <w:jc w:val="center"/>
      </w:pPr>
      <w:r w:rsidRPr="00C03CA8">
        <w:t>&gt;25% PG I, 6.25 - 25% PG II and &gt;2.5 - &lt;6.25% PG III.</w:t>
      </w:r>
    </w:p>
    <w:p w14:paraId="10BCE09D" w14:textId="77777777" w:rsidR="00F34BDB" w:rsidRDefault="00F34BDB" w:rsidP="00F34BDB">
      <w:pPr>
        <w:spacing w:line="240" w:lineRule="auto"/>
      </w:pPr>
    </w:p>
    <w:p w14:paraId="39019CC3" w14:textId="77777777" w:rsidR="00F34BDB" w:rsidRDefault="00F34BDB" w:rsidP="00F34BDB">
      <w:pPr>
        <w:spacing w:line="240" w:lineRule="auto"/>
      </w:pPr>
      <w:r>
        <w:t>However, since we have reliable LD50 data on a 2.5% aqueous TMAH solution of 1000-2000 mg/kg, which would not result in classification as 6.1, a higher concentration limit for packing group 3 may be more appropriate.</w:t>
      </w:r>
    </w:p>
    <w:p w14:paraId="0DE7ACE3" w14:textId="77777777" w:rsidR="00F34BDB" w:rsidRDefault="00F34BDB" w:rsidP="00F34BDB">
      <w:pPr>
        <w:spacing w:line="240" w:lineRule="auto"/>
      </w:pPr>
    </w:p>
    <w:p w14:paraId="0BE03990" w14:textId="77777777" w:rsidR="00F34BDB" w:rsidRDefault="00F34BDB" w:rsidP="00F34BDB">
      <w:pPr>
        <w:spacing w:line="240" w:lineRule="auto"/>
      </w:pPr>
      <w:r>
        <w:t xml:space="preserve">Respectfully </w:t>
      </w:r>
      <w:proofErr w:type="gramStart"/>
      <w:r>
        <w:t>Submitted;</w:t>
      </w:r>
      <w:proofErr w:type="gramEnd"/>
    </w:p>
    <w:p w14:paraId="340D0C86" w14:textId="77777777" w:rsidR="00F34BDB" w:rsidRDefault="00F34BDB" w:rsidP="00F34BDB">
      <w:pPr>
        <w:spacing w:line="240" w:lineRule="auto"/>
      </w:pPr>
    </w:p>
    <w:p w14:paraId="73A647E5" w14:textId="77777777" w:rsidR="00F34BDB" w:rsidRDefault="00F34BDB" w:rsidP="00F34BDB">
      <w:pPr>
        <w:spacing w:line="240" w:lineRule="auto"/>
      </w:pPr>
      <w:r>
        <w:rPr>
          <w:noProof/>
        </w:rPr>
        <w:drawing>
          <wp:inline distT="0" distB="0" distL="0" distR="0" wp14:anchorId="797FF132" wp14:editId="3C54F3EA">
            <wp:extent cx="2124075" cy="327568"/>
            <wp:effectExtent l="0" t="0" r="0" b="0"/>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sect&#10;&#10;Description automatically generated"/>
                    <pic:cNvPicPr/>
                  </pic:nvPicPr>
                  <pic:blipFill>
                    <a:blip r:embed="rId14">
                      <a:clrChange>
                        <a:clrFrom>
                          <a:srgbClr val="FFFFFF"/>
                        </a:clrFrom>
                        <a:clrTo>
                          <a:srgbClr val="FFFFFF">
                            <a:alpha val="0"/>
                          </a:srgbClr>
                        </a:clrTo>
                      </a:clrChange>
                    </a:blip>
                    <a:stretch>
                      <a:fillRect/>
                    </a:stretch>
                  </pic:blipFill>
                  <pic:spPr>
                    <a:xfrm>
                      <a:off x="0" y="0"/>
                      <a:ext cx="2158454" cy="332870"/>
                    </a:xfrm>
                    <a:prstGeom prst="rect">
                      <a:avLst/>
                    </a:prstGeom>
                  </pic:spPr>
                </pic:pic>
              </a:graphicData>
            </a:graphic>
          </wp:inline>
        </w:drawing>
      </w:r>
    </w:p>
    <w:p w14:paraId="4D210684" w14:textId="77777777" w:rsidR="00F34BDB" w:rsidRDefault="00F34BDB" w:rsidP="00F34BDB">
      <w:pPr>
        <w:spacing w:line="240" w:lineRule="auto"/>
      </w:pPr>
    </w:p>
    <w:p w14:paraId="0703C635" w14:textId="77777777" w:rsidR="00F34BDB" w:rsidRDefault="00F34BDB" w:rsidP="00F34BDB">
      <w:pPr>
        <w:spacing w:line="240" w:lineRule="auto"/>
      </w:pPr>
      <w:r>
        <w:t>Denese A. Deeds, CIH, FAIHA, SDSRP</w:t>
      </w:r>
    </w:p>
    <w:p w14:paraId="36D780F9" w14:textId="77777777" w:rsidR="00F34BDB" w:rsidRDefault="00F34BDB" w:rsidP="00F34BDB">
      <w:pPr>
        <w:spacing w:line="240" w:lineRule="auto"/>
      </w:pPr>
      <w:r>
        <w:t>Senior Consultant</w:t>
      </w:r>
    </w:p>
    <w:p w14:paraId="0CBA8AF2" w14:textId="0AD0F15F" w:rsidR="00F34BDB" w:rsidRPr="00F84A30" w:rsidRDefault="00F34BDB" w:rsidP="00F84A30">
      <w:pPr>
        <w:pStyle w:val="HChG"/>
        <w:tabs>
          <w:tab w:val="left" w:pos="6804"/>
        </w:tabs>
        <w:rPr>
          <w:b w:val="0"/>
          <w:bCs/>
        </w:rPr>
      </w:pPr>
      <w:r>
        <w:t>Annex II</w:t>
      </w:r>
      <w:r w:rsidR="00F84A30" w:rsidRPr="00F84A30">
        <w:tab/>
      </w:r>
      <w:r w:rsidR="00F84A30">
        <w:tab/>
      </w:r>
      <w:r w:rsidR="00F84A30" w:rsidRPr="00F84A30">
        <w:rPr>
          <w:b w:val="0"/>
          <w:bCs/>
        </w:rPr>
        <w:t>[English only]</w:t>
      </w:r>
    </w:p>
    <w:p w14:paraId="5D44A032" w14:textId="77777777" w:rsidR="00F34BDB" w:rsidRDefault="00F34BDB" w:rsidP="00F34BDB">
      <w:pPr>
        <w:spacing w:line="240" w:lineRule="auto"/>
        <w:rPr>
          <w:lang w:val="en-US"/>
        </w:rPr>
      </w:pPr>
    </w:p>
    <w:p w14:paraId="2CC28D22" w14:textId="77777777" w:rsidR="00F34BDB" w:rsidRDefault="00F34BDB" w:rsidP="00F34BDB">
      <w:pPr>
        <w:spacing w:line="240" w:lineRule="auto"/>
        <w:rPr>
          <w:lang w:val="en-US"/>
        </w:rPr>
      </w:pPr>
      <w:r w:rsidRPr="005B3AA7">
        <w:rPr>
          <w:noProof/>
          <w:lang w:val="en-US"/>
        </w:rPr>
        <w:drawing>
          <wp:inline distT="0" distB="0" distL="0" distR="0" wp14:anchorId="3EAD2B91" wp14:editId="146D27D4">
            <wp:extent cx="5925377" cy="8306959"/>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a:stretch>
                      <a:fillRect/>
                    </a:stretch>
                  </pic:blipFill>
                  <pic:spPr>
                    <a:xfrm>
                      <a:off x="0" y="0"/>
                      <a:ext cx="5925377" cy="8306959"/>
                    </a:xfrm>
                    <a:prstGeom prst="rect">
                      <a:avLst/>
                    </a:prstGeom>
                  </pic:spPr>
                </pic:pic>
              </a:graphicData>
            </a:graphic>
          </wp:inline>
        </w:drawing>
      </w:r>
    </w:p>
    <w:p w14:paraId="5097D269" w14:textId="2FD97D8C" w:rsidR="00F34BDB" w:rsidRDefault="00F34BDB">
      <w:pPr>
        <w:suppressAutoHyphens w:val="0"/>
        <w:kinsoku/>
        <w:overflowPunct/>
        <w:autoSpaceDE/>
        <w:autoSpaceDN/>
        <w:adjustRightInd/>
        <w:snapToGrid/>
        <w:spacing w:after="200" w:line="276" w:lineRule="auto"/>
        <w:rPr>
          <w:b/>
          <w:bCs/>
        </w:rPr>
      </w:pPr>
      <w:r>
        <w:rPr>
          <w:b/>
          <w:bCs/>
        </w:rPr>
        <w:br w:type="page"/>
      </w:r>
    </w:p>
    <w:p w14:paraId="61B0D0CD" w14:textId="77777777" w:rsidR="00F34BDB" w:rsidRDefault="00F34BDB" w:rsidP="00F34BDB">
      <w:pPr>
        <w:spacing w:line="240" w:lineRule="auto"/>
        <w:rPr>
          <w:lang w:val="en-US"/>
        </w:rPr>
      </w:pPr>
    </w:p>
    <w:p w14:paraId="5747380A" w14:textId="77777777" w:rsidR="00F34BDB" w:rsidRDefault="00F34BDB" w:rsidP="00F34BDB">
      <w:pPr>
        <w:spacing w:line="240" w:lineRule="auto"/>
        <w:rPr>
          <w:lang w:val="en-US"/>
        </w:rPr>
      </w:pPr>
      <w:r w:rsidRPr="005B3AA7">
        <w:rPr>
          <w:noProof/>
          <w:lang w:val="en-US"/>
        </w:rPr>
        <w:drawing>
          <wp:inline distT="0" distB="0" distL="0" distR="0" wp14:anchorId="623DC33A" wp14:editId="767781FA">
            <wp:extent cx="5925377" cy="8306959"/>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a:stretch>
                      <a:fillRect/>
                    </a:stretch>
                  </pic:blipFill>
                  <pic:spPr>
                    <a:xfrm>
                      <a:off x="0" y="0"/>
                      <a:ext cx="5925377" cy="8306959"/>
                    </a:xfrm>
                    <a:prstGeom prst="rect">
                      <a:avLst/>
                    </a:prstGeom>
                  </pic:spPr>
                </pic:pic>
              </a:graphicData>
            </a:graphic>
          </wp:inline>
        </w:drawing>
      </w:r>
    </w:p>
    <w:p w14:paraId="45B23BE6" w14:textId="7795ACA0" w:rsidR="00F34BDB" w:rsidRDefault="00F34BDB">
      <w:pPr>
        <w:suppressAutoHyphens w:val="0"/>
        <w:kinsoku/>
        <w:overflowPunct/>
        <w:autoSpaceDE/>
        <w:autoSpaceDN/>
        <w:adjustRightInd/>
        <w:snapToGrid/>
        <w:spacing w:after="200" w:line="276" w:lineRule="auto"/>
        <w:rPr>
          <w:b/>
          <w:bCs/>
        </w:rPr>
      </w:pPr>
      <w:r>
        <w:rPr>
          <w:b/>
          <w:bCs/>
        </w:rPr>
        <w:br w:type="page"/>
      </w:r>
    </w:p>
    <w:p w14:paraId="297B306D" w14:textId="77777777" w:rsidR="00F34BDB" w:rsidRDefault="00F34BDB" w:rsidP="00F34BDB">
      <w:pPr>
        <w:spacing w:line="240" w:lineRule="auto"/>
        <w:rPr>
          <w:lang w:val="en-US"/>
        </w:rPr>
      </w:pPr>
      <w:r w:rsidRPr="005B3AA7">
        <w:rPr>
          <w:noProof/>
          <w:lang w:val="en-US"/>
        </w:rPr>
        <w:drawing>
          <wp:inline distT="0" distB="0" distL="0" distR="0" wp14:anchorId="75FD8057" wp14:editId="19317308">
            <wp:extent cx="5868219" cy="8306959"/>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a:stretch>
                      <a:fillRect/>
                    </a:stretch>
                  </pic:blipFill>
                  <pic:spPr>
                    <a:xfrm>
                      <a:off x="0" y="0"/>
                      <a:ext cx="5868219" cy="8306959"/>
                    </a:xfrm>
                    <a:prstGeom prst="rect">
                      <a:avLst/>
                    </a:prstGeom>
                  </pic:spPr>
                </pic:pic>
              </a:graphicData>
            </a:graphic>
          </wp:inline>
        </w:drawing>
      </w:r>
    </w:p>
    <w:p w14:paraId="440C5DE7" w14:textId="0DEEC16A" w:rsidR="00F34BDB" w:rsidRDefault="00F34BDB">
      <w:pPr>
        <w:suppressAutoHyphens w:val="0"/>
        <w:kinsoku/>
        <w:overflowPunct/>
        <w:autoSpaceDE/>
        <w:autoSpaceDN/>
        <w:adjustRightInd/>
        <w:snapToGrid/>
        <w:spacing w:after="200" w:line="276" w:lineRule="auto"/>
        <w:rPr>
          <w:b/>
          <w:bCs/>
        </w:rPr>
      </w:pPr>
      <w:r>
        <w:rPr>
          <w:b/>
          <w:bCs/>
        </w:rPr>
        <w:br w:type="page"/>
      </w:r>
    </w:p>
    <w:p w14:paraId="692EE1FD" w14:textId="77777777" w:rsidR="00F34BDB" w:rsidRDefault="00F34BDB" w:rsidP="00F34BDB">
      <w:pPr>
        <w:spacing w:line="240" w:lineRule="auto"/>
        <w:rPr>
          <w:lang w:val="en-US"/>
        </w:rPr>
      </w:pPr>
      <w:r w:rsidRPr="00490664">
        <w:rPr>
          <w:noProof/>
          <w:lang w:val="en-US"/>
        </w:rPr>
        <w:drawing>
          <wp:inline distT="0" distB="0" distL="0" distR="0" wp14:anchorId="46A09C06" wp14:editId="1A8E685A">
            <wp:extent cx="5858693" cy="8316486"/>
            <wp:effectExtent l="0" t="0" r="8890" b="889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7"/>
                    <a:stretch>
                      <a:fillRect/>
                    </a:stretch>
                  </pic:blipFill>
                  <pic:spPr>
                    <a:xfrm>
                      <a:off x="0" y="0"/>
                      <a:ext cx="5858693" cy="8316486"/>
                    </a:xfrm>
                    <a:prstGeom prst="rect">
                      <a:avLst/>
                    </a:prstGeom>
                  </pic:spPr>
                </pic:pic>
              </a:graphicData>
            </a:graphic>
          </wp:inline>
        </w:drawing>
      </w:r>
    </w:p>
    <w:p w14:paraId="1B7EC3EB" w14:textId="071FDD2B" w:rsidR="00F34BDB" w:rsidRDefault="00F34BDB">
      <w:pPr>
        <w:suppressAutoHyphens w:val="0"/>
        <w:kinsoku/>
        <w:overflowPunct/>
        <w:autoSpaceDE/>
        <w:autoSpaceDN/>
        <w:adjustRightInd/>
        <w:snapToGrid/>
        <w:spacing w:after="200" w:line="276" w:lineRule="auto"/>
        <w:rPr>
          <w:b/>
          <w:bCs/>
        </w:rPr>
      </w:pPr>
      <w:r>
        <w:rPr>
          <w:b/>
          <w:bCs/>
        </w:rPr>
        <w:br w:type="page"/>
      </w:r>
    </w:p>
    <w:p w14:paraId="4BB5EF7A" w14:textId="77777777" w:rsidR="00F34BDB" w:rsidRDefault="00F34BDB" w:rsidP="00F34BDB">
      <w:pPr>
        <w:spacing w:line="240" w:lineRule="auto"/>
        <w:rPr>
          <w:lang w:val="en-US"/>
        </w:rPr>
      </w:pPr>
      <w:r w:rsidRPr="00F57B49">
        <w:rPr>
          <w:noProof/>
          <w:lang w:val="en-US"/>
        </w:rPr>
        <w:drawing>
          <wp:inline distT="0" distB="0" distL="0" distR="0" wp14:anchorId="1DB0E7F9" wp14:editId="26C00E54">
            <wp:extent cx="5934903" cy="8354591"/>
            <wp:effectExtent l="0" t="0" r="8890" b="889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8"/>
                    <a:stretch>
                      <a:fillRect/>
                    </a:stretch>
                  </pic:blipFill>
                  <pic:spPr>
                    <a:xfrm>
                      <a:off x="0" y="0"/>
                      <a:ext cx="5934903" cy="8354591"/>
                    </a:xfrm>
                    <a:prstGeom prst="rect">
                      <a:avLst/>
                    </a:prstGeom>
                  </pic:spPr>
                </pic:pic>
              </a:graphicData>
            </a:graphic>
          </wp:inline>
        </w:drawing>
      </w:r>
    </w:p>
    <w:p w14:paraId="6C747B95" w14:textId="6FD50E4D" w:rsidR="00F34BDB" w:rsidRDefault="00F34BDB">
      <w:pPr>
        <w:suppressAutoHyphens w:val="0"/>
        <w:kinsoku/>
        <w:overflowPunct/>
        <w:autoSpaceDE/>
        <w:autoSpaceDN/>
        <w:adjustRightInd/>
        <w:snapToGrid/>
        <w:spacing w:after="200" w:line="276" w:lineRule="auto"/>
        <w:rPr>
          <w:b/>
          <w:bCs/>
        </w:rPr>
      </w:pPr>
      <w:r>
        <w:rPr>
          <w:b/>
          <w:bCs/>
        </w:rPr>
        <w:br w:type="page"/>
      </w:r>
    </w:p>
    <w:p w14:paraId="207CCE1A" w14:textId="77777777" w:rsidR="00F34BDB" w:rsidRDefault="00F34BDB" w:rsidP="00F34BDB">
      <w:pPr>
        <w:spacing w:line="240" w:lineRule="auto"/>
        <w:rPr>
          <w:lang w:val="en-US"/>
        </w:rPr>
      </w:pPr>
      <w:r w:rsidRPr="00E908D1">
        <w:rPr>
          <w:noProof/>
          <w:lang w:val="en-US"/>
        </w:rPr>
        <w:drawing>
          <wp:inline distT="0" distB="0" distL="0" distR="0" wp14:anchorId="6EFB7271" wp14:editId="3F623F54">
            <wp:extent cx="5858693" cy="8326012"/>
            <wp:effectExtent l="0" t="0" r="8890" b="0"/>
            <wp:docPr id="10" name="Picture 1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a:blip r:embed="rId19"/>
                    <a:stretch>
                      <a:fillRect/>
                    </a:stretch>
                  </pic:blipFill>
                  <pic:spPr>
                    <a:xfrm>
                      <a:off x="0" y="0"/>
                      <a:ext cx="5858693" cy="8326012"/>
                    </a:xfrm>
                    <a:prstGeom prst="rect">
                      <a:avLst/>
                    </a:prstGeom>
                  </pic:spPr>
                </pic:pic>
              </a:graphicData>
            </a:graphic>
          </wp:inline>
        </w:drawing>
      </w:r>
    </w:p>
    <w:p w14:paraId="5B928ECA" w14:textId="7E88C59A" w:rsidR="00F34BDB" w:rsidRDefault="00F34BDB">
      <w:pPr>
        <w:suppressAutoHyphens w:val="0"/>
        <w:kinsoku/>
        <w:overflowPunct/>
        <w:autoSpaceDE/>
        <w:autoSpaceDN/>
        <w:adjustRightInd/>
        <w:snapToGrid/>
        <w:spacing w:after="200" w:line="276" w:lineRule="auto"/>
        <w:rPr>
          <w:b/>
          <w:bCs/>
        </w:rPr>
      </w:pPr>
      <w:r>
        <w:rPr>
          <w:b/>
          <w:bCs/>
        </w:rPr>
        <w:br w:type="page"/>
      </w:r>
    </w:p>
    <w:p w14:paraId="10E67596" w14:textId="77777777" w:rsidR="00F34BDB" w:rsidRDefault="00F34BDB" w:rsidP="00F34BDB">
      <w:pPr>
        <w:spacing w:line="240" w:lineRule="auto"/>
        <w:rPr>
          <w:lang w:val="en-US"/>
        </w:rPr>
      </w:pPr>
      <w:r w:rsidRPr="003A0265">
        <w:rPr>
          <w:noProof/>
          <w:lang w:val="en-US"/>
        </w:rPr>
        <w:drawing>
          <wp:inline distT="0" distB="0" distL="0" distR="0" wp14:anchorId="7439B974" wp14:editId="658C9FA8">
            <wp:extent cx="5887272" cy="8316486"/>
            <wp:effectExtent l="0" t="0" r="0" b="889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0"/>
                    <a:stretch>
                      <a:fillRect/>
                    </a:stretch>
                  </pic:blipFill>
                  <pic:spPr>
                    <a:xfrm>
                      <a:off x="0" y="0"/>
                      <a:ext cx="5887272" cy="8316486"/>
                    </a:xfrm>
                    <a:prstGeom prst="rect">
                      <a:avLst/>
                    </a:prstGeom>
                  </pic:spPr>
                </pic:pic>
              </a:graphicData>
            </a:graphic>
          </wp:inline>
        </w:drawing>
      </w:r>
    </w:p>
    <w:p w14:paraId="60118E4B" w14:textId="010926CD" w:rsidR="00F34BDB" w:rsidRDefault="00F34BDB">
      <w:pPr>
        <w:suppressAutoHyphens w:val="0"/>
        <w:kinsoku/>
        <w:overflowPunct/>
        <w:autoSpaceDE/>
        <w:autoSpaceDN/>
        <w:adjustRightInd/>
        <w:snapToGrid/>
        <w:spacing w:after="200" w:line="276" w:lineRule="auto"/>
        <w:rPr>
          <w:b/>
          <w:bCs/>
        </w:rPr>
      </w:pPr>
      <w:r>
        <w:rPr>
          <w:b/>
          <w:bCs/>
        </w:rPr>
        <w:br w:type="page"/>
      </w:r>
    </w:p>
    <w:p w14:paraId="5727302C" w14:textId="77777777" w:rsidR="00F34BDB" w:rsidRDefault="00F34BDB" w:rsidP="00F34BDB">
      <w:pPr>
        <w:spacing w:line="240" w:lineRule="auto"/>
        <w:rPr>
          <w:lang w:val="en-US"/>
        </w:rPr>
      </w:pPr>
      <w:r w:rsidRPr="003C3C89">
        <w:rPr>
          <w:noProof/>
          <w:lang w:val="en-US"/>
        </w:rPr>
        <w:drawing>
          <wp:inline distT="0" distB="0" distL="0" distR="0" wp14:anchorId="156FFA7A" wp14:editId="03E8E2C8">
            <wp:extent cx="5877745" cy="8345065"/>
            <wp:effectExtent l="0" t="0" r="889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1"/>
                    <a:stretch>
                      <a:fillRect/>
                    </a:stretch>
                  </pic:blipFill>
                  <pic:spPr>
                    <a:xfrm>
                      <a:off x="0" y="0"/>
                      <a:ext cx="5877745" cy="8345065"/>
                    </a:xfrm>
                    <a:prstGeom prst="rect">
                      <a:avLst/>
                    </a:prstGeom>
                  </pic:spPr>
                </pic:pic>
              </a:graphicData>
            </a:graphic>
          </wp:inline>
        </w:drawing>
      </w:r>
    </w:p>
    <w:p w14:paraId="57223A66" w14:textId="151C595D" w:rsidR="00F34BDB" w:rsidRDefault="00F34BDB">
      <w:pPr>
        <w:suppressAutoHyphens w:val="0"/>
        <w:kinsoku/>
        <w:overflowPunct/>
        <w:autoSpaceDE/>
        <w:autoSpaceDN/>
        <w:adjustRightInd/>
        <w:snapToGrid/>
        <w:spacing w:after="200" w:line="276" w:lineRule="auto"/>
        <w:rPr>
          <w:b/>
          <w:bCs/>
        </w:rPr>
      </w:pPr>
      <w:r>
        <w:rPr>
          <w:b/>
          <w:bCs/>
        </w:rPr>
        <w:br w:type="page"/>
      </w:r>
    </w:p>
    <w:p w14:paraId="132C7CE6" w14:textId="77777777" w:rsidR="00F34BDB" w:rsidRDefault="00F34BDB" w:rsidP="00F34BDB">
      <w:pPr>
        <w:spacing w:line="240" w:lineRule="auto"/>
        <w:rPr>
          <w:lang w:val="en-US"/>
        </w:rPr>
      </w:pPr>
      <w:r w:rsidRPr="001E0D28">
        <w:rPr>
          <w:noProof/>
          <w:lang w:val="en-US"/>
        </w:rPr>
        <w:drawing>
          <wp:inline distT="0" distB="0" distL="0" distR="0" wp14:anchorId="2CC036CF" wp14:editId="65035FF7">
            <wp:extent cx="5868219" cy="8345065"/>
            <wp:effectExtent l="0" t="0" r="0"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pic:nvPicPr>
                  <pic:blipFill>
                    <a:blip r:embed="rId22"/>
                    <a:stretch>
                      <a:fillRect/>
                    </a:stretch>
                  </pic:blipFill>
                  <pic:spPr>
                    <a:xfrm>
                      <a:off x="0" y="0"/>
                      <a:ext cx="5868219" cy="8345065"/>
                    </a:xfrm>
                    <a:prstGeom prst="rect">
                      <a:avLst/>
                    </a:prstGeom>
                  </pic:spPr>
                </pic:pic>
              </a:graphicData>
            </a:graphic>
          </wp:inline>
        </w:drawing>
      </w:r>
    </w:p>
    <w:p w14:paraId="7B9CF58F" w14:textId="4181224B" w:rsidR="00F34BDB" w:rsidRDefault="00F34BDB">
      <w:pPr>
        <w:suppressAutoHyphens w:val="0"/>
        <w:kinsoku/>
        <w:overflowPunct/>
        <w:autoSpaceDE/>
        <w:autoSpaceDN/>
        <w:adjustRightInd/>
        <w:snapToGrid/>
        <w:spacing w:after="200" w:line="276" w:lineRule="auto"/>
        <w:rPr>
          <w:b/>
          <w:bCs/>
        </w:rPr>
      </w:pPr>
      <w:r>
        <w:rPr>
          <w:b/>
          <w:bCs/>
        </w:rPr>
        <w:br w:type="page"/>
      </w:r>
    </w:p>
    <w:p w14:paraId="286A8E28" w14:textId="77777777" w:rsidR="00F34BDB" w:rsidRDefault="00F34BDB" w:rsidP="00F34BDB">
      <w:pPr>
        <w:spacing w:line="240" w:lineRule="auto"/>
        <w:rPr>
          <w:lang w:val="en-US"/>
        </w:rPr>
      </w:pPr>
      <w:r w:rsidRPr="0095761F">
        <w:rPr>
          <w:noProof/>
          <w:lang w:val="en-US"/>
        </w:rPr>
        <w:drawing>
          <wp:inline distT="0" distB="0" distL="0" distR="0" wp14:anchorId="1ADC6A1A" wp14:editId="14DF2B8F">
            <wp:extent cx="5849166" cy="8306959"/>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3"/>
                    <a:stretch>
                      <a:fillRect/>
                    </a:stretch>
                  </pic:blipFill>
                  <pic:spPr>
                    <a:xfrm>
                      <a:off x="0" y="0"/>
                      <a:ext cx="5849166" cy="8306959"/>
                    </a:xfrm>
                    <a:prstGeom prst="rect">
                      <a:avLst/>
                    </a:prstGeom>
                  </pic:spPr>
                </pic:pic>
              </a:graphicData>
            </a:graphic>
          </wp:inline>
        </w:drawing>
      </w:r>
    </w:p>
    <w:p w14:paraId="120D6F11" w14:textId="2842AF3A" w:rsidR="00F34BDB" w:rsidRDefault="00F34BDB">
      <w:pPr>
        <w:suppressAutoHyphens w:val="0"/>
        <w:kinsoku/>
        <w:overflowPunct/>
        <w:autoSpaceDE/>
        <w:autoSpaceDN/>
        <w:adjustRightInd/>
        <w:snapToGrid/>
        <w:spacing w:after="200" w:line="276" w:lineRule="auto"/>
        <w:rPr>
          <w:b/>
          <w:bCs/>
        </w:rPr>
      </w:pPr>
      <w:r>
        <w:rPr>
          <w:b/>
          <w:bCs/>
        </w:rPr>
        <w:br w:type="page"/>
      </w:r>
    </w:p>
    <w:p w14:paraId="5DAD19F6" w14:textId="77777777" w:rsidR="00F34BDB" w:rsidRDefault="00F34BDB" w:rsidP="00F34BDB">
      <w:pPr>
        <w:spacing w:line="240" w:lineRule="auto"/>
        <w:rPr>
          <w:lang w:val="en-US"/>
        </w:rPr>
      </w:pPr>
      <w:r w:rsidRPr="00826C31">
        <w:rPr>
          <w:noProof/>
          <w:lang w:val="en-US"/>
        </w:rPr>
        <w:drawing>
          <wp:inline distT="0" distB="0" distL="0" distR="0" wp14:anchorId="54C9EB73" wp14:editId="615A88FF">
            <wp:extent cx="5887272" cy="8326012"/>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4"/>
                    <a:stretch>
                      <a:fillRect/>
                    </a:stretch>
                  </pic:blipFill>
                  <pic:spPr>
                    <a:xfrm>
                      <a:off x="0" y="0"/>
                      <a:ext cx="5887272" cy="8326012"/>
                    </a:xfrm>
                    <a:prstGeom prst="rect">
                      <a:avLst/>
                    </a:prstGeom>
                  </pic:spPr>
                </pic:pic>
              </a:graphicData>
            </a:graphic>
          </wp:inline>
        </w:drawing>
      </w:r>
    </w:p>
    <w:p w14:paraId="2149014A" w14:textId="6F5C29D6" w:rsidR="00F34BDB" w:rsidRDefault="00F34BDB">
      <w:pPr>
        <w:suppressAutoHyphens w:val="0"/>
        <w:kinsoku/>
        <w:overflowPunct/>
        <w:autoSpaceDE/>
        <w:autoSpaceDN/>
        <w:adjustRightInd/>
        <w:snapToGrid/>
        <w:spacing w:after="200" w:line="276" w:lineRule="auto"/>
        <w:rPr>
          <w:b/>
          <w:bCs/>
        </w:rPr>
      </w:pPr>
      <w:r>
        <w:rPr>
          <w:b/>
          <w:bCs/>
        </w:rPr>
        <w:br w:type="page"/>
      </w:r>
    </w:p>
    <w:p w14:paraId="0D41E515" w14:textId="77777777" w:rsidR="00F34BDB" w:rsidRDefault="00F34BDB" w:rsidP="00F34BDB">
      <w:pPr>
        <w:spacing w:line="240" w:lineRule="auto"/>
        <w:rPr>
          <w:lang w:val="en-US"/>
        </w:rPr>
      </w:pPr>
      <w:r w:rsidRPr="00865713">
        <w:rPr>
          <w:noProof/>
          <w:lang w:val="en-US"/>
        </w:rPr>
        <w:drawing>
          <wp:inline distT="0" distB="0" distL="0" distR="0" wp14:anchorId="33FE0E60" wp14:editId="347A581C">
            <wp:extent cx="5896798" cy="8326012"/>
            <wp:effectExtent l="0" t="0" r="889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5"/>
                    <a:stretch>
                      <a:fillRect/>
                    </a:stretch>
                  </pic:blipFill>
                  <pic:spPr>
                    <a:xfrm>
                      <a:off x="0" y="0"/>
                      <a:ext cx="5896798" cy="8326012"/>
                    </a:xfrm>
                    <a:prstGeom prst="rect">
                      <a:avLst/>
                    </a:prstGeom>
                  </pic:spPr>
                </pic:pic>
              </a:graphicData>
            </a:graphic>
          </wp:inline>
        </w:drawing>
      </w:r>
    </w:p>
    <w:p w14:paraId="3DBDEA0F" w14:textId="1B7B5FC7" w:rsidR="00F34BDB" w:rsidRDefault="00F34BDB">
      <w:pPr>
        <w:suppressAutoHyphens w:val="0"/>
        <w:kinsoku/>
        <w:overflowPunct/>
        <w:autoSpaceDE/>
        <w:autoSpaceDN/>
        <w:adjustRightInd/>
        <w:snapToGrid/>
        <w:spacing w:after="200" w:line="276" w:lineRule="auto"/>
        <w:rPr>
          <w:b/>
          <w:bCs/>
        </w:rPr>
      </w:pPr>
      <w:r>
        <w:rPr>
          <w:b/>
          <w:bCs/>
        </w:rPr>
        <w:br w:type="page"/>
      </w:r>
    </w:p>
    <w:p w14:paraId="6982D2F5" w14:textId="77777777" w:rsidR="00F34BDB" w:rsidRDefault="00F34BDB" w:rsidP="00F34BDB">
      <w:pPr>
        <w:spacing w:line="240" w:lineRule="auto"/>
        <w:rPr>
          <w:lang w:val="en-US"/>
        </w:rPr>
      </w:pPr>
      <w:r w:rsidRPr="00C329D9">
        <w:rPr>
          <w:noProof/>
          <w:lang w:val="en-US"/>
        </w:rPr>
        <w:drawing>
          <wp:inline distT="0" distB="0" distL="0" distR="0" wp14:anchorId="5AE3E242" wp14:editId="736BF556">
            <wp:extent cx="5877745" cy="8335538"/>
            <wp:effectExtent l="0" t="0" r="8890" b="889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6"/>
                    <a:stretch>
                      <a:fillRect/>
                    </a:stretch>
                  </pic:blipFill>
                  <pic:spPr>
                    <a:xfrm>
                      <a:off x="0" y="0"/>
                      <a:ext cx="5877745" cy="8335538"/>
                    </a:xfrm>
                    <a:prstGeom prst="rect">
                      <a:avLst/>
                    </a:prstGeom>
                  </pic:spPr>
                </pic:pic>
              </a:graphicData>
            </a:graphic>
          </wp:inline>
        </w:drawing>
      </w:r>
    </w:p>
    <w:p w14:paraId="671609AA" w14:textId="189A2A93" w:rsidR="000E3652" w:rsidRPr="00F34BDB" w:rsidRDefault="00F34BDB" w:rsidP="00F34BDB">
      <w:pPr>
        <w:spacing w:before="240"/>
        <w:jc w:val="center"/>
        <w:rPr>
          <w:u w:val="single"/>
        </w:rPr>
      </w:pPr>
      <w:r>
        <w:rPr>
          <w:u w:val="single"/>
        </w:rPr>
        <w:tab/>
      </w:r>
      <w:r>
        <w:rPr>
          <w:u w:val="single"/>
        </w:rPr>
        <w:tab/>
      </w:r>
      <w:r>
        <w:rPr>
          <w:u w:val="single"/>
        </w:rPr>
        <w:tab/>
      </w:r>
    </w:p>
    <w:sectPr w:rsidR="000E3652" w:rsidRPr="00F34BDB" w:rsidSect="000E3652">
      <w:headerReference w:type="even" r:id="rId27"/>
      <w:headerReference w:type="default" r:id="rId28"/>
      <w:footerReference w:type="even" r:id="rId29"/>
      <w:footerReference w:type="default" r:id="rId30"/>
      <w:footerReference w:type="first" r:id="rId31"/>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0B4DA" w14:textId="77777777" w:rsidR="00BF44F9" w:rsidRPr="00C47B2E" w:rsidRDefault="00BF44F9" w:rsidP="00C47B2E">
      <w:pPr>
        <w:pStyle w:val="Footer"/>
      </w:pPr>
    </w:p>
  </w:endnote>
  <w:endnote w:type="continuationSeparator" w:id="0">
    <w:p w14:paraId="5A3BEDF2" w14:textId="77777777" w:rsidR="00BF44F9" w:rsidRPr="00C47B2E" w:rsidRDefault="00BF44F9" w:rsidP="00C47B2E">
      <w:pPr>
        <w:pStyle w:val="Footer"/>
      </w:pPr>
    </w:p>
  </w:endnote>
  <w:endnote w:type="continuationNotice" w:id="1">
    <w:p w14:paraId="2FD121BC" w14:textId="77777777" w:rsidR="00BF44F9" w:rsidRPr="00C47B2E" w:rsidRDefault="00BF44F9"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12EA" w14:textId="5FC3F3D0" w:rsidR="00D94B05" w:rsidRPr="000E3652" w:rsidRDefault="000E3652" w:rsidP="000E3652">
    <w:pPr>
      <w:pStyle w:val="Footer"/>
      <w:tabs>
        <w:tab w:val="right" w:pos="9598"/>
        <w:tab w:val="right" w:pos="9638"/>
      </w:tabs>
      <w:rPr>
        <w:sz w:val="18"/>
      </w:rPr>
    </w:pPr>
    <w:r w:rsidRPr="000E3652">
      <w:rPr>
        <w:b/>
        <w:sz w:val="18"/>
      </w:rPr>
      <w:fldChar w:fldCharType="begin"/>
    </w:r>
    <w:r w:rsidRPr="000E3652">
      <w:rPr>
        <w:b/>
        <w:sz w:val="18"/>
      </w:rPr>
      <w:instrText xml:space="preserve"> PAGE  \* MERGEFORMAT </w:instrText>
    </w:r>
    <w:r w:rsidRPr="000E3652">
      <w:rPr>
        <w:b/>
        <w:sz w:val="18"/>
      </w:rPr>
      <w:fldChar w:fldCharType="separate"/>
    </w:r>
    <w:r w:rsidRPr="000E3652">
      <w:rPr>
        <w:b/>
        <w:noProof/>
        <w:sz w:val="18"/>
      </w:rPr>
      <w:t>2</w:t>
    </w:r>
    <w:r w:rsidRPr="000E365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49D2" w14:textId="68A76193" w:rsidR="00D94B05" w:rsidRPr="000E3652" w:rsidRDefault="000E3652" w:rsidP="00F34BDB">
    <w:pPr>
      <w:pStyle w:val="Footer"/>
      <w:tabs>
        <w:tab w:val="left" w:pos="5775"/>
        <w:tab w:val="right" w:pos="9598"/>
        <w:tab w:val="right" w:pos="9638"/>
      </w:tabs>
      <w:jc w:val="right"/>
      <w:rPr>
        <w:sz w:val="18"/>
      </w:rPr>
    </w:pPr>
    <w:r>
      <w:rPr>
        <w:b/>
        <w:sz w:val="18"/>
      </w:rPr>
      <w:tab/>
    </w:r>
    <w:r w:rsidRPr="000E3652">
      <w:rPr>
        <w:sz w:val="18"/>
      </w:rPr>
      <w:fldChar w:fldCharType="begin"/>
    </w:r>
    <w:r w:rsidRPr="000E3652">
      <w:rPr>
        <w:sz w:val="18"/>
      </w:rPr>
      <w:instrText xml:space="preserve"> PAGE  \* MERGEFORMAT </w:instrText>
    </w:r>
    <w:r w:rsidRPr="000E3652">
      <w:rPr>
        <w:sz w:val="18"/>
      </w:rPr>
      <w:fldChar w:fldCharType="separate"/>
    </w:r>
    <w:r w:rsidRPr="000E3652">
      <w:rPr>
        <w:noProof/>
        <w:sz w:val="18"/>
      </w:rPr>
      <w:t>3</w:t>
    </w:r>
    <w:r w:rsidRPr="000E3652">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8D00" w14:textId="77777777" w:rsidR="00D94B05" w:rsidRPr="000E3652"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8240" behindDoc="0" locked="1" layoutInCell="1" allowOverlap="1" wp14:anchorId="0809C39D" wp14:editId="79A22391">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4AC0" w14:textId="77777777" w:rsidR="00BF44F9" w:rsidRPr="00C47B2E" w:rsidRDefault="00BF44F9" w:rsidP="00C47B2E">
      <w:pPr>
        <w:tabs>
          <w:tab w:val="right" w:pos="2155"/>
        </w:tabs>
        <w:spacing w:after="80" w:line="240" w:lineRule="auto"/>
        <w:ind w:left="680"/>
      </w:pPr>
      <w:r>
        <w:rPr>
          <w:u w:val="single"/>
        </w:rPr>
        <w:tab/>
      </w:r>
    </w:p>
  </w:footnote>
  <w:footnote w:type="continuationSeparator" w:id="0">
    <w:p w14:paraId="33BF1683" w14:textId="77777777" w:rsidR="00BF44F9" w:rsidRPr="00C47B2E" w:rsidRDefault="00BF44F9" w:rsidP="005E716E">
      <w:pPr>
        <w:tabs>
          <w:tab w:val="right" w:pos="2155"/>
        </w:tabs>
        <w:spacing w:after="80" w:line="240" w:lineRule="auto"/>
        <w:ind w:left="680"/>
      </w:pPr>
      <w:r>
        <w:rPr>
          <w:u w:val="single"/>
        </w:rPr>
        <w:tab/>
      </w:r>
    </w:p>
  </w:footnote>
  <w:footnote w:type="continuationNotice" w:id="1">
    <w:p w14:paraId="653BD099" w14:textId="77777777" w:rsidR="00BF44F9" w:rsidRPr="00C47B2E" w:rsidRDefault="00BF44F9" w:rsidP="00C47B2E">
      <w:pPr>
        <w:pStyle w:val="Footer"/>
      </w:pPr>
    </w:p>
  </w:footnote>
  <w:footnote w:id="2">
    <w:p w14:paraId="059DB36A" w14:textId="4CBBD17A" w:rsidR="00761D11" w:rsidRPr="00761D11" w:rsidRDefault="00761D11" w:rsidP="00761D11">
      <w:pPr>
        <w:pStyle w:val="FootnoteText"/>
        <w:ind w:firstLine="0"/>
        <w:rPr>
          <w:lang w:val="fr-CH"/>
        </w:rPr>
      </w:pPr>
      <w:r>
        <w:rPr>
          <w:rStyle w:val="FootnoteReference"/>
        </w:rPr>
        <w:footnoteRef/>
      </w:r>
      <w:r>
        <w:t xml:space="preserve"> </w:t>
      </w:r>
      <w:r>
        <w:rPr>
          <w:lang w:val="en-US"/>
        </w:rPr>
        <w:t>A/75/6 (Sect.20), para. 20.51</w:t>
      </w:r>
    </w:p>
  </w:footnote>
  <w:footnote w:id="3">
    <w:p w14:paraId="189C7D84" w14:textId="6CEF778D" w:rsidR="00C2330E" w:rsidRPr="00C2330E" w:rsidRDefault="00C2330E" w:rsidP="00C2330E">
      <w:pPr>
        <w:pStyle w:val="FootnoteText"/>
        <w:ind w:firstLine="0"/>
        <w:rPr>
          <w:lang w:val="fr-CH"/>
        </w:rPr>
      </w:pPr>
      <w:r>
        <w:rPr>
          <w:rStyle w:val="FootnoteReference"/>
        </w:rPr>
        <w:t>1</w:t>
      </w:r>
      <w:r>
        <w:t xml:space="preserve"> </w:t>
      </w:r>
      <w:r w:rsidR="002F22C7">
        <w:tab/>
      </w:r>
      <w:r w:rsidRPr="002368D9">
        <w:t>Huang, C</w:t>
      </w:r>
      <w:r>
        <w:t>K</w:t>
      </w:r>
      <w:r w:rsidRPr="002368D9">
        <w:t>; Hall, A</w:t>
      </w:r>
      <w:r>
        <w:t>.</w:t>
      </w:r>
      <w:r w:rsidRPr="002368D9">
        <w:t xml:space="preserve"> H.; Wu, ML; Yang, CC; Hung, DZ; Mao, YC; Deng, JF</w:t>
      </w:r>
      <w:r>
        <w:t xml:space="preserve"> (2020) </w:t>
      </w:r>
      <w:r w:rsidRPr="002368D9">
        <w:t xml:space="preserve">Presentations of tetramethylammonium hydroxide dermal exposure and the valuable potential of </w:t>
      </w:r>
      <w:proofErr w:type="spellStart"/>
      <w:r w:rsidRPr="002368D9">
        <w:t>diphoterine</w:t>
      </w:r>
      <w:proofErr w:type="spellEnd"/>
      <w:r w:rsidRPr="002368D9">
        <w:t xml:space="preserve"> </w:t>
      </w:r>
      <w:r>
        <w:t>s</w:t>
      </w:r>
      <w:r w:rsidRPr="002368D9">
        <w:t>olution in decontamination: a retrospective observational study</w:t>
      </w:r>
      <w:r>
        <w:t xml:space="preserve">. </w:t>
      </w:r>
      <w:r w:rsidRPr="002368D9">
        <w:rPr>
          <w:i/>
          <w:iCs/>
        </w:rPr>
        <w:t>BMC Pharmacology and Toxicology</w:t>
      </w:r>
      <w:r w:rsidRPr="002368D9">
        <w:t>. 21:83</w:t>
      </w:r>
      <w:r>
        <w:t>. (</w:t>
      </w:r>
      <w:hyperlink r:id="rId1" w:history="1">
        <w:r w:rsidRPr="00EF784E">
          <w:rPr>
            <w:rStyle w:val="Hyperlink"/>
          </w:rPr>
          <w:t>https://doi.org/10.1186/s40360-020-00465-8</w:t>
        </w:r>
      </w:hyperlink>
      <w:r>
        <w:t>)</w:t>
      </w:r>
    </w:p>
  </w:footnote>
  <w:footnote w:id="4">
    <w:p w14:paraId="0C85B0B7" w14:textId="39CA4DD1" w:rsidR="000E3652" w:rsidRDefault="000E3652" w:rsidP="00C2330E">
      <w:pPr>
        <w:pStyle w:val="FootnoteText"/>
        <w:ind w:firstLine="0"/>
      </w:pPr>
      <w:r>
        <w:rPr>
          <w:rStyle w:val="FootnoteReference"/>
        </w:rPr>
        <w:footnoteRef/>
      </w:r>
      <w:r>
        <w:t xml:space="preserve"> </w:t>
      </w:r>
      <w:r w:rsidR="002F22C7">
        <w:tab/>
      </w:r>
      <w:proofErr w:type="spellStart"/>
      <w:r>
        <w:t>Buist</w:t>
      </w:r>
      <w:proofErr w:type="spellEnd"/>
      <w:r>
        <w:t xml:space="preserve">, H.; Craig, P.; Dewhurst, I.; </w:t>
      </w:r>
      <w:proofErr w:type="spellStart"/>
      <w:r>
        <w:t>Hougaard</w:t>
      </w:r>
      <w:proofErr w:type="spellEnd"/>
      <w:r>
        <w:t xml:space="preserve"> </w:t>
      </w:r>
      <w:proofErr w:type="spellStart"/>
      <w:r>
        <w:t>Bennekou</w:t>
      </w:r>
      <w:proofErr w:type="spellEnd"/>
      <w:r>
        <w:t xml:space="preserve">, S.; </w:t>
      </w:r>
      <w:proofErr w:type="spellStart"/>
      <w:r>
        <w:t>Kneuer</w:t>
      </w:r>
      <w:proofErr w:type="spellEnd"/>
      <w:r>
        <w:t xml:space="preserve">, C.; </w:t>
      </w:r>
      <w:proofErr w:type="spellStart"/>
      <w:r>
        <w:t>Machera</w:t>
      </w:r>
      <w:proofErr w:type="spellEnd"/>
      <w:r>
        <w:t xml:space="preserve">, K.; Pieper, C.; Court Marques, D.; Guillot, G.; Ruffo, F.; </w:t>
      </w:r>
      <w:proofErr w:type="spellStart"/>
      <w:r>
        <w:t>Chiusolo</w:t>
      </w:r>
      <w:proofErr w:type="spellEnd"/>
      <w:r>
        <w:t xml:space="preserve">, A (2017) Guidance on dermal absorption. </w:t>
      </w:r>
      <w:r>
        <w:rPr>
          <w:i/>
          <w:iCs/>
        </w:rPr>
        <w:t>EFSA Journal</w:t>
      </w:r>
      <w:r>
        <w:t>; 15(6):4873. (</w:t>
      </w:r>
      <w:hyperlink r:id="rId2" w:history="1">
        <w:r w:rsidRPr="00EF784E">
          <w:rPr>
            <w:rStyle w:val="Hyperlink"/>
          </w:rPr>
          <w:t>https://doi.org/10.2903/j.efsa.2017.4873</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A7ED" w14:textId="2E4BC79B" w:rsidR="000E3652" w:rsidRPr="000E3652" w:rsidRDefault="00BF44F9">
    <w:pPr>
      <w:pStyle w:val="Header"/>
    </w:pPr>
    <w:r>
      <w:fldChar w:fldCharType="begin"/>
    </w:r>
    <w:r>
      <w:instrText xml:space="preserve"> TITLE  \* MERGEFORMAT </w:instrText>
    </w:r>
    <w:r>
      <w:fldChar w:fldCharType="separate"/>
    </w:r>
    <w:r w:rsidR="00615342">
      <w:t>ST/SG/AC.10/C.3/2022/72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81E5" w14:textId="17451E55" w:rsidR="00D94B05" w:rsidRPr="000E3652" w:rsidRDefault="00BF44F9" w:rsidP="000E3652">
    <w:pPr>
      <w:pStyle w:val="Header"/>
      <w:jc w:val="right"/>
    </w:pPr>
    <w:r>
      <w:fldChar w:fldCharType="begin"/>
    </w:r>
    <w:r>
      <w:instrText xml:space="preserve"> TITLE  \* MERGEFORMAT </w:instrText>
    </w:r>
    <w:r>
      <w:fldChar w:fldCharType="separate"/>
    </w:r>
    <w:r w:rsidR="00615342">
      <w:t>ST/SG/AC.10/C.3/2022/72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FB14F4"/>
    <w:multiLevelType w:val="hybridMultilevel"/>
    <w:tmpl w:val="331E8BAC"/>
    <w:lvl w:ilvl="0" w:tplc="04090001">
      <w:start w:val="1"/>
      <w:numFmt w:val="bullet"/>
      <w:lvlText w:val=""/>
      <w:lvlJc w:val="left"/>
      <w:pPr>
        <w:ind w:left="1856" w:hanging="360"/>
      </w:pPr>
      <w:rPr>
        <w:rFonts w:ascii="Symbol" w:hAnsi="Symbol" w:hint="default"/>
      </w:rPr>
    </w:lvl>
    <w:lvl w:ilvl="1" w:tplc="04090003" w:tentative="1">
      <w:start w:val="1"/>
      <w:numFmt w:val="bullet"/>
      <w:lvlText w:val="o"/>
      <w:lvlJc w:val="left"/>
      <w:pPr>
        <w:ind w:left="2576" w:hanging="360"/>
      </w:pPr>
      <w:rPr>
        <w:rFonts w:ascii="Courier New" w:hAnsi="Courier New" w:cs="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3B7563"/>
    <w:multiLevelType w:val="hybridMultilevel"/>
    <w:tmpl w:val="3F56143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1" w15:restartNumberingAfterBreak="0">
    <w:nsid w:val="6C5E152A"/>
    <w:multiLevelType w:val="hybridMultilevel"/>
    <w:tmpl w:val="34EA4F08"/>
    <w:lvl w:ilvl="0" w:tplc="04090001">
      <w:start w:val="1"/>
      <w:numFmt w:val="bullet"/>
      <w:lvlText w:val=""/>
      <w:lvlJc w:val="left"/>
      <w:pPr>
        <w:ind w:left="1856" w:hanging="360"/>
      </w:pPr>
      <w:rPr>
        <w:rFonts w:ascii="Symbol" w:hAnsi="Symbol" w:hint="default"/>
      </w:rPr>
    </w:lvl>
    <w:lvl w:ilvl="1" w:tplc="04090003" w:tentative="1">
      <w:start w:val="1"/>
      <w:numFmt w:val="bullet"/>
      <w:lvlText w:val="o"/>
      <w:lvlJc w:val="left"/>
      <w:pPr>
        <w:ind w:left="2576" w:hanging="360"/>
      </w:pPr>
      <w:rPr>
        <w:rFonts w:ascii="Courier New" w:hAnsi="Courier New" w:cs="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2"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4"/>
  </w:num>
  <w:num w:numId="3">
    <w:abstractNumId w:val="0"/>
  </w:num>
  <w:num w:numId="4">
    <w:abstractNumId w:val="7"/>
  </w:num>
  <w:num w:numId="5">
    <w:abstractNumId w:val="8"/>
  </w:num>
  <w:num w:numId="6">
    <w:abstractNumId w:val="12"/>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567"/>
  <w:hyphenationZone w:val="425"/>
  <w:evenAndOddHeaders/>
  <w:characterSpacingControl w:val="doNotCompress"/>
  <w:savePreviewPicture/>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52"/>
    <w:rsid w:val="00004CAB"/>
    <w:rsid w:val="00046E92"/>
    <w:rsid w:val="00063C90"/>
    <w:rsid w:val="00074232"/>
    <w:rsid w:val="000E3652"/>
    <w:rsid w:val="000F6733"/>
    <w:rsid w:val="00101B98"/>
    <w:rsid w:val="00107B5B"/>
    <w:rsid w:val="001514D1"/>
    <w:rsid w:val="001B1650"/>
    <w:rsid w:val="001D68DE"/>
    <w:rsid w:val="001E1A7B"/>
    <w:rsid w:val="002121BF"/>
    <w:rsid w:val="00243E6F"/>
    <w:rsid w:val="00247E2C"/>
    <w:rsid w:val="0026298D"/>
    <w:rsid w:val="002A32CB"/>
    <w:rsid w:val="002C6878"/>
    <w:rsid w:val="002D5B2C"/>
    <w:rsid w:val="002D6C53"/>
    <w:rsid w:val="002E6769"/>
    <w:rsid w:val="002F22C7"/>
    <w:rsid w:val="002F3C3F"/>
    <w:rsid w:val="002F470B"/>
    <w:rsid w:val="002F4D00"/>
    <w:rsid w:val="002F5595"/>
    <w:rsid w:val="0031244D"/>
    <w:rsid w:val="00334F6A"/>
    <w:rsid w:val="00342AC8"/>
    <w:rsid w:val="00343302"/>
    <w:rsid w:val="003528E6"/>
    <w:rsid w:val="0035417B"/>
    <w:rsid w:val="00362B62"/>
    <w:rsid w:val="003979DE"/>
    <w:rsid w:val="003B4550"/>
    <w:rsid w:val="003D2A18"/>
    <w:rsid w:val="003F3306"/>
    <w:rsid w:val="0040763E"/>
    <w:rsid w:val="004127EF"/>
    <w:rsid w:val="00413386"/>
    <w:rsid w:val="00417057"/>
    <w:rsid w:val="00432981"/>
    <w:rsid w:val="00434673"/>
    <w:rsid w:val="0044626E"/>
    <w:rsid w:val="00461253"/>
    <w:rsid w:val="004858F5"/>
    <w:rsid w:val="004A2601"/>
    <w:rsid w:val="004A2814"/>
    <w:rsid w:val="004C0622"/>
    <w:rsid w:val="0050185C"/>
    <w:rsid w:val="005042C2"/>
    <w:rsid w:val="005262F6"/>
    <w:rsid w:val="00581261"/>
    <w:rsid w:val="00582835"/>
    <w:rsid w:val="005C14FB"/>
    <w:rsid w:val="005E716E"/>
    <w:rsid w:val="00612C67"/>
    <w:rsid w:val="00615342"/>
    <w:rsid w:val="00646644"/>
    <w:rsid w:val="006476E1"/>
    <w:rsid w:val="006604DF"/>
    <w:rsid w:val="00667C74"/>
    <w:rsid w:val="00671529"/>
    <w:rsid w:val="00674CB8"/>
    <w:rsid w:val="006A7B13"/>
    <w:rsid w:val="006B385C"/>
    <w:rsid w:val="006C6BCD"/>
    <w:rsid w:val="006E3070"/>
    <w:rsid w:val="006F0AAB"/>
    <w:rsid w:val="0070489D"/>
    <w:rsid w:val="007268F9"/>
    <w:rsid w:val="00750282"/>
    <w:rsid w:val="00751893"/>
    <w:rsid w:val="00761D11"/>
    <w:rsid w:val="00764440"/>
    <w:rsid w:val="0077101B"/>
    <w:rsid w:val="007B0190"/>
    <w:rsid w:val="007B4C1B"/>
    <w:rsid w:val="007C52B0"/>
    <w:rsid w:val="007C6033"/>
    <w:rsid w:val="007D7D44"/>
    <w:rsid w:val="007E4029"/>
    <w:rsid w:val="008023F5"/>
    <w:rsid w:val="008147C8"/>
    <w:rsid w:val="0081753A"/>
    <w:rsid w:val="008479AD"/>
    <w:rsid w:val="00850AEF"/>
    <w:rsid w:val="00855D01"/>
    <w:rsid w:val="00857583"/>
    <w:rsid w:val="00857D23"/>
    <w:rsid w:val="0086266C"/>
    <w:rsid w:val="008665CC"/>
    <w:rsid w:val="008815DC"/>
    <w:rsid w:val="008C2BF8"/>
    <w:rsid w:val="008F3E0C"/>
    <w:rsid w:val="00927ED5"/>
    <w:rsid w:val="00930966"/>
    <w:rsid w:val="00932477"/>
    <w:rsid w:val="009411B4"/>
    <w:rsid w:val="00946F1D"/>
    <w:rsid w:val="00977139"/>
    <w:rsid w:val="009D0139"/>
    <w:rsid w:val="009D717D"/>
    <w:rsid w:val="009F4F5B"/>
    <w:rsid w:val="009F5CDC"/>
    <w:rsid w:val="00A03FA8"/>
    <w:rsid w:val="00A072D7"/>
    <w:rsid w:val="00A10BCF"/>
    <w:rsid w:val="00A775CF"/>
    <w:rsid w:val="00A81F4D"/>
    <w:rsid w:val="00A93FE4"/>
    <w:rsid w:val="00AA2AC1"/>
    <w:rsid w:val="00AC404B"/>
    <w:rsid w:val="00AD1A9C"/>
    <w:rsid w:val="00AF5DE1"/>
    <w:rsid w:val="00B06045"/>
    <w:rsid w:val="00B206DD"/>
    <w:rsid w:val="00B23D89"/>
    <w:rsid w:val="00B52EF4"/>
    <w:rsid w:val="00B667C9"/>
    <w:rsid w:val="00B777AD"/>
    <w:rsid w:val="00BD57AC"/>
    <w:rsid w:val="00BE0574"/>
    <w:rsid w:val="00BF44F9"/>
    <w:rsid w:val="00C02601"/>
    <w:rsid w:val="00C03015"/>
    <w:rsid w:val="00C0358D"/>
    <w:rsid w:val="00C2330E"/>
    <w:rsid w:val="00C2460F"/>
    <w:rsid w:val="00C35A27"/>
    <w:rsid w:val="00C47B2E"/>
    <w:rsid w:val="00C64176"/>
    <w:rsid w:val="00C71A17"/>
    <w:rsid w:val="00C82166"/>
    <w:rsid w:val="00CB74D8"/>
    <w:rsid w:val="00CC7530"/>
    <w:rsid w:val="00CD308A"/>
    <w:rsid w:val="00CF4D2B"/>
    <w:rsid w:val="00D01AAD"/>
    <w:rsid w:val="00D022D8"/>
    <w:rsid w:val="00D05F9D"/>
    <w:rsid w:val="00D63CD2"/>
    <w:rsid w:val="00D75A69"/>
    <w:rsid w:val="00D87DC2"/>
    <w:rsid w:val="00D94B05"/>
    <w:rsid w:val="00DB566D"/>
    <w:rsid w:val="00DD4DB6"/>
    <w:rsid w:val="00E02C2B"/>
    <w:rsid w:val="00E21C27"/>
    <w:rsid w:val="00E26BCF"/>
    <w:rsid w:val="00E321C7"/>
    <w:rsid w:val="00E52109"/>
    <w:rsid w:val="00E75317"/>
    <w:rsid w:val="00E86C6A"/>
    <w:rsid w:val="00E96B07"/>
    <w:rsid w:val="00EC0CE6"/>
    <w:rsid w:val="00EC7C1D"/>
    <w:rsid w:val="00ED6C48"/>
    <w:rsid w:val="00EE3045"/>
    <w:rsid w:val="00F34BDB"/>
    <w:rsid w:val="00F570AF"/>
    <w:rsid w:val="00F65F5D"/>
    <w:rsid w:val="00F84A30"/>
    <w:rsid w:val="00F86A3A"/>
    <w:rsid w:val="00FA494A"/>
    <w:rsid w:val="00FC5672"/>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8B374"/>
  <w15:docId w15:val="{52B3AE94-17B0-410D-9A00-B7B3124D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qForma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0E3652"/>
    <w:rPr>
      <w:b/>
      <w:sz w:val="28"/>
    </w:rPr>
  </w:style>
  <w:style w:type="character" w:customStyle="1" w:styleId="H1GChar">
    <w:name w:val="_ H_1_G Char"/>
    <w:link w:val="H1G"/>
    <w:rsid w:val="000E3652"/>
    <w:rPr>
      <w:b/>
      <w:sz w:val="24"/>
    </w:rPr>
  </w:style>
  <w:style w:type="paragraph" w:styleId="ListParagraph">
    <w:name w:val="List Paragraph"/>
    <w:basedOn w:val="Normal"/>
    <w:uiPriority w:val="34"/>
    <w:qFormat/>
    <w:rsid w:val="000E36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industrialchemicals.gov.au/sites/default/files/Tetramethylammonium%20hydroxide%20and%20its%20pentahydrate_Human%20health%20tier%20II%20assessment.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2903/j.efsa.2017.4873" TargetMode="External"/><Relationship Id="rId1" Type="http://schemas.openxmlformats.org/officeDocument/2006/relationships/hyperlink" Target="https://doi.org/10.1186/s40360-020-0046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72628-B524-4A8B-B3C7-CDF0ADCF8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591E01-6DA6-4B3D-86F3-FD00CE12E56B}">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4.xml><?xml version="1.0" encoding="utf-8"?>
<ds:datastoreItem xmlns:ds="http://schemas.openxmlformats.org/officeDocument/2006/customXml" ds:itemID="{09B5A1BC-D972-4DD5-916E-C52C98C7B9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SGAC10_E.dotm</Template>
  <TotalTime>44</TotalTime>
  <Pages>26</Pages>
  <Words>6452</Words>
  <Characters>33620</Characters>
  <Application>Microsoft Office Word</Application>
  <DocSecurity>0</DocSecurity>
  <Lines>960</Lines>
  <Paragraphs>404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ST/SG/AC.10/C.3/2022/72</vt:lpstr>
      <vt:lpstr/>
    </vt:vector>
  </TitlesOfParts>
  <Company/>
  <LinksUpToDate>false</LinksUpToDate>
  <CharactersWithSpaces>39668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ST/SG/AC.10/C.3/2022/72</dc:title>
  <dc:subject/>
  <dc:creator>Laurence BERTHET</dc:creator>
  <cp:lastModifiedBy>Laurence Berthet</cp:lastModifiedBy>
  <cp:revision>25</cp:revision>
  <cp:lastPrinted>2022-09-08T09:19:00Z</cp:lastPrinted>
  <dcterms:created xsi:type="dcterms:W3CDTF">2022-09-05T08:05:00Z</dcterms:created>
  <dcterms:modified xsi:type="dcterms:W3CDTF">2022-09-08T09:21:00Z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