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071FEE2C" w:rsidR="00E52109" w:rsidRDefault="00F2405B" w:rsidP="00F2405B">
            <w:pPr>
              <w:suppressAutoHyphens w:val="0"/>
              <w:jc w:val="right"/>
            </w:pPr>
            <w:r w:rsidRPr="00F2405B">
              <w:rPr>
                <w:sz w:val="40"/>
              </w:rPr>
              <w:t>ST</w:t>
            </w:r>
            <w:r>
              <w:t>/SG/AC.10/C.3/2022/</w:t>
            </w:r>
            <w:r w:rsidR="00E67A92">
              <w:t>68</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7C537B57" w:rsidR="00F2405B" w:rsidRDefault="00722B06" w:rsidP="00F2405B">
            <w:pPr>
              <w:suppressAutoHyphens w:val="0"/>
              <w:spacing w:line="240" w:lineRule="exact"/>
            </w:pPr>
            <w:r>
              <w:t>7</w:t>
            </w:r>
            <w:r w:rsidR="004628DB">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8F2CA2" w:rsidRDefault="00D87872" w:rsidP="004858F5">
      <w:pPr>
        <w:spacing w:before="120"/>
        <w:rPr>
          <w:b/>
          <w:sz w:val="24"/>
          <w:szCs w:val="24"/>
        </w:rPr>
      </w:pPr>
      <w:r w:rsidRPr="008F2CA2">
        <w:rPr>
          <w:b/>
          <w:sz w:val="24"/>
          <w:szCs w:val="24"/>
        </w:rPr>
        <w:t>Committee of Experts on the Transport of Dangerous Goods</w:t>
      </w:r>
      <w:r w:rsidRPr="008F2CA2">
        <w:rPr>
          <w:b/>
          <w:sz w:val="24"/>
          <w:szCs w:val="24"/>
        </w:rPr>
        <w:br/>
        <w:t>and on the Globally Harmonized System of Classification</w:t>
      </w:r>
      <w:r w:rsidRPr="008F2CA2">
        <w:rPr>
          <w:b/>
          <w:sz w:val="24"/>
          <w:szCs w:val="24"/>
        </w:rPr>
        <w:br/>
        <w:t>and Labelling of Chemicals</w:t>
      </w:r>
    </w:p>
    <w:p w14:paraId="1E474270" w14:textId="77777777" w:rsidR="00D87872" w:rsidRPr="008F2CA2" w:rsidRDefault="00D87872" w:rsidP="004858F5">
      <w:pPr>
        <w:spacing w:before="120"/>
        <w:rPr>
          <w:rFonts w:ascii="Helv" w:hAnsi="Helv" w:cs="Helv"/>
          <w:b/>
          <w:color w:val="000000"/>
        </w:rPr>
      </w:pPr>
      <w:r w:rsidRPr="008F2CA2">
        <w:rPr>
          <w:b/>
        </w:rPr>
        <w:t>Sub-Committee of Experts on the Transport of Dangerous Goods</w:t>
      </w:r>
    </w:p>
    <w:p w14:paraId="2ECC87D9" w14:textId="42C5DB14" w:rsidR="00D87872" w:rsidRPr="008F2CA2" w:rsidRDefault="00D87872" w:rsidP="004858F5">
      <w:pPr>
        <w:spacing w:before="120"/>
        <w:rPr>
          <w:b/>
        </w:rPr>
      </w:pPr>
      <w:r w:rsidRPr="008F2CA2">
        <w:rPr>
          <w:b/>
        </w:rPr>
        <w:t>Sixty-first session</w:t>
      </w:r>
    </w:p>
    <w:p w14:paraId="77845C68" w14:textId="17101E2C" w:rsidR="00D87872" w:rsidRPr="008F2CA2" w:rsidRDefault="00D87872" w:rsidP="004858F5">
      <w:r w:rsidRPr="008F2CA2">
        <w:t>Geneva, 28 November-6 December 2022</w:t>
      </w:r>
    </w:p>
    <w:p w14:paraId="2BD9F40C" w14:textId="577C7839" w:rsidR="00D87872" w:rsidRPr="008F2CA2" w:rsidRDefault="00D87872" w:rsidP="004858F5">
      <w:r w:rsidRPr="008F2CA2">
        <w:t xml:space="preserve">Item </w:t>
      </w:r>
      <w:r w:rsidR="0037696D" w:rsidRPr="008F2CA2">
        <w:t>3</w:t>
      </w:r>
      <w:r w:rsidRPr="008F2CA2">
        <w:t xml:space="preserve"> of the provisional agenda</w:t>
      </w:r>
    </w:p>
    <w:p w14:paraId="2F3102F4" w14:textId="316F54C8" w:rsidR="00AF5DE1" w:rsidRPr="008F2CA2" w:rsidRDefault="0037696D" w:rsidP="004858F5">
      <w:pPr>
        <w:rPr>
          <w:b/>
          <w:bCs/>
        </w:rPr>
      </w:pPr>
      <w:r w:rsidRPr="008F2CA2">
        <w:rPr>
          <w:b/>
          <w:bCs/>
        </w:rPr>
        <w:t xml:space="preserve">Listing, </w:t>
      </w:r>
      <w:proofErr w:type="gramStart"/>
      <w:r w:rsidRPr="008F2CA2">
        <w:rPr>
          <w:b/>
          <w:bCs/>
        </w:rPr>
        <w:t>classification</w:t>
      </w:r>
      <w:proofErr w:type="gramEnd"/>
      <w:r w:rsidRPr="008F2CA2">
        <w:rPr>
          <w:b/>
          <w:bCs/>
        </w:rPr>
        <w:t xml:space="preserve"> and packaging</w:t>
      </w:r>
    </w:p>
    <w:p w14:paraId="46EB57B9" w14:textId="4BAC2764" w:rsidR="001B253E" w:rsidRPr="008F2CA2" w:rsidRDefault="001B253E" w:rsidP="001B253E">
      <w:pPr>
        <w:pStyle w:val="HChG"/>
        <w:spacing w:before="240" w:after="120"/>
      </w:pPr>
      <w:r w:rsidRPr="008F2CA2">
        <w:tab/>
      </w:r>
      <w:r w:rsidRPr="008F2CA2">
        <w:tab/>
      </w:r>
      <w:r w:rsidRPr="008F2CA2">
        <w:rPr>
          <w:rFonts w:eastAsia="MS Mincho"/>
          <w:lang w:eastAsia="ja-JP"/>
        </w:rPr>
        <w:t>Revision of the classification of tetramethylammonium hydroxide</w:t>
      </w:r>
    </w:p>
    <w:p w14:paraId="4D912847" w14:textId="1C81345B" w:rsidR="001B253E" w:rsidRPr="008F2CA2" w:rsidRDefault="001B253E" w:rsidP="001B253E">
      <w:pPr>
        <w:pStyle w:val="H1G"/>
        <w:spacing w:before="240" w:after="120"/>
      </w:pPr>
      <w:r w:rsidRPr="008F2CA2">
        <w:tab/>
      </w:r>
      <w:r w:rsidRPr="008F2CA2">
        <w:tab/>
        <w:t>Transmitted by the expert from the Netherlands</w:t>
      </w:r>
      <w:r w:rsidR="00271DC1" w:rsidRPr="008F2CA2">
        <w:rPr>
          <w:rStyle w:val="FootnoteReference"/>
        </w:rPr>
        <w:footnoteReference w:id="2"/>
      </w:r>
    </w:p>
    <w:p w14:paraId="54C2FDFD" w14:textId="77777777" w:rsidR="001B253E" w:rsidRPr="008F2CA2" w:rsidRDefault="001B253E" w:rsidP="001B253E">
      <w:pPr>
        <w:pStyle w:val="HChG"/>
        <w:spacing w:before="240" w:after="120"/>
      </w:pPr>
      <w:r w:rsidRPr="008F2CA2">
        <w:tab/>
      </w:r>
      <w:r w:rsidRPr="008F2CA2">
        <w:tab/>
        <w:t xml:space="preserve">Introduction </w:t>
      </w:r>
    </w:p>
    <w:p w14:paraId="5796B6B7" w14:textId="7AA8D646" w:rsidR="001B253E" w:rsidRPr="008F2CA2" w:rsidRDefault="00C231A6" w:rsidP="00C231A6">
      <w:pPr>
        <w:pStyle w:val="SingleTxtG"/>
      </w:pPr>
      <w:r w:rsidRPr="008F2CA2">
        <w:tab/>
        <w:t>1.</w:t>
      </w:r>
      <w:r w:rsidRPr="008F2CA2">
        <w:tab/>
      </w:r>
      <w:r w:rsidR="001B253E" w:rsidRPr="008F2CA2">
        <w:t xml:space="preserve">At the </w:t>
      </w:r>
      <w:r w:rsidR="00271DC1" w:rsidRPr="008F2CA2">
        <w:t>fifty-ninth and sixtieth</w:t>
      </w:r>
      <w:r w:rsidR="001B253E" w:rsidRPr="008F2CA2">
        <w:t xml:space="preserve"> sessions of the Sub-Committee, three documents were presented (</w:t>
      </w:r>
      <w:r w:rsidR="00891C4B" w:rsidRPr="008F2CA2">
        <w:t xml:space="preserve">informal document </w:t>
      </w:r>
      <w:r w:rsidR="001B253E" w:rsidRPr="008F2CA2">
        <w:rPr>
          <w:rStyle w:val="Strong"/>
          <w:b w:val="0"/>
          <w:bCs w:val="0"/>
        </w:rPr>
        <w:t>INF.12</w:t>
      </w:r>
      <w:r w:rsidR="00891C4B" w:rsidRPr="008F2CA2">
        <w:rPr>
          <w:rStyle w:val="Strong"/>
          <w:b w:val="0"/>
          <w:bCs w:val="0"/>
        </w:rPr>
        <w:t xml:space="preserve"> (</w:t>
      </w:r>
      <w:r w:rsidR="004628DB" w:rsidRPr="008F2CA2">
        <w:t>fifty-ninth</w:t>
      </w:r>
      <w:r w:rsidR="00891C4B" w:rsidRPr="008F2CA2">
        <w:rPr>
          <w:rStyle w:val="Strong"/>
          <w:b w:val="0"/>
          <w:bCs w:val="0"/>
        </w:rPr>
        <w:t xml:space="preserve"> session)</w:t>
      </w:r>
      <w:r w:rsidR="001B253E" w:rsidRPr="008F2CA2">
        <w:rPr>
          <w:rStyle w:val="Strong"/>
          <w:b w:val="0"/>
          <w:bCs w:val="0"/>
        </w:rPr>
        <w:t>,</w:t>
      </w:r>
      <w:r w:rsidR="001B253E" w:rsidRPr="008F2CA2">
        <w:t xml:space="preserve"> ST/SG/AC.10/C.3/2022/24 and </w:t>
      </w:r>
      <w:r w:rsidR="00891C4B" w:rsidRPr="008F2CA2">
        <w:t>informal document</w:t>
      </w:r>
      <w:r w:rsidRPr="008F2CA2">
        <w:t xml:space="preserve"> </w:t>
      </w:r>
      <w:r w:rsidR="001B253E" w:rsidRPr="008F2CA2">
        <w:t>INF.22</w:t>
      </w:r>
      <w:r w:rsidRPr="008F2CA2">
        <w:t xml:space="preserve"> (</w:t>
      </w:r>
      <w:r w:rsidR="004628DB" w:rsidRPr="008F2CA2">
        <w:t xml:space="preserve">sixtieth </w:t>
      </w:r>
      <w:r w:rsidRPr="008F2CA2">
        <w:t>session)</w:t>
      </w:r>
      <w:r w:rsidR="001B253E" w:rsidRPr="008F2CA2">
        <w:rPr>
          <w:rStyle w:val="Strong"/>
        </w:rPr>
        <w:t xml:space="preserve"> </w:t>
      </w:r>
      <w:r w:rsidR="001B253E" w:rsidRPr="008F2CA2">
        <w:rPr>
          <w:rStyle w:val="Strong"/>
          <w:b w:val="0"/>
          <w:bCs w:val="0"/>
        </w:rPr>
        <w:t>to discuss a revision of the classification of</w:t>
      </w:r>
      <w:r w:rsidR="001B253E" w:rsidRPr="008F2CA2">
        <w:rPr>
          <w:rStyle w:val="Strong"/>
        </w:rPr>
        <w:t xml:space="preserve"> </w:t>
      </w:r>
      <w:r w:rsidR="004628DB" w:rsidRPr="008F2CA2">
        <w:rPr>
          <w:rStyle w:val="Strong"/>
          <w:b w:val="0"/>
          <w:bCs w:val="0"/>
        </w:rPr>
        <w:t>t</w:t>
      </w:r>
      <w:r w:rsidR="001B253E" w:rsidRPr="008F2CA2">
        <w:t>etramethylammonium hydroxide (TMAH)</w:t>
      </w:r>
      <w:r w:rsidR="001B253E" w:rsidRPr="008F2CA2">
        <w:rPr>
          <w:rStyle w:val="Strong"/>
          <w:b w:val="0"/>
          <w:bCs w:val="0"/>
        </w:rPr>
        <w:t>.</w:t>
      </w:r>
      <w:r w:rsidR="001B253E" w:rsidRPr="008F2CA2">
        <w:t xml:space="preserve"> The available data on accidental human exposure and animal testing have been presented and thoroughly analy</w:t>
      </w:r>
      <w:r w:rsidR="005A395A">
        <w:t>s</w:t>
      </w:r>
      <w:r w:rsidR="001B253E" w:rsidRPr="008F2CA2">
        <w:t>ed in document ST/SG/AC.10/C.3/2022/24.</w:t>
      </w:r>
    </w:p>
    <w:p w14:paraId="4BEC6239" w14:textId="6EF97ACC" w:rsidR="001B253E" w:rsidRPr="008F2CA2" w:rsidRDefault="00C231A6" w:rsidP="00C231A6">
      <w:pPr>
        <w:pStyle w:val="SingleTxtG"/>
      </w:pPr>
      <w:r w:rsidRPr="008F2CA2">
        <w:tab/>
        <w:t>2.</w:t>
      </w:r>
      <w:r w:rsidRPr="008F2CA2">
        <w:tab/>
      </w:r>
      <w:r w:rsidR="001B253E" w:rsidRPr="008F2CA2">
        <w:t xml:space="preserve">This led to a proposed new classification for TMAH based on human experience prioritized over animal test data, by assigning three packing groups to the TMAH solutions and to allow the toxic hazard take precedence over the corrosive hazard of TMAH. Two options were provided </w:t>
      </w:r>
      <w:r w:rsidR="00A821D6" w:rsidRPr="008F2CA2">
        <w:t>on</w:t>
      </w:r>
      <w:r w:rsidR="001B253E" w:rsidRPr="008F2CA2">
        <w:t xml:space="preserve"> the proper shipping names of the TMAH solutions, one with concentration limits and one without. Most delegates who provided comments during the </w:t>
      </w:r>
      <w:r w:rsidR="00A62D9D" w:rsidRPr="008F2CA2">
        <w:t xml:space="preserve">sixtieth </w:t>
      </w:r>
      <w:r w:rsidR="001B253E" w:rsidRPr="008F2CA2">
        <w:t>session preferred the option with concentration limits.</w:t>
      </w:r>
    </w:p>
    <w:p w14:paraId="4680F315" w14:textId="0F9213D3" w:rsidR="001B253E" w:rsidRPr="008F2CA2" w:rsidRDefault="00C231A6" w:rsidP="00C231A6">
      <w:pPr>
        <w:pStyle w:val="SingleTxtG"/>
      </w:pPr>
      <w:r w:rsidRPr="008F2CA2">
        <w:tab/>
        <w:t>3.</w:t>
      </w:r>
      <w:r w:rsidRPr="008F2CA2">
        <w:tab/>
      </w:r>
      <w:r w:rsidR="001B253E" w:rsidRPr="008F2CA2">
        <w:t xml:space="preserve">The views were divided </w:t>
      </w:r>
      <w:r w:rsidR="00F17897" w:rsidRPr="008F2CA2">
        <w:t>on</w:t>
      </w:r>
      <w:r w:rsidR="001B253E" w:rsidRPr="008F2CA2">
        <w:t xml:space="preserve"> the concentration limit for TMAH solutions corresponding to packing group I. Some delegations supported the proposed 8.75 % concentration limit, while others preferred the concentration limit for packing group I to be 25 %.</w:t>
      </w:r>
    </w:p>
    <w:p w14:paraId="5BFA4651" w14:textId="77777777" w:rsidR="001B253E" w:rsidRPr="008F2CA2" w:rsidRDefault="001B253E" w:rsidP="001B253E">
      <w:pPr>
        <w:pStyle w:val="HChG"/>
        <w:spacing w:before="240" w:after="120"/>
      </w:pPr>
      <w:r w:rsidRPr="008F2CA2">
        <w:tab/>
      </w:r>
      <w:r w:rsidRPr="008F2CA2">
        <w:tab/>
        <w:t>Justification</w:t>
      </w:r>
    </w:p>
    <w:p w14:paraId="2B687B87" w14:textId="70D564A5" w:rsidR="001B253E" w:rsidRPr="008F2CA2" w:rsidRDefault="00C231A6" w:rsidP="00C231A6">
      <w:pPr>
        <w:pStyle w:val="SingleTxtG"/>
      </w:pPr>
      <w:r w:rsidRPr="008F2CA2">
        <w:tab/>
        <w:t>4.</w:t>
      </w:r>
      <w:r w:rsidRPr="008F2CA2">
        <w:tab/>
      </w:r>
      <w:r w:rsidR="001B253E" w:rsidRPr="008F2CA2">
        <w:t xml:space="preserve">Updating the classification of TMAH based on the most recent insights is necessary to ensure the safety of people, </w:t>
      </w:r>
      <w:proofErr w:type="gramStart"/>
      <w:r w:rsidR="001B253E" w:rsidRPr="008F2CA2">
        <w:t>property</w:t>
      </w:r>
      <w:proofErr w:type="gramEnd"/>
      <w:r w:rsidR="001B253E" w:rsidRPr="008F2CA2">
        <w:t xml:space="preserve"> and the environment. By doing so the Sub-Committee aligns itself with the Sustainable Development Goal 3: ensure healthy lives and promote well-being for all at all ages.</w:t>
      </w:r>
    </w:p>
    <w:p w14:paraId="6257A54F" w14:textId="1B227D74" w:rsidR="001B253E" w:rsidRPr="008F2CA2" w:rsidRDefault="00C231A6" w:rsidP="00C231A6">
      <w:pPr>
        <w:pStyle w:val="HChG"/>
      </w:pPr>
      <w:r w:rsidRPr="008F2CA2">
        <w:lastRenderedPageBreak/>
        <w:tab/>
      </w:r>
      <w:r w:rsidRPr="008F2CA2">
        <w:tab/>
      </w:r>
      <w:r w:rsidR="001B253E" w:rsidRPr="008F2CA2">
        <w:t>Discussion</w:t>
      </w:r>
    </w:p>
    <w:p w14:paraId="576DBB8A" w14:textId="11268EF7" w:rsidR="001B253E" w:rsidRPr="008F2CA2" w:rsidRDefault="00C231A6" w:rsidP="00C231A6">
      <w:pPr>
        <w:pStyle w:val="SingleTxtG"/>
      </w:pPr>
      <w:r w:rsidRPr="008F2CA2">
        <w:tab/>
        <w:t>5.</w:t>
      </w:r>
      <w:r w:rsidRPr="008F2CA2">
        <w:tab/>
      </w:r>
      <w:r w:rsidR="001B253E" w:rsidRPr="008F2CA2">
        <w:t xml:space="preserve">The assignment of the packing group I concentration limit has been based on one lethal incident. </w:t>
      </w:r>
      <w:r w:rsidR="00FF6BA6" w:rsidRPr="008F2CA2">
        <w:t>Informal d</w:t>
      </w:r>
      <w:r w:rsidR="001B253E" w:rsidRPr="008F2CA2">
        <w:t xml:space="preserve">ocument INF.22 </w:t>
      </w:r>
      <w:r w:rsidR="00DA429C" w:rsidRPr="008F2CA2">
        <w:t xml:space="preserve">(sixtieth session) </w:t>
      </w:r>
      <w:r w:rsidR="001B253E" w:rsidRPr="008F2CA2">
        <w:t xml:space="preserve">presented by </w:t>
      </w:r>
      <w:r w:rsidR="0024778A" w:rsidRPr="008F2CA2">
        <w:t xml:space="preserve">the </w:t>
      </w:r>
      <w:r w:rsidR="00E455D9" w:rsidRPr="008F2CA2">
        <w:t>European Chemical Industry Council (</w:t>
      </w:r>
      <w:proofErr w:type="spellStart"/>
      <w:r w:rsidR="00E455D9" w:rsidRPr="008F2CA2">
        <w:t>Cefic</w:t>
      </w:r>
      <w:proofErr w:type="spellEnd"/>
      <w:r w:rsidR="00E455D9" w:rsidRPr="008F2CA2">
        <w:t xml:space="preserve">) and the Dangerous Goods Advisory Council (DGAC) </w:t>
      </w:r>
      <w:r w:rsidR="001B253E" w:rsidRPr="008F2CA2">
        <w:t xml:space="preserve">provided an additional analysis of that incident in which the victim was exposed to a mixture with, amongst others, 8.75 % TMAH and 10 % ethoxylated alcohol. As stated in that document it is likely that ethoxylated alcohol contributed to the lethal outcome of this incident, by hampering an adequate response to the TMAH exposure. However, this does not influence the toxic properties of TMAH </w:t>
      </w:r>
      <w:r w:rsidR="005A395A" w:rsidRPr="008F2CA2">
        <w:t>solutions,</w:t>
      </w:r>
      <w:r w:rsidR="001B253E" w:rsidRPr="008F2CA2">
        <w:t xml:space="preserve"> nor does it influence the assignment of packing groups since the assignment of packing groups is based on the intrinsic hazardous properties of a substance and not on the timely manner of response and treatment to any accidental exposure.</w:t>
      </w:r>
    </w:p>
    <w:p w14:paraId="27C06FEE" w14:textId="3612C6B5" w:rsidR="001B253E" w:rsidRPr="008F2CA2" w:rsidRDefault="00C231A6" w:rsidP="00C231A6">
      <w:pPr>
        <w:pStyle w:val="SingleTxtG"/>
      </w:pPr>
      <w:r w:rsidRPr="008F2CA2">
        <w:tab/>
        <w:t>6.</w:t>
      </w:r>
      <w:r w:rsidRPr="008F2CA2">
        <w:tab/>
      </w:r>
      <w:r w:rsidR="001B253E" w:rsidRPr="008F2CA2">
        <w:t xml:space="preserve">At the </w:t>
      </w:r>
      <w:r w:rsidR="00D66920" w:rsidRPr="008F2CA2">
        <w:t xml:space="preserve">sixtieth </w:t>
      </w:r>
      <w:r w:rsidR="001B253E" w:rsidRPr="008F2CA2">
        <w:t>session of the Sub-Committee a few delegations questioned the assignment of the concentration limit based on solely one incident. Although the expert from the Netherlands agrees that multiple data points will provide more support for the proposed concentration limit it is however highly questionable to ignore a lethal incident.</w:t>
      </w:r>
    </w:p>
    <w:p w14:paraId="1C92CC4A" w14:textId="205C9852" w:rsidR="001B253E" w:rsidRPr="008F2CA2" w:rsidRDefault="00C231A6" w:rsidP="00C231A6">
      <w:pPr>
        <w:pStyle w:val="SingleTxtG"/>
      </w:pPr>
      <w:r w:rsidRPr="008F2CA2">
        <w:tab/>
        <w:t>7.</w:t>
      </w:r>
      <w:r w:rsidRPr="008F2CA2">
        <w:tab/>
      </w:r>
      <w:r w:rsidR="001B253E" w:rsidRPr="008F2CA2">
        <w:t xml:space="preserve">The Model Regulations clearly state in paragraphs 2.6.2.2 and 2.8.3.2 that human experience shall be </w:t>
      </w:r>
      <w:proofErr w:type="gramStart"/>
      <w:r w:rsidR="001B253E" w:rsidRPr="008F2CA2">
        <w:t>taken into account</w:t>
      </w:r>
      <w:proofErr w:type="gramEnd"/>
      <w:r w:rsidR="001B253E" w:rsidRPr="008F2CA2">
        <w:t xml:space="preserve"> when assigning packing groups for toxic and corrosive substances. Although there are no quantitative criteria available to do this, it seems an arbitrary choice to consider a lethal incident as an outlier. Especially when coinciding factors that likely have influenced the outcome of this incident only seem to have affected the adequate response to the exposure and had no influence on the toxic properties of TMAH.</w:t>
      </w:r>
    </w:p>
    <w:p w14:paraId="46B3E9A8" w14:textId="25515A07" w:rsidR="001B253E" w:rsidRPr="008F2CA2" w:rsidRDefault="00C231A6" w:rsidP="00C231A6">
      <w:pPr>
        <w:pStyle w:val="SingleTxtG"/>
      </w:pPr>
      <w:r w:rsidRPr="008F2CA2">
        <w:tab/>
        <w:t>8.</w:t>
      </w:r>
      <w:r w:rsidRPr="008F2CA2">
        <w:tab/>
      </w:r>
      <w:r w:rsidR="001B253E" w:rsidRPr="008F2CA2">
        <w:t xml:space="preserve">The Model Regulations have been developed, above all, to ensure the safety of people, </w:t>
      </w:r>
      <w:proofErr w:type="gramStart"/>
      <w:r w:rsidR="001B253E" w:rsidRPr="008F2CA2">
        <w:t>property</w:t>
      </w:r>
      <w:proofErr w:type="gramEnd"/>
      <w:r w:rsidR="001B253E" w:rsidRPr="008F2CA2">
        <w:t xml:space="preserve"> and the environment. Therefore, the expert from the Netherlands is of the opinion that a lethal outcome after accidental exposure is a highly significant outcome and cannot be considered an outlier for classification purposes. It is therefore proposed to maintain the TMAH concentration limit for packing group I at 8.75 %.</w:t>
      </w:r>
    </w:p>
    <w:p w14:paraId="7F17A366" w14:textId="4B0B3381" w:rsidR="001B253E" w:rsidRPr="008F2CA2" w:rsidRDefault="00C231A6" w:rsidP="00C231A6">
      <w:pPr>
        <w:pStyle w:val="SingleTxtG"/>
      </w:pPr>
      <w:r w:rsidRPr="008F2CA2">
        <w:tab/>
        <w:t>9.</w:t>
      </w:r>
      <w:r w:rsidRPr="008F2CA2">
        <w:tab/>
      </w:r>
      <w:r w:rsidR="001B253E" w:rsidRPr="008F2CA2">
        <w:t xml:space="preserve">When preparing this </w:t>
      </w:r>
      <w:r w:rsidR="0035590A" w:rsidRPr="008F2CA2">
        <w:t>document,</w:t>
      </w:r>
      <w:r w:rsidR="001B253E" w:rsidRPr="008F2CA2">
        <w:t xml:space="preserve"> it became clear that the acute toxicity test through the dermal route has been incorrectly used as classification data because it had been performed on rats instead of rabbits. Therefore, the 2.38% data was not applied correctly to assign Division 6.1 packing group II. However, this does not change the proposed concentration limit for packing group II, because there is data available on assigning concentration limits to packing groups I and III. The concentration limit for packing group II is then in between these limits. Additionally, for packing group II it was suggested to prioritize Division 6.1 over Class 8 which deviates from the precedence of hazards table. For these two reasons it is proposed to assign special provision 279 to packing group II as well.</w:t>
      </w:r>
    </w:p>
    <w:p w14:paraId="48E48A4C" w14:textId="6C23DE85" w:rsidR="001B253E" w:rsidRPr="008F2CA2" w:rsidRDefault="00C231A6" w:rsidP="00C231A6">
      <w:pPr>
        <w:pStyle w:val="SingleTxtG"/>
      </w:pPr>
      <w:r w:rsidRPr="008F2CA2">
        <w:tab/>
        <w:t>10.</w:t>
      </w:r>
      <w:r w:rsidRPr="008F2CA2">
        <w:tab/>
      </w:r>
      <w:r w:rsidR="001B253E" w:rsidRPr="008F2CA2">
        <w:t xml:space="preserve">Furthermore, during the </w:t>
      </w:r>
      <w:r w:rsidR="00DB00BC" w:rsidRPr="008F2CA2">
        <w:t>sixtieth</w:t>
      </w:r>
      <w:r w:rsidR="001B253E" w:rsidRPr="008F2CA2">
        <w:t xml:space="preserve"> session there was a comment on the wording used in the proper shipping name of the packing group I and II entries. These comments have been </w:t>
      </w:r>
      <w:proofErr w:type="gramStart"/>
      <w:r w:rsidR="001B253E" w:rsidRPr="008F2CA2">
        <w:t>taken into account</w:t>
      </w:r>
      <w:proofErr w:type="gramEnd"/>
      <w:r w:rsidR="001B253E" w:rsidRPr="008F2CA2">
        <w:t xml:space="preserve"> and additionally, the wording of the packing group III entry has also been changed accordingly.</w:t>
      </w:r>
    </w:p>
    <w:p w14:paraId="029A6466" w14:textId="17C9F3FA" w:rsidR="001B253E" w:rsidRPr="008F2CA2" w:rsidRDefault="000444C8" w:rsidP="00C231A6">
      <w:pPr>
        <w:pStyle w:val="SingleTxtG"/>
      </w:pPr>
      <w:r w:rsidRPr="008F2CA2">
        <w:tab/>
        <w:t>11.</w:t>
      </w:r>
      <w:r w:rsidRPr="008F2CA2">
        <w:tab/>
      </w:r>
      <w:r w:rsidR="001B253E" w:rsidRPr="008F2CA2">
        <w:t xml:space="preserve">It was also mentioned that a transitional measure is needed for the proposed amendments to the Dangerous Goods List in the Model Regulations. This has also been </w:t>
      </w:r>
      <w:proofErr w:type="gramStart"/>
      <w:r w:rsidR="001B253E" w:rsidRPr="008F2CA2">
        <w:t>taken into account</w:t>
      </w:r>
      <w:proofErr w:type="gramEnd"/>
      <w:r w:rsidR="001B253E" w:rsidRPr="008F2CA2">
        <w:t xml:space="preserve"> in the revised proposal.</w:t>
      </w:r>
    </w:p>
    <w:p w14:paraId="780A47E9" w14:textId="7ACAF06A" w:rsidR="001B253E" w:rsidRPr="008F2CA2" w:rsidRDefault="000444C8" w:rsidP="00C231A6">
      <w:pPr>
        <w:pStyle w:val="SingleTxtG"/>
      </w:pPr>
      <w:r w:rsidRPr="008F2CA2">
        <w:tab/>
        <w:t>12.</w:t>
      </w:r>
      <w:r w:rsidRPr="008F2CA2">
        <w:tab/>
      </w:r>
      <w:r w:rsidR="001B253E" w:rsidRPr="008F2CA2">
        <w:t xml:space="preserve">Finally, for solid TMAH the proposed classification and associated transport conditions should be reflected in the Guiding Principles. In table 4.2 of the Guiding Principles which deals with transport in </w:t>
      </w:r>
      <w:r w:rsidR="00267B8C" w:rsidRPr="008F2CA2">
        <w:t xml:space="preserve">intermediate bulk containers </w:t>
      </w:r>
      <w:r w:rsidR="00765806" w:rsidRPr="008F2CA2">
        <w:t>(</w:t>
      </w:r>
      <w:r w:rsidR="001B253E" w:rsidRPr="008F2CA2">
        <w:t>IBCs</w:t>
      </w:r>
      <w:r w:rsidR="00765806" w:rsidRPr="008F2CA2">
        <w:t>)</w:t>
      </w:r>
      <w:r w:rsidR="001B253E" w:rsidRPr="008F2CA2">
        <w:t xml:space="preserve"> subject to approval by the competent authority (IBC99), UN 3423 TETRAMETHYLAMMONIUM HYDROXIDE, SOLID should be added to the table.</w:t>
      </w:r>
    </w:p>
    <w:p w14:paraId="2193A2F0" w14:textId="77777777" w:rsidR="000444C8" w:rsidRPr="008F2CA2" w:rsidRDefault="000444C8">
      <w:pPr>
        <w:suppressAutoHyphens w:val="0"/>
        <w:kinsoku/>
        <w:overflowPunct/>
        <w:autoSpaceDE/>
        <w:autoSpaceDN/>
        <w:adjustRightInd/>
        <w:snapToGrid/>
        <w:spacing w:after="200" w:line="276" w:lineRule="auto"/>
        <w:rPr>
          <w:b/>
          <w:sz w:val="28"/>
        </w:rPr>
      </w:pPr>
      <w:r w:rsidRPr="008F2CA2">
        <w:br w:type="page"/>
      </w:r>
    </w:p>
    <w:p w14:paraId="3D75B1F4" w14:textId="2900DFBA" w:rsidR="001B253E" w:rsidRPr="008F2CA2" w:rsidRDefault="000444C8" w:rsidP="000444C8">
      <w:pPr>
        <w:pStyle w:val="HChG"/>
      </w:pPr>
      <w:r w:rsidRPr="008F2CA2">
        <w:lastRenderedPageBreak/>
        <w:tab/>
      </w:r>
      <w:r w:rsidRPr="008F2CA2">
        <w:tab/>
      </w:r>
      <w:r w:rsidR="001B253E" w:rsidRPr="008F2CA2">
        <w:t>Proposal</w:t>
      </w:r>
    </w:p>
    <w:p w14:paraId="6738B53B" w14:textId="658D89EC" w:rsidR="001B253E" w:rsidRPr="008F2CA2" w:rsidRDefault="000444C8" w:rsidP="000444C8">
      <w:pPr>
        <w:pStyle w:val="SingleTxtG"/>
      </w:pPr>
      <w:r w:rsidRPr="008F2CA2">
        <w:tab/>
        <w:t>13.</w:t>
      </w:r>
      <w:r w:rsidRPr="008F2CA2">
        <w:tab/>
      </w:r>
      <w:proofErr w:type="gramStart"/>
      <w:r w:rsidR="001B253E" w:rsidRPr="008F2CA2">
        <w:t xml:space="preserve">Taking </w:t>
      </w:r>
      <w:r w:rsidR="00E11028" w:rsidRPr="008F2CA2">
        <w:t>into account</w:t>
      </w:r>
      <w:proofErr w:type="gramEnd"/>
      <w:r w:rsidR="00E11028" w:rsidRPr="008F2CA2">
        <w:t xml:space="preserve"> </w:t>
      </w:r>
      <w:r w:rsidR="001B253E" w:rsidRPr="008F2CA2">
        <w:t xml:space="preserve">the modifications </w:t>
      </w:r>
      <w:r w:rsidR="00FB7FF9" w:rsidRPr="008F2CA2">
        <w:t>pro</w:t>
      </w:r>
      <w:r w:rsidR="008F2CA2" w:rsidRPr="008F2CA2">
        <w:t>po</w:t>
      </w:r>
      <w:r w:rsidR="00FB7FF9" w:rsidRPr="008F2CA2">
        <w:t>sed above</w:t>
      </w:r>
      <w:r w:rsidR="001B253E" w:rsidRPr="008F2CA2">
        <w:t xml:space="preserve">, amend </w:t>
      </w:r>
      <w:r w:rsidR="00F108F1" w:rsidRPr="008F2CA2">
        <w:t xml:space="preserve">in 3.2.2 </w:t>
      </w:r>
      <w:r w:rsidR="00A273B1" w:rsidRPr="008F2CA2">
        <w:t>D</w:t>
      </w:r>
      <w:r w:rsidR="001B253E" w:rsidRPr="008F2CA2">
        <w:t xml:space="preserve">angerous </w:t>
      </w:r>
      <w:r w:rsidR="00A273B1" w:rsidRPr="008F2CA2">
        <w:t>G</w:t>
      </w:r>
      <w:r w:rsidR="001B253E" w:rsidRPr="008F2CA2">
        <w:t xml:space="preserve">oods </w:t>
      </w:r>
      <w:r w:rsidR="00A273B1" w:rsidRPr="008F2CA2">
        <w:t>L</w:t>
      </w:r>
      <w:r w:rsidR="001B253E" w:rsidRPr="008F2CA2">
        <w:t>ist as follows (</w:t>
      </w:r>
      <w:r w:rsidR="00E50791" w:rsidRPr="008F2CA2">
        <w:t>new text i</w:t>
      </w:r>
      <w:r w:rsidR="002D62B8" w:rsidRPr="008F2CA2">
        <w:t>s</w:t>
      </w:r>
      <w:r w:rsidR="001B253E" w:rsidRPr="008F2CA2">
        <w:t xml:space="preserve"> </w:t>
      </w:r>
      <w:r w:rsidR="001B253E" w:rsidRPr="008F2CA2">
        <w:rPr>
          <w:u w:val="single"/>
        </w:rPr>
        <w:t>underlined</w:t>
      </w:r>
      <w:r w:rsidR="006D5F71" w:rsidRPr="008F2CA2">
        <w:t>,</w:t>
      </w:r>
      <w:r w:rsidR="006D5F71" w:rsidRPr="008F2CA2">
        <w:rPr>
          <w:b/>
          <w:bCs/>
        </w:rPr>
        <w:t xml:space="preserve"> </w:t>
      </w:r>
      <w:r w:rsidR="00E50791" w:rsidRPr="008F2CA2">
        <w:t xml:space="preserve">deleted </w:t>
      </w:r>
      <w:r w:rsidR="002D62B8" w:rsidRPr="008F2CA2">
        <w:t xml:space="preserve">text </w:t>
      </w:r>
      <w:r w:rsidR="001B253E" w:rsidRPr="008F2CA2">
        <w:t xml:space="preserve">in </w:t>
      </w:r>
      <w:r w:rsidR="001B253E" w:rsidRPr="008F2CA2">
        <w:rPr>
          <w:strike/>
        </w:rPr>
        <w:t>strikethrough</w:t>
      </w:r>
      <w:r w:rsidR="001B253E" w:rsidRPr="008F2CA2">
        <w:t>):</w:t>
      </w:r>
    </w:p>
    <w:tbl>
      <w:tblPr>
        <w:tblStyle w:val="TableGrid"/>
        <w:tblW w:w="0" w:type="auto"/>
        <w:tblLook w:val="04A0" w:firstRow="1" w:lastRow="0" w:firstColumn="1" w:lastColumn="0" w:noHBand="0" w:noVBand="1"/>
      </w:tblPr>
      <w:tblGrid>
        <w:gridCol w:w="374"/>
        <w:gridCol w:w="2400"/>
        <w:gridCol w:w="611"/>
        <w:gridCol w:w="550"/>
        <w:gridCol w:w="621"/>
        <w:gridCol w:w="831"/>
        <w:gridCol w:w="456"/>
        <w:gridCol w:w="315"/>
        <w:gridCol w:w="928"/>
        <w:gridCol w:w="801"/>
        <w:gridCol w:w="941"/>
        <w:gridCol w:w="801"/>
      </w:tblGrid>
      <w:tr w:rsidR="00F108F1" w:rsidRPr="008F2CA2" w14:paraId="12F6AD90" w14:textId="77777777" w:rsidTr="00A62E2A">
        <w:trPr>
          <w:trHeight w:val="444"/>
        </w:trPr>
        <w:tc>
          <w:tcPr>
            <w:tcW w:w="421" w:type="dxa"/>
            <w:vMerge w:val="restart"/>
            <w:tcBorders>
              <w:top w:val="single" w:sz="4" w:space="0" w:color="auto"/>
              <w:left w:val="single" w:sz="4" w:space="0" w:color="auto"/>
              <w:bottom w:val="single" w:sz="4" w:space="0" w:color="auto"/>
              <w:right w:val="single" w:sz="4" w:space="0" w:color="auto"/>
            </w:tcBorders>
            <w:hideMark/>
          </w:tcPr>
          <w:p w14:paraId="058D7F3D" w14:textId="77777777" w:rsidR="001B253E" w:rsidRPr="008F2CA2" w:rsidRDefault="001B253E" w:rsidP="00A62E2A">
            <w:pPr>
              <w:jc w:val="center"/>
              <w:rPr>
                <w:b/>
                <w:sz w:val="18"/>
                <w:szCs w:val="18"/>
                <w:lang w:val="en-GB"/>
              </w:rPr>
            </w:pPr>
          </w:p>
          <w:p w14:paraId="205702BB" w14:textId="77777777" w:rsidR="001B253E" w:rsidRPr="008F2CA2" w:rsidRDefault="001B253E" w:rsidP="00A62E2A">
            <w:pPr>
              <w:jc w:val="center"/>
              <w:rPr>
                <w:b/>
                <w:sz w:val="18"/>
                <w:szCs w:val="18"/>
                <w:lang w:val="en-GB"/>
              </w:rPr>
            </w:pPr>
            <w:r w:rsidRPr="008F2CA2">
              <w:rPr>
                <w:b/>
                <w:sz w:val="18"/>
                <w:szCs w:val="18"/>
                <w:lang w:val="en-GB"/>
              </w:rPr>
              <w:t>UN No.</w:t>
            </w:r>
          </w:p>
        </w:tc>
        <w:tc>
          <w:tcPr>
            <w:tcW w:w="1993" w:type="dxa"/>
            <w:vMerge w:val="restart"/>
            <w:tcBorders>
              <w:top w:val="single" w:sz="4" w:space="0" w:color="auto"/>
              <w:left w:val="single" w:sz="4" w:space="0" w:color="auto"/>
              <w:bottom w:val="single" w:sz="4" w:space="0" w:color="auto"/>
              <w:right w:val="single" w:sz="4" w:space="0" w:color="auto"/>
            </w:tcBorders>
            <w:hideMark/>
          </w:tcPr>
          <w:p w14:paraId="451082EB" w14:textId="77777777" w:rsidR="001B253E" w:rsidRPr="008F2CA2" w:rsidRDefault="001B253E" w:rsidP="00A62E2A">
            <w:pPr>
              <w:jc w:val="center"/>
              <w:rPr>
                <w:b/>
                <w:sz w:val="18"/>
                <w:szCs w:val="18"/>
                <w:lang w:val="en-GB"/>
              </w:rPr>
            </w:pPr>
            <w:r w:rsidRPr="008F2CA2">
              <w:rPr>
                <w:b/>
                <w:sz w:val="18"/>
                <w:szCs w:val="18"/>
                <w:lang w:val="en-GB"/>
              </w:rPr>
              <w:t>Name and description</w:t>
            </w:r>
          </w:p>
        </w:tc>
        <w:tc>
          <w:tcPr>
            <w:tcW w:w="533" w:type="dxa"/>
            <w:vMerge w:val="restart"/>
            <w:tcBorders>
              <w:top w:val="single" w:sz="4" w:space="0" w:color="auto"/>
              <w:left w:val="single" w:sz="4" w:space="0" w:color="auto"/>
              <w:bottom w:val="single" w:sz="4" w:space="0" w:color="auto"/>
              <w:right w:val="single" w:sz="4" w:space="0" w:color="auto"/>
            </w:tcBorders>
            <w:hideMark/>
          </w:tcPr>
          <w:p w14:paraId="257B5A0C" w14:textId="77777777" w:rsidR="001B253E" w:rsidRPr="008F2CA2" w:rsidRDefault="001B253E" w:rsidP="00A62E2A">
            <w:pPr>
              <w:jc w:val="center"/>
              <w:rPr>
                <w:b/>
                <w:sz w:val="18"/>
                <w:szCs w:val="18"/>
                <w:lang w:val="en-GB"/>
              </w:rPr>
            </w:pPr>
            <w:r w:rsidRPr="008F2CA2">
              <w:rPr>
                <w:b/>
                <w:sz w:val="18"/>
                <w:szCs w:val="18"/>
                <w:lang w:val="en-GB"/>
              </w:rPr>
              <w:t>Class</w:t>
            </w:r>
          </w:p>
          <w:p w14:paraId="083A4EB0" w14:textId="77777777" w:rsidR="001B253E" w:rsidRPr="008F2CA2" w:rsidRDefault="001B253E" w:rsidP="00A62E2A">
            <w:pPr>
              <w:jc w:val="center"/>
              <w:rPr>
                <w:b/>
                <w:sz w:val="18"/>
                <w:szCs w:val="18"/>
                <w:lang w:val="en-GB"/>
              </w:rPr>
            </w:pPr>
            <w:r w:rsidRPr="008F2CA2">
              <w:rPr>
                <w:b/>
                <w:sz w:val="18"/>
                <w:szCs w:val="18"/>
                <w:lang w:val="en-GB"/>
              </w:rPr>
              <w:t>or division</w:t>
            </w:r>
          </w:p>
        </w:tc>
        <w:tc>
          <w:tcPr>
            <w:tcW w:w="480" w:type="dxa"/>
            <w:vMerge w:val="restart"/>
            <w:tcBorders>
              <w:top w:val="single" w:sz="4" w:space="0" w:color="auto"/>
              <w:left w:val="single" w:sz="4" w:space="0" w:color="auto"/>
              <w:bottom w:val="single" w:sz="4" w:space="0" w:color="auto"/>
              <w:right w:val="single" w:sz="4" w:space="0" w:color="auto"/>
            </w:tcBorders>
            <w:hideMark/>
          </w:tcPr>
          <w:p w14:paraId="3FE95EA0" w14:textId="77777777" w:rsidR="001B253E" w:rsidRPr="008F2CA2" w:rsidRDefault="001B253E" w:rsidP="00A62E2A">
            <w:pPr>
              <w:jc w:val="center"/>
              <w:rPr>
                <w:b/>
                <w:sz w:val="18"/>
                <w:szCs w:val="18"/>
                <w:lang w:val="en-GB"/>
              </w:rPr>
            </w:pPr>
            <w:proofErr w:type="spellStart"/>
            <w:r w:rsidRPr="008F2CA2">
              <w:rPr>
                <w:b/>
                <w:sz w:val="18"/>
                <w:szCs w:val="18"/>
                <w:lang w:val="en-GB"/>
              </w:rPr>
              <w:t>Subsi</w:t>
            </w:r>
            <w:proofErr w:type="spellEnd"/>
            <w:r w:rsidRPr="008F2CA2">
              <w:rPr>
                <w:b/>
                <w:sz w:val="18"/>
                <w:szCs w:val="18"/>
                <w:lang w:val="en-GB"/>
              </w:rPr>
              <w:t>-diary hazard</w:t>
            </w:r>
          </w:p>
        </w:tc>
        <w:tc>
          <w:tcPr>
            <w:tcW w:w="542" w:type="dxa"/>
            <w:vMerge w:val="restart"/>
            <w:tcBorders>
              <w:top w:val="single" w:sz="4" w:space="0" w:color="auto"/>
              <w:left w:val="single" w:sz="4" w:space="0" w:color="auto"/>
              <w:bottom w:val="single" w:sz="4" w:space="0" w:color="auto"/>
              <w:right w:val="single" w:sz="4" w:space="0" w:color="auto"/>
            </w:tcBorders>
            <w:hideMark/>
          </w:tcPr>
          <w:p w14:paraId="76DFEBCD" w14:textId="77777777" w:rsidR="001B253E" w:rsidRPr="008F2CA2" w:rsidRDefault="001B253E" w:rsidP="00A62E2A">
            <w:pPr>
              <w:jc w:val="center"/>
              <w:rPr>
                <w:b/>
                <w:sz w:val="18"/>
                <w:szCs w:val="18"/>
                <w:lang w:val="en-GB"/>
              </w:rPr>
            </w:pPr>
            <w:r w:rsidRPr="008F2CA2">
              <w:rPr>
                <w:b/>
                <w:sz w:val="18"/>
                <w:szCs w:val="18"/>
                <w:lang w:val="en-GB"/>
              </w:rPr>
              <w:t>UN packing group</w:t>
            </w:r>
          </w:p>
        </w:tc>
        <w:tc>
          <w:tcPr>
            <w:tcW w:w="1112" w:type="dxa"/>
            <w:vMerge w:val="restart"/>
            <w:tcBorders>
              <w:top w:val="single" w:sz="4" w:space="0" w:color="auto"/>
              <w:left w:val="single" w:sz="4" w:space="0" w:color="auto"/>
              <w:bottom w:val="single" w:sz="4" w:space="0" w:color="auto"/>
              <w:right w:val="single" w:sz="4" w:space="0" w:color="auto"/>
            </w:tcBorders>
            <w:hideMark/>
          </w:tcPr>
          <w:p w14:paraId="076602D9" w14:textId="77777777" w:rsidR="001B253E" w:rsidRPr="008F2CA2" w:rsidRDefault="001B253E" w:rsidP="00A62E2A">
            <w:pPr>
              <w:jc w:val="center"/>
              <w:rPr>
                <w:b/>
                <w:sz w:val="18"/>
                <w:szCs w:val="18"/>
                <w:lang w:val="en-GB"/>
              </w:rPr>
            </w:pPr>
            <w:r w:rsidRPr="008F2CA2">
              <w:rPr>
                <w:b/>
                <w:sz w:val="18"/>
                <w:szCs w:val="18"/>
                <w:lang w:val="en-GB"/>
              </w:rPr>
              <w:t>Special provisions</w:t>
            </w:r>
          </w:p>
        </w:tc>
        <w:tc>
          <w:tcPr>
            <w:tcW w:w="674" w:type="dxa"/>
            <w:gridSpan w:val="2"/>
            <w:vMerge w:val="restart"/>
            <w:tcBorders>
              <w:top w:val="single" w:sz="4" w:space="0" w:color="auto"/>
              <w:left w:val="single" w:sz="4" w:space="0" w:color="auto"/>
              <w:bottom w:val="single" w:sz="4" w:space="0" w:color="auto"/>
              <w:right w:val="single" w:sz="4" w:space="0" w:color="auto"/>
            </w:tcBorders>
            <w:hideMark/>
          </w:tcPr>
          <w:p w14:paraId="6F87FD8B" w14:textId="483F1E71" w:rsidR="001B253E" w:rsidRPr="008F2CA2" w:rsidRDefault="001B253E" w:rsidP="00A62E2A">
            <w:pPr>
              <w:jc w:val="center"/>
              <w:rPr>
                <w:b/>
                <w:sz w:val="18"/>
                <w:szCs w:val="18"/>
                <w:lang w:val="en-GB"/>
              </w:rPr>
            </w:pPr>
            <w:r w:rsidRPr="008F2CA2">
              <w:rPr>
                <w:b/>
                <w:sz w:val="18"/>
                <w:szCs w:val="18"/>
                <w:lang w:val="en-GB"/>
              </w:rPr>
              <w:t xml:space="preserve">Limited </w:t>
            </w:r>
            <w:r w:rsidR="00380FAB" w:rsidRPr="008F2CA2">
              <w:rPr>
                <w:b/>
                <w:sz w:val="18"/>
                <w:szCs w:val="18"/>
                <w:lang w:val="en-GB"/>
              </w:rPr>
              <w:t>and</w:t>
            </w:r>
            <w:r w:rsidRPr="008F2CA2">
              <w:rPr>
                <w:b/>
                <w:sz w:val="18"/>
                <w:szCs w:val="18"/>
                <w:lang w:val="en-GB"/>
              </w:rPr>
              <w:t xml:space="preserve"> excepted quantities</w:t>
            </w:r>
          </w:p>
        </w:tc>
        <w:tc>
          <w:tcPr>
            <w:tcW w:w="2356" w:type="dxa"/>
            <w:gridSpan w:val="2"/>
            <w:tcBorders>
              <w:top w:val="single" w:sz="4" w:space="0" w:color="auto"/>
              <w:left w:val="single" w:sz="4" w:space="0" w:color="auto"/>
              <w:bottom w:val="single" w:sz="4" w:space="0" w:color="auto"/>
              <w:right w:val="single" w:sz="4" w:space="0" w:color="auto"/>
            </w:tcBorders>
            <w:hideMark/>
          </w:tcPr>
          <w:p w14:paraId="4F16BEF9" w14:textId="77C79EC2" w:rsidR="001B253E" w:rsidRPr="008F2CA2" w:rsidRDefault="00380FAB" w:rsidP="00A62E2A">
            <w:pPr>
              <w:jc w:val="center"/>
              <w:rPr>
                <w:b/>
                <w:sz w:val="18"/>
                <w:szCs w:val="18"/>
                <w:lang w:val="en-GB"/>
              </w:rPr>
            </w:pPr>
            <w:proofErr w:type="spellStart"/>
            <w:r w:rsidRPr="008F2CA2">
              <w:rPr>
                <w:b/>
                <w:sz w:val="18"/>
                <w:szCs w:val="18"/>
                <w:lang w:val="en-GB"/>
              </w:rPr>
              <w:t>Packagings</w:t>
            </w:r>
            <w:proofErr w:type="spellEnd"/>
            <w:r w:rsidRPr="008F2CA2">
              <w:rPr>
                <w:b/>
                <w:sz w:val="18"/>
                <w:szCs w:val="18"/>
                <w:lang w:val="en-GB"/>
              </w:rPr>
              <w:t xml:space="preserve"> and IBCs</w:t>
            </w:r>
          </w:p>
        </w:tc>
        <w:tc>
          <w:tcPr>
            <w:tcW w:w="1518" w:type="dxa"/>
            <w:gridSpan w:val="2"/>
            <w:tcBorders>
              <w:top w:val="single" w:sz="4" w:space="0" w:color="auto"/>
              <w:left w:val="single" w:sz="4" w:space="0" w:color="auto"/>
              <w:bottom w:val="single" w:sz="4" w:space="0" w:color="auto"/>
              <w:right w:val="single" w:sz="4" w:space="0" w:color="auto"/>
            </w:tcBorders>
            <w:hideMark/>
          </w:tcPr>
          <w:p w14:paraId="36A92B80" w14:textId="77777777" w:rsidR="001B253E" w:rsidRPr="008F2CA2" w:rsidRDefault="001B253E" w:rsidP="00A62E2A">
            <w:pPr>
              <w:jc w:val="center"/>
              <w:rPr>
                <w:b/>
                <w:sz w:val="18"/>
                <w:szCs w:val="18"/>
                <w:lang w:val="en-GB"/>
              </w:rPr>
            </w:pPr>
            <w:r w:rsidRPr="008F2CA2">
              <w:rPr>
                <w:b/>
                <w:sz w:val="18"/>
                <w:szCs w:val="18"/>
                <w:lang w:val="en-GB"/>
              </w:rPr>
              <w:t>Portable tanks and bulk containers</w:t>
            </w:r>
          </w:p>
        </w:tc>
      </w:tr>
      <w:tr w:rsidR="00F108F1" w:rsidRPr="008F2CA2" w14:paraId="5CA08C2F" w14:textId="77777777" w:rsidTr="00A62E2A">
        <w:trPr>
          <w:trHeight w:val="195"/>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C6D1B8C" w14:textId="77777777" w:rsidR="001B253E" w:rsidRPr="008F2CA2" w:rsidRDefault="001B253E" w:rsidP="00A62E2A">
            <w:pPr>
              <w:jc w:val="center"/>
              <w:rPr>
                <w:b/>
                <w:sz w:val="18"/>
                <w:szCs w:val="18"/>
                <w:lang w:val="en-GB"/>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0C6801C" w14:textId="77777777" w:rsidR="001B253E" w:rsidRPr="008F2CA2" w:rsidRDefault="001B253E" w:rsidP="00A62E2A">
            <w:pPr>
              <w:jc w:val="center"/>
              <w:rPr>
                <w:b/>
                <w:sz w:val="18"/>
                <w:szCs w:val="18"/>
                <w:lang w:val="en-GB"/>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14:paraId="7A2D7920" w14:textId="77777777" w:rsidR="001B253E" w:rsidRPr="008F2CA2" w:rsidRDefault="001B253E" w:rsidP="00A62E2A">
            <w:pPr>
              <w:jc w:val="center"/>
              <w:rPr>
                <w:b/>
                <w:sz w:val="18"/>
                <w:szCs w:val="18"/>
                <w:lang w:val="en-GB"/>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D8CC15A" w14:textId="77777777" w:rsidR="001B253E" w:rsidRPr="008F2CA2" w:rsidRDefault="001B253E" w:rsidP="00A62E2A">
            <w:pPr>
              <w:jc w:val="center"/>
              <w:rPr>
                <w:b/>
                <w:sz w:val="18"/>
                <w:szCs w:val="18"/>
                <w:lang w:val="en-GB"/>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14:paraId="5BE275EE" w14:textId="77777777" w:rsidR="001B253E" w:rsidRPr="008F2CA2" w:rsidRDefault="001B253E" w:rsidP="00A62E2A">
            <w:pPr>
              <w:jc w:val="center"/>
              <w:rPr>
                <w:b/>
                <w:sz w:val="18"/>
                <w:szCs w:val="18"/>
                <w:lang w:val="en-GB"/>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9D31C4E" w14:textId="77777777" w:rsidR="001B253E" w:rsidRPr="008F2CA2" w:rsidRDefault="001B253E" w:rsidP="00A62E2A">
            <w:pPr>
              <w:jc w:val="center"/>
              <w:rPr>
                <w:b/>
                <w:sz w:val="18"/>
                <w:szCs w:val="18"/>
                <w:lang w:val="en-GB"/>
              </w:rPr>
            </w:pPr>
          </w:p>
        </w:tc>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14:paraId="52F1A4F1" w14:textId="77777777" w:rsidR="001B253E" w:rsidRPr="008F2CA2" w:rsidRDefault="001B253E" w:rsidP="00A62E2A">
            <w:pPr>
              <w:jc w:val="center"/>
              <w:rPr>
                <w:b/>
                <w:sz w:val="18"/>
                <w:szCs w:val="18"/>
                <w:lang w:val="en-GB"/>
              </w:rPr>
            </w:pPr>
          </w:p>
        </w:tc>
        <w:tc>
          <w:tcPr>
            <w:tcW w:w="1658" w:type="dxa"/>
            <w:tcBorders>
              <w:top w:val="single" w:sz="4" w:space="0" w:color="auto"/>
              <w:left w:val="single" w:sz="4" w:space="0" w:color="auto"/>
              <w:bottom w:val="single" w:sz="4" w:space="0" w:color="auto"/>
              <w:right w:val="single" w:sz="4" w:space="0" w:color="auto"/>
            </w:tcBorders>
            <w:hideMark/>
          </w:tcPr>
          <w:p w14:paraId="1B518BC4" w14:textId="77777777" w:rsidR="001B253E" w:rsidRPr="008F2CA2" w:rsidRDefault="001B253E" w:rsidP="00A62E2A">
            <w:pPr>
              <w:jc w:val="center"/>
              <w:rPr>
                <w:b/>
                <w:sz w:val="18"/>
                <w:szCs w:val="18"/>
                <w:lang w:val="en-GB"/>
              </w:rPr>
            </w:pPr>
            <w:r w:rsidRPr="008F2CA2">
              <w:rPr>
                <w:b/>
                <w:sz w:val="18"/>
                <w:szCs w:val="18"/>
                <w:lang w:val="en-GB"/>
              </w:rPr>
              <w:t>Packing instruction</w:t>
            </w:r>
          </w:p>
        </w:tc>
        <w:tc>
          <w:tcPr>
            <w:tcW w:w="698" w:type="dxa"/>
            <w:tcBorders>
              <w:top w:val="single" w:sz="4" w:space="0" w:color="auto"/>
              <w:left w:val="single" w:sz="4" w:space="0" w:color="auto"/>
              <w:bottom w:val="single" w:sz="4" w:space="0" w:color="auto"/>
              <w:right w:val="single" w:sz="4" w:space="0" w:color="auto"/>
            </w:tcBorders>
            <w:hideMark/>
          </w:tcPr>
          <w:p w14:paraId="226BAC5B" w14:textId="77777777" w:rsidR="001B253E" w:rsidRPr="008F2CA2" w:rsidRDefault="001B253E" w:rsidP="00A62E2A">
            <w:pPr>
              <w:jc w:val="center"/>
              <w:rPr>
                <w:b/>
                <w:sz w:val="18"/>
                <w:szCs w:val="18"/>
                <w:lang w:val="en-GB"/>
              </w:rPr>
            </w:pPr>
            <w:r w:rsidRPr="008F2CA2">
              <w:rPr>
                <w:b/>
                <w:sz w:val="18"/>
                <w:szCs w:val="18"/>
                <w:lang w:val="en-GB"/>
              </w:rPr>
              <w:t>Special packing provisions</w:t>
            </w:r>
          </w:p>
        </w:tc>
        <w:tc>
          <w:tcPr>
            <w:tcW w:w="820" w:type="dxa"/>
            <w:tcBorders>
              <w:top w:val="single" w:sz="4" w:space="0" w:color="auto"/>
              <w:left w:val="single" w:sz="4" w:space="0" w:color="auto"/>
              <w:bottom w:val="single" w:sz="4" w:space="0" w:color="auto"/>
              <w:right w:val="single" w:sz="4" w:space="0" w:color="auto"/>
            </w:tcBorders>
            <w:hideMark/>
          </w:tcPr>
          <w:p w14:paraId="17BFE3D8" w14:textId="77777777" w:rsidR="001B253E" w:rsidRPr="008F2CA2" w:rsidRDefault="001B253E" w:rsidP="00A62E2A">
            <w:pPr>
              <w:jc w:val="center"/>
              <w:rPr>
                <w:b/>
                <w:sz w:val="18"/>
                <w:szCs w:val="18"/>
                <w:lang w:val="en-GB"/>
              </w:rPr>
            </w:pPr>
            <w:r w:rsidRPr="008F2CA2">
              <w:rPr>
                <w:b/>
                <w:sz w:val="18"/>
                <w:szCs w:val="18"/>
                <w:lang w:val="en-GB"/>
              </w:rPr>
              <w:t>Instructions</w:t>
            </w:r>
          </w:p>
        </w:tc>
        <w:tc>
          <w:tcPr>
            <w:tcW w:w="698" w:type="dxa"/>
            <w:tcBorders>
              <w:top w:val="single" w:sz="4" w:space="0" w:color="auto"/>
              <w:left w:val="single" w:sz="4" w:space="0" w:color="auto"/>
              <w:bottom w:val="single" w:sz="4" w:space="0" w:color="auto"/>
              <w:right w:val="single" w:sz="4" w:space="0" w:color="auto"/>
            </w:tcBorders>
            <w:hideMark/>
          </w:tcPr>
          <w:p w14:paraId="3794A591" w14:textId="77777777" w:rsidR="001B253E" w:rsidRPr="008F2CA2" w:rsidRDefault="001B253E" w:rsidP="00A62E2A">
            <w:pPr>
              <w:jc w:val="center"/>
              <w:rPr>
                <w:b/>
                <w:sz w:val="18"/>
                <w:szCs w:val="18"/>
                <w:lang w:val="en-GB"/>
              </w:rPr>
            </w:pPr>
            <w:r w:rsidRPr="008F2CA2">
              <w:rPr>
                <w:b/>
                <w:sz w:val="18"/>
                <w:szCs w:val="18"/>
                <w:lang w:val="en-GB"/>
              </w:rPr>
              <w:t>Special provisions</w:t>
            </w:r>
          </w:p>
        </w:tc>
      </w:tr>
      <w:tr w:rsidR="00F108F1" w:rsidRPr="008F2CA2" w14:paraId="7FE8E64C" w14:textId="77777777" w:rsidTr="00A62E2A">
        <w:trPr>
          <w:trHeight w:val="834"/>
        </w:trPr>
        <w:tc>
          <w:tcPr>
            <w:tcW w:w="421" w:type="dxa"/>
          </w:tcPr>
          <w:p w14:paraId="162EBF1E" w14:textId="77777777" w:rsidR="001B253E" w:rsidRPr="008F2CA2" w:rsidRDefault="001B253E" w:rsidP="00A62E2A">
            <w:pPr>
              <w:jc w:val="both"/>
              <w:rPr>
                <w:sz w:val="18"/>
                <w:szCs w:val="18"/>
                <w:u w:val="single"/>
                <w:lang w:val="en-GB"/>
              </w:rPr>
            </w:pPr>
            <w:r w:rsidRPr="008F2CA2">
              <w:rPr>
                <w:sz w:val="18"/>
                <w:szCs w:val="18"/>
                <w:u w:val="single"/>
                <w:lang w:val="en-GB"/>
              </w:rPr>
              <w:t>1835</w:t>
            </w:r>
          </w:p>
        </w:tc>
        <w:tc>
          <w:tcPr>
            <w:tcW w:w="1993" w:type="dxa"/>
          </w:tcPr>
          <w:p w14:paraId="1A66A5C9" w14:textId="77777777" w:rsidR="001B253E" w:rsidRPr="008F2CA2" w:rsidRDefault="001B253E" w:rsidP="00A62E2A">
            <w:pPr>
              <w:suppressAutoHyphens w:val="0"/>
              <w:spacing w:line="240" w:lineRule="auto"/>
              <w:rPr>
                <w:sz w:val="18"/>
                <w:szCs w:val="18"/>
                <w:u w:val="single"/>
                <w:lang w:val="en-GB"/>
              </w:rPr>
            </w:pPr>
            <w:r w:rsidRPr="008F2CA2">
              <w:rPr>
                <w:sz w:val="18"/>
                <w:szCs w:val="18"/>
                <w:u w:val="single"/>
                <w:lang w:val="en-GB"/>
              </w:rPr>
              <w:t>TETRAMETHYLAMMONIUM</w:t>
            </w:r>
          </w:p>
          <w:p w14:paraId="6EF2D939" w14:textId="77777777" w:rsidR="001B253E" w:rsidRPr="008F2CA2" w:rsidRDefault="001B253E" w:rsidP="00A62E2A">
            <w:pPr>
              <w:rPr>
                <w:b/>
                <w:bCs/>
                <w:sz w:val="18"/>
                <w:szCs w:val="18"/>
                <w:u w:val="single"/>
                <w:lang w:val="en-GB"/>
              </w:rPr>
            </w:pPr>
            <w:r w:rsidRPr="008F2CA2">
              <w:rPr>
                <w:sz w:val="18"/>
                <w:szCs w:val="18"/>
                <w:u w:val="single"/>
                <w:lang w:val="en-GB"/>
              </w:rPr>
              <w:t>HYDROXIDE SOLUTION with not less than 8.75 % tetramethylammonium hydroxide</w:t>
            </w:r>
          </w:p>
        </w:tc>
        <w:tc>
          <w:tcPr>
            <w:tcW w:w="533" w:type="dxa"/>
          </w:tcPr>
          <w:p w14:paraId="75844B4D" w14:textId="77777777" w:rsidR="001B253E" w:rsidRPr="008F2CA2" w:rsidRDefault="001B253E" w:rsidP="00A62E2A">
            <w:pPr>
              <w:jc w:val="center"/>
              <w:rPr>
                <w:sz w:val="18"/>
                <w:szCs w:val="18"/>
                <w:u w:val="single"/>
                <w:lang w:val="en-GB"/>
              </w:rPr>
            </w:pPr>
            <w:r w:rsidRPr="008F2CA2">
              <w:rPr>
                <w:sz w:val="18"/>
                <w:szCs w:val="18"/>
                <w:u w:val="single"/>
                <w:lang w:val="en-GB"/>
              </w:rPr>
              <w:t>6.1</w:t>
            </w:r>
          </w:p>
        </w:tc>
        <w:tc>
          <w:tcPr>
            <w:tcW w:w="480" w:type="dxa"/>
          </w:tcPr>
          <w:p w14:paraId="6F49C2E1"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8</w:t>
            </w:r>
          </w:p>
        </w:tc>
        <w:tc>
          <w:tcPr>
            <w:tcW w:w="542" w:type="dxa"/>
          </w:tcPr>
          <w:p w14:paraId="7BC61FF4"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I</w:t>
            </w:r>
          </w:p>
        </w:tc>
        <w:tc>
          <w:tcPr>
            <w:tcW w:w="1112" w:type="dxa"/>
          </w:tcPr>
          <w:p w14:paraId="7AC4DB55" w14:textId="77777777" w:rsidR="001B253E" w:rsidRPr="008F2CA2" w:rsidRDefault="001B253E" w:rsidP="00A62E2A">
            <w:pPr>
              <w:jc w:val="center"/>
              <w:rPr>
                <w:sz w:val="18"/>
                <w:szCs w:val="18"/>
                <w:u w:val="single"/>
                <w:lang w:val="en-GB"/>
              </w:rPr>
            </w:pPr>
            <w:r w:rsidRPr="008F2CA2">
              <w:rPr>
                <w:sz w:val="18"/>
                <w:szCs w:val="18"/>
                <w:u w:val="single"/>
                <w:lang w:val="en-GB"/>
              </w:rPr>
              <w:t>279</w:t>
            </w:r>
          </w:p>
          <w:p w14:paraId="6D1F4A48" w14:textId="77777777" w:rsidR="001B253E" w:rsidRPr="008F2CA2" w:rsidRDefault="001B253E" w:rsidP="00A62E2A">
            <w:pPr>
              <w:jc w:val="center"/>
              <w:rPr>
                <w:sz w:val="18"/>
                <w:szCs w:val="18"/>
                <w:u w:val="single"/>
                <w:lang w:val="en-GB"/>
              </w:rPr>
            </w:pPr>
            <w:r w:rsidRPr="008F2CA2">
              <w:rPr>
                <w:sz w:val="18"/>
                <w:szCs w:val="18"/>
                <w:u w:val="single"/>
                <w:lang w:val="en-GB"/>
              </w:rPr>
              <w:t>XXX</w:t>
            </w:r>
          </w:p>
        </w:tc>
        <w:tc>
          <w:tcPr>
            <w:tcW w:w="408" w:type="dxa"/>
          </w:tcPr>
          <w:p w14:paraId="6471967A" w14:textId="77777777" w:rsidR="001B253E" w:rsidRPr="008F2CA2" w:rsidRDefault="001B253E" w:rsidP="00A62E2A">
            <w:pPr>
              <w:jc w:val="center"/>
              <w:rPr>
                <w:sz w:val="18"/>
                <w:szCs w:val="18"/>
                <w:u w:val="single"/>
                <w:lang w:val="en-GB"/>
              </w:rPr>
            </w:pPr>
            <w:r w:rsidRPr="008F2CA2">
              <w:rPr>
                <w:sz w:val="18"/>
                <w:szCs w:val="18"/>
                <w:u w:val="single"/>
                <w:lang w:val="en-GB"/>
              </w:rPr>
              <w:t>0</w:t>
            </w:r>
          </w:p>
        </w:tc>
        <w:tc>
          <w:tcPr>
            <w:tcW w:w="266" w:type="dxa"/>
          </w:tcPr>
          <w:p w14:paraId="74A6BCEE"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E5</w:t>
            </w:r>
          </w:p>
        </w:tc>
        <w:tc>
          <w:tcPr>
            <w:tcW w:w="1658" w:type="dxa"/>
          </w:tcPr>
          <w:p w14:paraId="3BAAE4E8" w14:textId="77777777" w:rsidR="001B253E" w:rsidRPr="008F2CA2" w:rsidRDefault="001B253E" w:rsidP="00A62E2A">
            <w:pPr>
              <w:jc w:val="center"/>
              <w:rPr>
                <w:b/>
                <w:bCs/>
                <w:sz w:val="18"/>
                <w:szCs w:val="18"/>
                <w:u w:val="single"/>
                <w:lang w:val="en-GB"/>
              </w:rPr>
            </w:pPr>
            <w:r w:rsidRPr="008F2CA2">
              <w:rPr>
                <w:sz w:val="18"/>
                <w:szCs w:val="18"/>
                <w:u w:val="single"/>
                <w:lang w:val="en-GB"/>
              </w:rPr>
              <w:t>P001</w:t>
            </w:r>
          </w:p>
          <w:p w14:paraId="261C683B" w14:textId="77777777" w:rsidR="001B253E" w:rsidRPr="008F2CA2" w:rsidRDefault="001B253E" w:rsidP="00A62E2A">
            <w:pPr>
              <w:jc w:val="center"/>
              <w:rPr>
                <w:sz w:val="18"/>
                <w:szCs w:val="18"/>
                <w:highlight w:val="yellow"/>
                <w:u w:val="single"/>
                <w:lang w:val="en-GB"/>
              </w:rPr>
            </w:pPr>
          </w:p>
        </w:tc>
        <w:tc>
          <w:tcPr>
            <w:tcW w:w="698" w:type="dxa"/>
          </w:tcPr>
          <w:p w14:paraId="2AD77202" w14:textId="3B8875AB" w:rsidR="001B253E" w:rsidRPr="008F2CA2" w:rsidRDefault="001B253E" w:rsidP="008851AA">
            <w:pPr>
              <w:jc w:val="center"/>
              <w:rPr>
                <w:sz w:val="18"/>
                <w:szCs w:val="18"/>
                <w:highlight w:val="yellow"/>
                <w:u w:val="single"/>
                <w:lang w:val="en-GB"/>
              </w:rPr>
            </w:pPr>
          </w:p>
        </w:tc>
        <w:tc>
          <w:tcPr>
            <w:tcW w:w="820" w:type="dxa"/>
          </w:tcPr>
          <w:p w14:paraId="263D70A6"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T14</w:t>
            </w:r>
          </w:p>
        </w:tc>
        <w:tc>
          <w:tcPr>
            <w:tcW w:w="698" w:type="dxa"/>
          </w:tcPr>
          <w:p w14:paraId="1E175371"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TP2</w:t>
            </w:r>
          </w:p>
        </w:tc>
      </w:tr>
      <w:tr w:rsidR="00F108F1" w:rsidRPr="008F2CA2" w14:paraId="7745802C" w14:textId="77777777" w:rsidTr="00A62E2A">
        <w:trPr>
          <w:trHeight w:val="834"/>
        </w:trPr>
        <w:tc>
          <w:tcPr>
            <w:tcW w:w="421" w:type="dxa"/>
          </w:tcPr>
          <w:p w14:paraId="24D7E00E" w14:textId="77777777" w:rsidR="001B253E" w:rsidRPr="008F2CA2" w:rsidRDefault="001B253E" w:rsidP="00A62E2A">
            <w:pPr>
              <w:jc w:val="both"/>
              <w:rPr>
                <w:sz w:val="18"/>
                <w:szCs w:val="18"/>
                <w:lang w:val="en-GB"/>
              </w:rPr>
            </w:pPr>
            <w:r w:rsidRPr="008F2CA2">
              <w:rPr>
                <w:sz w:val="18"/>
                <w:szCs w:val="18"/>
                <w:lang w:val="en-GB"/>
              </w:rPr>
              <w:t>1835</w:t>
            </w:r>
          </w:p>
        </w:tc>
        <w:tc>
          <w:tcPr>
            <w:tcW w:w="1993" w:type="dxa"/>
          </w:tcPr>
          <w:p w14:paraId="08BB490A" w14:textId="77777777" w:rsidR="001B253E" w:rsidRPr="008F2CA2" w:rsidRDefault="001B253E" w:rsidP="00A62E2A">
            <w:pPr>
              <w:suppressAutoHyphens w:val="0"/>
              <w:spacing w:line="240" w:lineRule="auto"/>
              <w:rPr>
                <w:sz w:val="18"/>
                <w:szCs w:val="18"/>
                <w:lang w:val="en-GB"/>
              </w:rPr>
            </w:pPr>
            <w:r w:rsidRPr="008F2CA2">
              <w:rPr>
                <w:sz w:val="18"/>
                <w:szCs w:val="18"/>
                <w:lang w:val="en-GB"/>
              </w:rPr>
              <w:t>TETRAMETHYLAMMONIUM</w:t>
            </w:r>
          </w:p>
          <w:p w14:paraId="13EDB0D8" w14:textId="77777777" w:rsidR="001B253E" w:rsidRPr="008F2CA2" w:rsidRDefault="001B253E" w:rsidP="00A62E2A">
            <w:pPr>
              <w:rPr>
                <w:sz w:val="18"/>
                <w:szCs w:val="18"/>
                <w:lang w:val="en-GB"/>
              </w:rPr>
            </w:pPr>
            <w:r w:rsidRPr="008F2CA2">
              <w:rPr>
                <w:sz w:val="18"/>
                <w:szCs w:val="18"/>
                <w:lang w:val="en-GB"/>
              </w:rPr>
              <w:t>HYDROXIDE SOLUTION</w:t>
            </w:r>
            <w:r w:rsidRPr="008F2CA2">
              <w:rPr>
                <w:sz w:val="18"/>
                <w:szCs w:val="18"/>
                <w:u w:val="single"/>
                <w:lang w:val="en-GB"/>
              </w:rPr>
              <w:t xml:space="preserve"> with more than 2.38 % but less than 8.75 % tetramethylammonium hydroxide</w:t>
            </w:r>
          </w:p>
        </w:tc>
        <w:tc>
          <w:tcPr>
            <w:tcW w:w="533" w:type="dxa"/>
          </w:tcPr>
          <w:p w14:paraId="20A60864" w14:textId="77777777" w:rsidR="001B253E" w:rsidRPr="008F2CA2" w:rsidRDefault="001B253E" w:rsidP="00A62E2A">
            <w:pPr>
              <w:jc w:val="center"/>
              <w:rPr>
                <w:sz w:val="18"/>
                <w:szCs w:val="18"/>
                <w:u w:val="single"/>
                <w:lang w:val="en-GB"/>
              </w:rPr>
            </w:pPr>
            <w:r w:rsidRPr="008F2CA2">
              <w:rPr>
                <w:sz w:val="18"/>
                <w:szCs w:val="18"/>
                <w:u w:val="single"/>
                <w:lang w:val="en-GB"/>
              </w:rPr>
              <w:t>6.1</w:t>
            </w:r>
            <w:r w:rsidRPr="008F2CA2">
              <w:rPr>
                <w:strike/>
                <w:sz w:val="18"/>
                <w:szCs w:val="18"/>
                <w:lang w:val="en-GB"/>
              </w:rPr>
              <w:t>8</w:t>
            </w:r>
          </w:p>
        </w:tc>
        <w:tc>
          <w:tcPr>
            <w:tcW w:w="480" w:type="dxa"/>
          </w:tcPr>
          <w:p w14:paraId="1C9CA777" w14:textId="77777777" w:rsidR="001B253E" w:rsidRPr="008F2CA2" w:rsidRDefault="001B253E" w:rsidP="00A62E2A">
            <w:pPr>
              <w:jc w:val="center"/>
              <w:rPr>
                <w:sz w:val="18"/>
                <w:szCs w:val="18"/>
                <w:highlight w:val="yellow"/>
                <w:u w:val="single"/>
                <w:lang w:val="en-GB"/>
              </w:rPr>
            </w:pPr>
            <w:r w:rsidRPr="008F2CA2">
              <w:rPr>
                <w:sz w:val="18"/>
                <w:szCs w:val="18"/>
                <w:u w:val="single"/>
                <w:lang w:val="en-GB"/>
              </w:rPr>
              <w:t>8</w:t>
            </w:r>
          </w:p>
        </w:tc>
        <w:tc>
          <w:tcPr>
            <w:tcW w:w="542" w:type="dxa"/>
          </w:tcPr>
          <w:p w14:paraId="40D1507B" w14:textId="77777777" w:rsidR="001B253E" w:rsidRPr="008F2CA2" w:rsidRDefault="001B253E" w:rsidP="00A62E2A">
            <w:pPr>
              <w:jc w:val="center"/>
              <w:rPr>
                <w:sz w:val="18"/>
                <w:szCs w:val="18"/>
                <w:highlight w:val="yellow"/>
                <w:lang w:val="en-GB"/>
              </w:rPr>
            </w:pPr>
            <w:r w:rsidRPr="008F2CA2">
              <w:rPr>
                <w:sz w:val="18"/>
                <w:szCs w:val="18"/>
                <w:lang w:val="en-GB"/>
              </w:rPr>
              <w:t>II</w:t>
            </w:r>
          </w:p>
        </w:tc>
        <w:tc>
          <w:tcPr>
            <w:tcW w:w="1112" w:type="dxa"/>
          </w:tcPr>
          <w:p w14:paraId="390946C4" w14:textId="77777777" w:rsidR="001B253E" w:rsidRPr="008F2CA2" w:rsidRDefault="001B253E" w:rsidP="00A62E2A">
            <w:pPr>
              <w:jc w:val="center"/>
              <w:rPr>
                <w:sz w:val="18"/>
                <w:szCs w:val="18"/>
                <w:u w:val="single"/>
                <w:lang w:val="en-GB"/>
              </w:rPr>
            </w:pPr>
            <w:r w:rsidRPr="008F2CA2">
              <w:rPr>
                <w:sz w:val="18"/>
                <w:szCs w:val="18"/>
                <w:u w:val="single"/>
                <w:lang w:val="en-GB"/>
              </w:rPr>
              <w:t>279</w:t>
            </w:r>
          </w:p>
          <w:p w14:paraId="33EC9D01" w14:textId="77777777" w:rsidR="001B253E" w:rsidRPr="008F2CA2" w:rsidRDefault="001B253E" w:rsidP="00A62E2A">
            <w:pPr>
              <w:jc w:val="center"/>
              <w:rPr>
                <w:sz w:val="18"/>
                <w:szCs w:val="18"/>
                <w:lang w:val="en-GB"/>
              </w:rPr>
            </w:pPr>
            <w:r w:rsidRPr="008F2CA2">
              <w:rPr>
                <w:sz w:val="18"/>
                <w:szCs w:val="18"/>
                <w:u w:val="single"/>
                <w:lang w:val="en-GB"/>
              </w:rPr>
              <w:t>XXX</w:t>
            </w:r>
          </w:p>
        </w:tc>
        <w:tc>
          <w:tcPr>
            <w:tcW w:w="408" w:type="dxa"/>
          </w:tcPr>
          <w:p w14:paraId="174FF400" w14:textId="77777777" w:rsidR="001B253E" w:rsidRPr="008F2CA2" w:rsidRDefault="001B253E" w:rsidP="00A62E2A">
            <w:pPr>
              <w:jc w:val="center"/>
              <w:rPr>
                <w:sz w:val="18"/>
                <w:szCs w:val="18"/>
                <w:lang w:val="en-GB"/>
              </w:rPr>
            </w:pPr>
            <w:r w:rsidRPr="008F2CA2">
              <w:rPr>
                <w:strike/>
                <w:sz w:val="18"/>
                <w:szCs w:val="18"/>
                <w:lang w:val="en-GB"/>
              </w:rPr>
              <w:t>1 L</w:t>
            </w:r>
            <w:r w:rsidRPr="008F2CA2">
              <w:rPr>
                <w:sz w:val="18"/>
                <w:szCs w:val="18"/>
                <w:lang w:val="en-GB"/>
              </w:rPr>
              <w:t xml:space="preserve"> </w:t>
            </w:r>
            <w:r w:rsidRPr="008F2CA2">
              <w:rPr>
                <w:sz w:val="18"/>
                <w:szCs w:val="18"/>
                <w:u w:val="single"/>
                <w:lang w:val="en-GB"/>
              </w:rPr>
              <w:t>100 ml</w:t>
            </w:r>
          </w:p>
        </w:tc>
        <w:tc>
          <w:tcPr>
            <w:tcW w:w="266" w:type="dxa"/>
          </w:tcPr>
          <w:p w14:paraId="71506629" w14:textId="77777777" w:rsidR="001B253E" w:rsidRPr="008F2CA2" w:rsidRDefault="001B253E" w:rsidP="00A62E2A">
            <w:pPr>
              <w:jc w:val="center"/>
              <w:rPr>
                <w:sz w:val="18"/>
                <w:szCs w:val="18"/>
                <w:highlight w:val="yellow"/>
                <w:lang w:val="en-GB"/>
              </w:rPr>
            </w:pPr>
            <w:r w:rsidRPr="008F2CA2">
              <w:rPr>
                <w:strike/>
                <w:sz w:val="18"/>
                <w:szCs w:val="18"/>
                <w:lang w:val="en-GB"/>
              </w:rPr>
              <w:t>E2</w:t>
            </w:r>
            <w:r w:rsidRPr="008F2CA2">
              <w:rPr>
                <w:sz w:val="18"/>
                <w:szCs w:val="18"/>
                <w:lang w:val="en-GB"/>
              </w:rPr>
              <w:t xml:space="preserve"> </w:t>
            </w:r>
            <w:r w:rsidRPr="008F2CA2">
              <w:rPr>
                <w:sz w:val="18"/>
                <w:szCs w:val="18"/>
                <w:u w:val="single"/>
                <w:lang w:val="en-GB"/>
              </w:rPr>
              <w:t>E4</w:t>
            </w:r>
          </w:p>
        </w:tc>
        <w:tc>
          <w:tcPr>
            <w:tcW w:w="1658" w:type="dxa"/>
          </w:tcPr>
          <w:p w14:paraId="346C1BA5" w14:textId="77777777" w:rsidR="001B253E" w:rsidRPr="008F2CA2" w:rsidRDefault="001B253E" w:rsidP="00A62E2A">
            <w:pPr>
              <w:jc w:val="center"/>
              <w:rPr>
                <w:sz w:val="18"/>
                <w:szCs w:val="18"/>
                <w:lang w:val="en-GB"/>
              </w:rPr>
            </w:pPr>
            <w:r w:rsidRPr="008F2CA2">
              <w:rPr>
                <w:sz w:val="18"/>
                <w:szCs w:val="18"/>
                <w:lang w:val="en-GB"/>
              </w:rPr>
              <w:t>P001</w:t>
            </w:r>
          </w:p>
          <w:p w14:paraId="326D6062" w14:textId="77777777" w:rsidR="001B253E" w:rsidRPr="008F2CA2" w:rsidRDefault="001B253E" w:rsidP="00A62E2A">
            <w:pPr>
              <w:jc w:val="center"/>
              <w:rPr>
                <w:sz w:val="18"/>
                <w:szCs w:val="18"/>
                <w:lang w:val="en-GB"/>
              </w:rPr>
            </w:pPr>
            <w:r w:rsidRPr="008F2CA2">
              <w:rPr>
                <w:sz w:val="18"/>
                <w:szCs w:val="18"/>
                <w:lang w:val="en-GB"/>
              </w:rPr>
              <w:t>IBC02</w:t>
            </w:r>
          </w:p>
        </w:tc>
        <w:tc>
          <w:tcPr>
            <w:tcW w:w="698" w:type="dxa"/>
          </w:tcPr>
          <w:p w14:paraId="29176878" w14:textId="7D16E96C" w:rsidR="001B253E" w:rsidRPr="008F2CA2" w:rsidRDefault="001B253E" w:rsidP="008851AA">
            <w:pPr>
              <w:jc w:val="center"/>
              <w:rPr>
                <w:sz w:val="18"/>
                <w:szCs w:val="18"/>
                <w:highlight w:val="yellow"/>
                <w:lang w:val="en-GB"/>
              </w:rPr>
            </w:pPr>
          </w:p>
        </w:tc>
        <w:tc>
          <w:tcPr>
            <w:tcW w:w="820" w:type="dxa"/>
          </w:tcPr>
          <w:p w14:paraId="020F8768" w14:textId="77777777" w:rsidR="001B253E" w:rsidRPr="008F2CA2" w:rsidRDefault="001B253E" w:rsidP="00A62E2A">
            <w:pPr>
              <w:jc w:val="center"/>
              <w:rPr>
                <w:sz w:val="18"/>
                <w:szCs w:val="18"/>
                <w:highlight w:val="yellow"/>
                <w:lang w:val="en-GB"/>
              </w:rPr>
            </w:pPr>
            <w:r w:rsidRPr="008F2CA2">
              <w:rPr>
                <w:sz w:val="18"/>
                <w:szCs w:val="18"/>
                <w:lang w:val="en-GB"/>
              </w:rPr>
              <w:t>T7</w:t>
            </w:r>
          </w:p>
        </w:tc>
        <w:tc>
          <w:tcPr>
            <w:tcW w:w="698" w:type="dxa"/>
          </w:tcPr>
          <w:p w14:paraId="28CA6305" w14:textId="77777777" w:rsidR="001B253E" w:rsidRPr="008F2CA2" w:rsidRDefault="001B253E" w:rsidP="00A62E2A">
            <w:pPr>
              <w:jc w:val="center"/>
              <w:rPr>
                <w:sz w:val="18"/>
                <w:szCs w:val="18"/>
                <w:highlight w:val="yellow"/>
                <w:lang w:val="en-GB"/>
              </w:rPr>
            </w:pPr>
            <w:r w:rsidRPr="008F2CA2">
              <w:rPr>
                <w:sz w:val="18"/>
                <w:szCs w:val="18"/>
                <w:lang w:val="en-GB"/>
              </w:rPr>
              <w:t>TP2</w:t>
            </w:r>
          </w:p>
        </w:tc>
      </w:tr>
      <w:tr w:rsidR="00F108F1" w:rsidRPr="008F2CA2" w14:paraId="466D18A8" w14:textId="77777777" w:rsidTr="00A62E2A">
        <w:trPr>
          <w:trHeight w:val="834"/>
        </w:trPr>
        <w:tc>
          <w:tcPr>
            <w:tcW w:w="421" w:type="dxa"/>
          </w:tcPr>
          <w:p w14:paraId="40530228" w14:textId="77777777" w:rsidR="001B253E" w:rsidRPr="008F2CA2" w:rsidRDefault="001B253E" w:rsidP="00A62E2A">
            <w:pPr>
              <w:jc w:val="both"/>
              <w:rPr>
                <w:sz w:val="18"/>
                <w:szCs w:val="18"/>
                <w:u w:val="single"/>
                <w:lang w:val="en-GB"/>
              </w:rPr>
            </w:pPr>
            <w:bookmarkStart w:id="0" w:name="_Hlk97306208"/>
            <w:r w:rsidRPr="008F2CA2">
              <w:rPr>
                <w:sz w:val="18"/>
                <w:szCs w:val="18"/>
                <w:lang w:val="en-GB"/>
              </w:rPr>
              <w:t>1835</w:t>
            </w:r>
          </w:p>
        </w:tc>
        <w:tc>
          <w:tcPr>
            <w:tcW w:w="1993" w:type="dxa"/>
          </w:tcPr>
          <w:p w14:paraId="4B86A135" w14:textId="77777777" w:rsidR="001B253E" w:rsidRPr="008F2CA2" w:rsidRDefault="001B253E" w:rsidP="00A62E2A">
            <w:pPr>
              <w:suppressAutoHyphens w:val="0"/>
              <w:spacing w:line="240" w:lineRule="auto"/>
              <w:rPr>
                <w:sz w:val="18"/>
                <w:szCs w:val="18"/>
                <w:lang w:val="en-GB"/>
              </w:rPr>
            </w:pPr>
            <w:r w:rsidRPr="008F2CA2">
              <w:rPr>
                <w:sz w:val="18"/>
                <w:szCs w:val="18"/>
                <w:lang w:val="en-GB"/>
              </w:rPr>
              <w:t>TETRAMETHYLAMMONIUM</w:t>
            </w:r>
          </w:p>
          <w:p w14:paraId="06E33E95" w14:textId="77777777" w:rsidR="001B253E" w:rsidRPr="008F2CA2" w:rsidRDefault="001B253E" w:rsidP="00A62E2A">
            <w:pPr>
              <w:rPr>
                <w:b/>
                <w:bCs/>
                <w:sz w:val="18"/>
                <w:szCs w:val="18"/>
                <w:u w:val="single"/>
                <w:lang w:val="en-GB"/>
              </w:rPr>
            </w:pPr>
            <w:r w:rsidRPr="008F2CA2">
              <w:rPr>
                <w:sz w:val="18"/>
                <w:szCs w:val="18"/>
                <w:lang w:val="en-GB"/>
              </w:rPr>
              <w:t>HYDROXIDE SOLUTION</w:t>
            </w:r>
            <w:r w:rsidRPr="008F2CA2">
              <w:rPr>
                <w:sz w:val="18"/>
                <w:szCs w:val="18"/>
                <w:u w:val="single"/>
                <w:lang w:val="en-GB"/>
              </w:rPr>
              <w:t xml:space="preserve"> with not more than 2.38 % tetramethylammonium hydroxide</w:t>
            </w:r>
          </w:p>
        </w:tc>
        <w:tc>
          <w:tcPr>
            <w:tcW w:w="533" w:type="dxa"/>
          </w:tcPr>
          <w:p w14:paraId="56E482D0" w14:textId="77777777" w:rsidR="001B253E" w:rsidRPr="008F2CA2" w:rsidRDefault="001B253E" w:rsidP="00A62E2A">
            <w:pPr>
              <w:jc w:val="center"/>
              <w:rPr>
                <w:sz w:val="18"/>
                <w:szCs w:val="18"/>
                <w:u w:val="single"/>
                <w:lang w:val="en-GB"/>
              </w:rPr>
            </w:pPr>
            <w:r w:rsidRPr="008F2CA2">
              <w:rPr>
                <w:sz w:val="18"/>
                <w:szCs w:val="18"/>
                <w:lang w:val="en-GB"/>
              </w:rPr>
              <w:t>8</w:t>
            </w:r>
          </w:p>
        </w:tc>
        <w:tc>
          <w:tcPr>
            <w:tcW w:w="480" w:type="dxa"/>
          </w:tcPr>
          <w:p w14:paraId="177B579B" w14:textId="77777777" w:rsidR="001B253E" w:rsidRPr="008F2CA2" w:rsidRDefault="001B253E" w:rsidP="00A62E2A">
            <w:pPr>
              <w:jc w:val="center"/>
              <w:rPr>
                <w:sz w:val="18"/>
                <w:szCs w:val="18"/>
                <w:highlight w:val="yellow"/>
                <w:u w:val="single"/>
                <w:lang w:val="en-GB"/>
              </w:rPr>
            </w:pPr>
          </w:p>
        </w:tc>
        <w:tc>
          <w:tcPr>
            <w:tcW w:w="542" w:type="dxa"/>
          </w:tcPr>
          <w:p w14:paraId="71DC9A51" w14:textId="77777777" w:rsidR="001B253E" w:rsidRPr="008F2CA2" w:rsidRDefault="001B253E" w:rsidP="00A62E2A">
            <w:pPr>
              <w:jc w:val="center"/>
              <w:rPr>
                <w:sz w:val="18"/>
                <w:szCs w:val="18"/>
                <w:highlight w:val="yellow"/>
                <w:u w:val="single"/>
                <w:lang w:val="en-GB"/>
              </w:rPr>
            </w:pPr>
            <w:r w:rsidRPr="008F2CA2">
              <w:rPr>
                <w:sz w:val="18"/>
                <w:szCs w:val="18"/>
                <w:lang w:val="en-GB"/>
              </w:rPr>
              <w:t>III</w:t>
            </w:r>
          </w:p>
        </w:tc>
        <w:tc>
          <w:tcPr>
            <w:tcW w:w="1112" w:type="dxa"/>
          </w:tcPr>
          <w:p w14:paraId="3718FA6E" w14:textId="77777777" w:rsidR="001B253E" w:rsidRPr="008F2CA2" w:rsidRDefault="001B253E" w:rsidP="00A62E2A">
            <w:pPr>
              <w:jc w:val="center"/>
              <w:rPr>
                <w:sz w:val="18"/>
                <w:szCs w:val="18"/>
                <w:lang w:val="en-GB"/>
              </w:rPr>
            </w:pPr>
            <w:r w:rsidRPr="008F2CA2">
              <w:rPr>
                <w:sz w:val="18"/>
                <w:szCs w:val="18"/>
                <w:lang w:val="en-GB"/>
              </w:rPr>
              <w:t>223</w:t>
            </w:r>
          </w:p>
          <w:p w14:paraId="544C221B" w14:textId="77777777" w:rsidR="001B253E" w:rsidRPr="008F2CA2" w:rsidRDefault="001B253E" w:rsidP="00A62E2A">
            <w:pPr>
              <w:jc w:val="center"/>
              <w:rPr>
                <w:sz w:val="18"/>
                <w:szCs w:val="18"/>
                <w:lang w:val="en-GB"/>
              </w:rPr>
            </w:pPr>
            <w:r w:rsidRPr="008F2CA2">
              <w:rPr>
                <w:sz w:val="18"/>
                <w:szCs w:val="18"/>
                <w:u w:val="single"/>
                <w:lang w:val="en-GB"/>
              </w:rPr>
              <w:t>XXX</w:t>
            </w:r>
          </w:p>
          <w:p w14:paraId="07C53EFA" w14:textId="77777777" w:rsidR="001B253E" w:rsidRPr="008F2CA2" w:rsidRDefault="001B253E" w:rsidP="00A62E2A">
            <w:pPr>
              <w:jc w:val="center"/>
              <w:rPr>
                <w:sz w:val="18"/>
                <w:szCs w:val="18"/>
                <w:u w:val="single"/>
                <w:lang w:val="en-GB"/>
              </w:rPr>
            </w:pPr>
          </w:p>
        </w:tc>
        <w:tc>
          <w:tcPr>
            <w:tcW w:w="408" w:type="dxa"/>
          </w:tcPr>
          <w:p w14:paraId="350DB624" w14:textId="77777777" w:rsidR="001B253E" w:rsidRPr="008F2CA2" w:rsidRDefault="001B253E" w:rsidP="00A62E2A">
            <w:pPr>
              <w:jc w:val="center"/>
              <w:rPr>
                <w:sz w:val="18"/>
                <w:szCs w:val="18"/>
                <w:u w:val="single"/>
                <w:lang w:val="en-GB"/>
              </w:rPr>
            </w:pPr>
            <w:r w:rsidRPr="008F2CA2">
              <w:rPr>
                <w:sz w:val="18"/>
                <w:szCs w:val="18"/>
                <w:lang w:val="en-GB"/>
              </w:rPr>
              <w:t>5 L</w:t>
            </w:r>
          </w:p>
        </w:tc>
        <w:tc>
          <w:tcPr>
            <w:tcW w:w="266" w:type="dxa"/>
          </w:tcPr>
          <w:p w14:paraId="6A115B31" w14:textId="77777777" w:rsidR="001B253E" w:rsidRPr="008F2CA2" w:rsidRDefault="001B253E" w:rsidP="00A62E2A">
            <w:pPr>
              <w:jc w:val="center"/>
              <w:rPr>
                <w:sz w:val="18"/>
                <w:szCs w:val="18"/>
                <w:highlight w:val="yellow"/>
                <w:u w:val="single"/>
                <w:lang w:val="en-GB"/>
              </w:rPr>
            </w:pPr>
            <w:r w:rsidRPr="008F2CA2">
              <w:rPr>
                <w:sz w:val="18"/>
                <w:szCs w:val="18"/>
                <w:lang w:val="en-GB"/>
              </w:rPr>
              <w:t>E1</w:t>
            </w:r>
          </w:p>
        </w:tc>
        <w:tc>
          <w:tcPr>
            <w:tcW w:w="1658" w:type="dxa"/>
          </w:tcPr>
          <w:p w14:paraId="36E45805" w14:textId="77777777" w:rsidR="001B253E" w:rsidRPr="008F2CA2" w:rsidRDefault="001B253E" w:rsidP="00A62E2A">
            <w:pPr>
              <w:jc w:val="center"/>
              <w:rPr>
                <w:sz w:val="18"/>
                <w:szCs w:val="18"/>
                <w:lang w:val="en-GB"/>
              </w:rPr>
            </w:pPr>
            <w:r w:rsidRPr="008F2CA2">
              <w:rPr>
                <w:sz w:val="18"/>
                <w:szCs w:val="18"/>
                <w:lang w:val="en-GB"/>
              </w:rPr>
              <w:t>P001</w:t>
            </w:r>
          </w:p>
          <w:p w14:paraId="71117CE6" w14:textId="77777777" w:rsidR="001B253E" w:rsidRPr="008F2CA2" w:rsidRDefault="001B253E" w:rsidP="00A62E2A">
            <w:pPr>
              <w:jc w:val="center"/>
              <w:rPr>
                <w:sz w:val="18"/>
                <w:szCs w:val="18"/>
                <w:lang w:val="en-GB"/>
              </w:rPr>
            </w:pPr>
            <w:r w:rsidRPr="008F2CA2">
              <w:rPr>
                <w:sz w:val="18"/>
                <w:szCs w:val="18"/>
                <w:lang w:val="en-GB"/>
              </w:rPr>
              <w:t>IBC03</w:t>
            </w:r>
          </w:p>
          <w:p w14:paraId="46F16F87" w14:textId="77777777" w:rsidR="001B253E" w:rsidRPr="008F2CA2" w:rsidRDefault="001B253E" w:rsidP="00A62E2A">
            <w:pPr>
              <w:jc w:val="center"/>
              <w:rPr>
                <w:sz w:val="18"/>
                <w:szCs w:val="18"/>
                <w:highlight w:val="yellow"/>
                <w:u w:val="single"/>
                <w:lang w:val="en-GB"/>
              </w:rPr>
            </w:pPr>
            <w:r w:rsidRPr="008F2CA2">
              <w:rPr>
                <w:sz w:val="18"/>
                <w:szCs w:val="18"/>
                <w:lang w:val="en-GB"/>
              </w:rPr>
              <w:t>LP01</w:t>
            </w:r>
          </w:p>
        </w:tc>
        <w:tc>
          <w:tcPr>
            <w:tcW w:w="698" w:type="dxa"/>
          </w:tcPr>
          <w:p w14:paraId="37505E24" w14:textId="7305DF4C" w:rsidR="001B253E" w:rsidRPr="008F2CA2" w:rsidRDefault="001B253E" w:rsidP="008851AA">
            <w:pPr>
              <w:jc w:val="center"/>
              <w:rPr>
                <w:sz w:val="18"/>
                <w:szCs w:val="18"/>
                <w:highlight w:val="yellow"/>
                <w:u w:val="single"/>
                <w:lang w:val="en-GB"/>
              </w:rPr>
            </w:pPr>
          </w:p>
        </w:tc>
        <w:tc>
          <w:tcPr>
            <w:tcW w:w="820" w:type="dxa"/>
          </w:tcPr>
          <w:p w14:paraId="21386B97" w14:textId="77777777" w:rsidR="001B253E" w:rsidRPr="008F2CA2" w:rsidRDefault="001B253E" w:rsidP="00A62E2A">
            <w:pPr>
              <w:jc w:val="center"/>
              <w:rPr>
                <w:sz w:val="18"/>
                <w:szCs w:val="18"/>
                <w:highlight w:val="yellow"/>
                <w:u w:val="single"/>
                <w:lang w:val="en-GB"/>
              </w:rPr>
            </w:pPr>
            <w:r w:rsidRPr="008F2CA2">
              <w:rPr>
                <w:sz w:val="18"/>
                <w:szCs w:val="18"/>
                <w:lang w:val="en-GB"/>
              </w:rPr>
              <w:t>T7</w:t>
            </w:r>
          </w:p>
        </w:tc>
        <w:tc>
          <w:tcPr>
            <w:tcW w:w="698" w:type="dxa"/>
          </w:tcPr>
          <w:p w14:paraId="0C843189" w14:textId="77777777" w:rsidR="001B253E" w:rsidRPr="008F2CA2" w:rsidRDefault="001B253E" w:rsidP="00A62E2A">
            <w:pPr>
              <w:jc w:val="center"/>
              <w:rPr>
                <w:sz w:val="18"/>
                <w:szCs w:val="18"/>
                <w:highlight w:val="yellow"/>
                <w:u w:val="single"/>
                <w:lang w:val="en-GB"/>
              </w:rPr>
            </w:pPr>
            <w:r w:rsidRPr="008F2CA2">
              <w:rPr>
                <w:sz w:val="18"/>
                <w:szCs w:val="18"/>
                <w:lang w:val="en-GB"/>
              </w:rPr>
              <w:t>TP2</w:t>
            </w:r>
          </w:p>
        </w:tc>
      </w:tr>
      <w:bookmarkEnd w:id="0"/>
      <w:tr w:rsidR="00F108F1" w:rsidRPr="008F2CA2" w14:paraId="71D1571F" w14:textId="77777777" w:rsidTr="00A62E2A">
        <w:tc>
          <w:tcPr>
            <w:tcW w:w="421" w:type="dxa"/>
            <w:hideMark/>
          </w:tcPr>
          <w:p w14:paraId="6257AE3C" w14:textId="77777777" w:rsidR="001B253E" w:rsidRPr="008F2CA2" w:rsidRDefault="001B253E" w:rsidP="00A62E2A">
            <w:pPr>
              <w:jc w:val="both"/>
              <w:rPr>
                <w:sz w:val="18"/>
                <w:szCs w:val="18"/>
                <w:lang w:val="en-GB"/>
              </w:rPr>
            </w:pPr>
            <w:r w:rsidRPr="008F2CA2">
              <w:rPr>
                <w:sz w:val="18"/>
                <w:szCs w:val="18"/>
                <w:lang w:val="en-GB"/>
              </w:rPr>
              <w:t>3423</w:t>
            </w:r>
          </w:p>
        </w:tc>
        <w:tc>
          <w:tcPr>
            <w:tcW w:w="1993" w:type="dxa"/>
            <w:hideMark/>
          </w:tcPr>
          <w:p w14:paraId="58C41F65" w14:textId="77777777" w:rsidR="001B253E" w:rsidRPr="008F2CA2" w:rsidRDefault="001B253E" w:rsidP="00A62E2A">
            <w:pPr>
              <w:suppressAutoHyphens w:val="0"/>
              <w:spacing w:line="240" w:lineRule="auto"/>
              <w:rPr>
                <w:sz w:val="18"/>
                <w:szCs w:val="18"/>
                <w:lang w:val="en-GB"/>
              </w:rPr>
            </w:pPr>
            <w:r w:rsidRPr="008F2CA2">
              <w:rPr>
                <w:sz w:val="18"/>
                <w:szCs w:val="18"/>
                <w:lang w:val="en-GB"/>
              </w:rPr>
              <w:t>TETRAMETHYLAMMONIUM</w:t>
            </w:r>
          </w:p>
          <w:p w14:paraId="76F5393C" w14:textId="77777777" w:rsidR="001B253E" w:rsidRPr="008F2CA2" w:rsidRDefault="001B253E" w:rsidP="00A62E2A">
            <w:pPr>
              <w:rPr>
                <w:sz w:val="18"/>
                <w:szCs w:val="18"/>
                <w:lang w:val="en-GB"/>
              </w:rPr>
            </w:pPr>
            <w:r w:rsidRPr="008F2CA2">
              <w:rPr>
                <w:sz w:val="18"/>
                <w:szCs w:val="18"/>
                <w:lang w:val="en-GB"/>
              </w:rPr>
              <w:t>HYDROXIDE, SOLID</w:t>
            </w:r>
          </w:p>
        </w:tc>
        <w:tc>
          <w:tcPr>
            <w:tcW w:w="533" w:type="dxa"/>
            <w:hideMark/>
          </w:tcPr>
          <w:p w14:paraId="38A1A0F1" w14:textId="77777777" w:rsidR="001B253E" w:rsidRPr="008F2CA2" w:rsidRDefault="001B253E" w:rsidP="00A62E2A">
            <w:pPr>
              <w:jc w:val="center"/>
              <w:rPr>
                <w:sz w:val="18"/>
                <w:szCs w:val="18"/>
                <w:u w:val="single"/>
                <w:lang w:val="en-GB"/>
              </w:rPr>
            </w:pPr>
            <w:r w:rsidRPr="008F2CA2">
              <w:rPr>
                <w:sz w:val="18"/>
                <w:szCs w:val="18"/>
                <w:u w:val="single"/>
                <w:lang w:val="en-GB"/>
              </w:rPr>
              <w:t>6.1</w:t>
            </w:r>
            <w:r w:rsidRPr="008F2CA2">
              <w:rPr>
                <w:strike/>
                <w:sz w:val="18"/>
                <w:szCs w:val="18"/>
                <w:lang w:val="en-GB"/>
              </w:rPr>
              <w:t>8</w:t>
            </w:r>
          </w:p>
        </w:tc>
        <w:tc>
          <w:tcPr>
            <w:tcW w:w="480" w:type="dxa"/>
          </w:tcPr>
          <w:p w14:paraId="2BA817FE" w14:textId="77777777" w:rsidR="001B253E" w:rsidRPr="008F2CA2" w:rsidRDefault="001B253E" w:rsidP="00A62E2A">
            <w:pPr>
              <w:jc w:val="center"/>
              <w:rPr>
                <w:sz w:val="18"/>
                <w:szCs w:val="18"/>
                <w:u w:val="single"/>
                <w:lang w:val="en-GB"/>
              </w:rPr>
            </w:pPr>
            <w:r w:rsidRPr="008F2CA2">
              <w:rPr>
                <w:sz w:val="18"/>
                <w:szCs w:val="18"/>
                <w:u w:val="single"/>
                <w:lang w:val="en-GB"/>
              </w:rPr>
              <w:t>8</w:t>
            </w:r>
          </w:p>
        </w:tc>
        <w:tc>
          <w:tcPr>
            <w:tcW w:w="542" w:type="dxa"/>
            <w:hideMark/>
          </w:tcPr>
          <w:p w14:paraId="6AAD27F7" w14:textId="77777777" w:rsidR="001B253E" w:rsidRPr="008F2CA2" w:rsidRDefault="001B253E" w:rsidP="00A62E2A">
            <w:pPr>
              <w:jc w:val="center"/>
              <w:rPr>
                <w:sz w:val="18"/>
                <w:szCs w:val="18"/>
                <w:lang w:val="en-GB"/>
              </w:rPr>
            </w:pPr>
            <w:r w:rsidRPr="008F2CA2">
              <w:rPr>
                <w:sz w:val="18"/>
                <w:szCs w:val="18"/>
                <w:lang w:val="en-GB"/>
              </w:rPr>
              <w:t>I</w:t>
            </w:r>
            <w:r w:rsidRPr="008F2CA2">
              <w:rPr>
                <w:strike/>
                <w:sz w:val="18"/>
                <w:szCs w:val="18"/>
                <w:lang w:val="en-GB"/>
              </w:rPr>
              <w:t>I</w:t>
            </w:r>
          </w:p>
        </w:tc>
        <w:tc>
          <w:tcPr>
            <w:tcW w:w="1112" w:type="dxa"/>
            <w:hideMark/>
          </w:tcPr>
          <w:p w14:paraId="0FE30D85" w14:textId="77777777" w:rsidR="001B253E" w:rsidRPr="008F2CA2" w:rsidRDefault="001B253E" w:rsidP="00A62E2A">
            <w:pPr>
              <w:jc w:val="center"/>
              <w:rPr>
                <w:sz w:val="18"/>
                <w:szCs w:val="18"/>
                <w:u w:val="single"/>
                <w:lang w:val="en-GB"/>
              </w:rPr>
            </w:pPr>
            <w:r w:rsidRPr="008F2CA2">
              <w:rPr>
                <w:sz w:val="18"/>
                <w:szCs w:val="18"/>
                <w:u w:val="single"/>
                <w:lang w:val="en-GB"/>
              </w:rPr>
              <w:t>279</w:t>
            </w:r>
          </w:p>
          <w:p w14:paraId="148A522E" w14:textId="77777777" w:rsidR="001B253E" w:rsidRPr="008F2CA2" w:rsidRDefault="001B253E" w:rsidP="00A62E2A">
            <w:pPr>
              <w:jc w:val="center"/>
              <w:rPr>
                <w:sz w:val="18"/>
                <w:szCs w:val="18"/>
                <w:u w:val="single"/>
                <w:lang w:val="en-GB"/>
              </w:rPr>
            </w:pPr>
            <w:r w:rsidRPr="008F2CA2">
              <w:rPr>
                <w:sz w:val="18"/>
                <w:szCs w:val="18"/>
                <w:u w:val="single"/>
                <w:lang w:val="en-GB"/>
              </w:rPr>
              <w:t>XXX</w:t>
            </w:r>
          </w:p>
        </w:tc>
        <w:tc>
          <w:tcPr>
            <w:tcW w:w="408" w:type="dxa"/>
            <w:hideMark/>
          </w:tcPr>
          <w:p w14:paraId="197F5E4B" w14:textId="77777777" w:rsidR="001B253E" w:rsidRPr="008F2CA2" w:rsidRDefault="001B253E" w:rsidP="00A62E2A">
            <w:pPr>
              <w:jc w:val="center"/>
              <w:rPr>
                <w:sz w:val="18"/>
                <w:szCs w:val="18"/>
                <w:lang w:val="en-GB"/>
              </w:rPr>
            </w:pPr>
            <w:r w:rsidRPr="008F2CA2">
              <w:rPr>
                <w:strike/>
                <w:sz w:val="18"/>
                <w:szCs w:val="18"/>
                <w:lang w:val="en-GB"/>
              </w:rPr>
              <w:t>1 kg</w:t>
            </w:r>
            <w:r w:rsidRPr="008F2CA2">
              <w:rPr>
                <w:sz w:val="18"/>
                <w:szCs w:val="18"/>
                <w:lang w:val="en-GB"/>
              </w:rPr>
              <w:t xml:space="preserve"> </w:t>
            </w:r>
            <w:r w:rsidRPr="008F2CA2">
              <w:rPr>
                <w:sz w:val="18"/>
                <w:szCs w:val="18"/>
                <w:u w:val="single"/>
                <w:lang w:val="en-GB"/>
              </w:rPr>
              <w:t>0</w:t>
            </w:r>
          </w:p>
        </w:tc>
        <w:tc>
          <w:tcPr>
            <w:tcW w:w="266" w:type="dxa"/>
            <w:hideMark/>
          </w:tcPr>
          <w:p w14:paraId="465123D6" w14:textId="77777777" w:rsidR="001B253E" w:rsidRPr="008F2CA2" w:rsidRDefault="001B253E" w:rsidP="00A62E2A">
            <w:pPr>
              <w:jc w:val="center"/>
              <w:rPr>
                <w:sz w:val="18"/>
                <w:szCs w:val="18"/>
                <w:lang w:val="en-GB"/>
              </w:rPr>
            </w:pPr>
            <w:r w:rsidRPr="008F2CA2">
              <w:rPr>
                <w:strike/>
                <w:sz w:val="18"/>
                <w:szCs w:val="18"/>
                <w:lang w:val="en-GB"/>
              </w:rPr>
              <w:t>E2</w:t>
            </w:r>
            <w:r w:rsidRPr="008F2CA2">
              <w:rPr>
                <w:sz w:val="18"/>
                <w:szCs w:val="18"/>
                <w:lang w:val="en-GB"/>
              </w:rPr>
              <w:t xml:space="preserve"> </w:t>
            </w:r>
            <w:r w:rsidRPr="008F2CA2">
              <w:rPr>
                <w:sz w:val="18"/>
                <w:szCs w:val="18"/>
                <w:u w:val="single"/>
                <w:lang w:val="en-GB"/>
              </w:rPr>
              <w:t>E5</w:t>
            </w:r>
          </w:p>
        </w:tc>
        <w:tc>
          <w:tcPr>
            <w:tcW w:w="1658" w:type="dxa"/>
            <w:hideMark/>
          </w:tcPr>
          <w:p w14:paraId="31D8923F" w14:textId="77777777" w:rsidR="001B253E" w:rsidRPr="008F2CA2" w:rsidRDefault="001B253E" w:rsidP="00A62E2A">
            <w:pPr>
              <w:jc w:val="center"/>
              <w:rPr>
                <w:sz w:val="18"/>
                <w:szCs w:val="18"/>
                <w:lang w:val="en-GB"/>
              </w:rPr>
            </w:pPr>
            <w:r w:rsidRPr="008F2CA2">
              <w:rPr>
                <w:sz w:val="18"/>
                <w:szCs w:val="18"/>
                <w:lang w:val="en-GB"/>
              </w:rPr>
              <w:t>P002</w:t>
            </w:r>
          </w:p>
          <w:p w14:paraId="5C6F5BFE" w14:textId="77777777" w:rsidR="001B253E" w:rsidRPr="008F2CA2" w:rsidRDefault="001B253E" w:rsidP="00A62E2A">
            <w:pPr>
              <w:jc w:val="center"/>
              <w:rPr>
                <w:strike/>
                <w:sz w:val="18"/>
                <w:szCs w:val="18"/>
                <w:lang w:val="en-GB"/>
              </w:rPr>
            </w:pPr>
            <w:r w:rsidRPr="008F2CA2">
              <w:rPr>
                <w:strike/>
                <w:sz w:val="18"/>
                <w:szCs w:val="18"/>
                <w:lang w:val="en-GB"/>
              </w:rPr>
              <w:t>IBC08</w:t>
            </w:r>
          </w:p>
          <w:p w14:paraId="372908B3" w14:textId="77777777" w:rsidR="001B253E" w:rsidRPr="008F2CA2" w:rsidRDefault="001B253E" w:rsidP="00A62E2A">
            <w:pPr>
              <w:jc w:val="center"/>
              <w:rPr>
                <w:sz w:val="18"/>
                <w:szCs w:val="18"/>
                <w:u w:val="single"/>
                <w:lang w:val="en-GB"/>
              </w:rPr>
            </w:pPr>
            <w:r w:rsidRPr="008F2CA2">
              <w:rPr>
                <w:sz w:val="18"/>
                <w:szCs w:val="18"/>
                <w:u w:val="single"/>
                <w:lang w:val="en-GB"/>
              </w:rPr>
              <w:t>IBC99</w:t>
            </w:r>
          </w:p>
        </w:tc>
        <w:tc>
          <w:tcPr>
            <w:tcW w:w="698" w:type="dxa"/>
            <w:hideMark/>
          </w:tcPr>
          <w:p w14:paraId="3C3F844F" w14:textId="77777777" w:rsidR="001B253E" w:rsidRPr="008F2CA2" w:rsidRDefault="001B253E" w:rsidP="00A62E2A">
            <w:pPr>
              <w:jc w:val="center"/>
              <w:rPr>
                <w:strike/>
                <w:sz w:val="18"/>
                <w:szCs w:val="18"/>
                <w:lang w:val="en-GB"/>
              </w:rPr>
            </w:pPr>
            <w:r w:rsidRPr="008F2CA2">
              <w:rPr>
                <w:strike/>
                <w:sz w:val="18"/>
                <w:szCs w:val="18"/>
                <w:lang w:val="en-GB"/>
              </w:rPr>
              <w:t>B2, B4</w:t>
            </w:r>
          </w:p>
        </w:tc>
        <w:tc>
          <w:tcPr>
            <w:tcW w:w="820" w:type="dxa"/>
            <w:hideMark/>
          </w:tcPr>
          <w:p w14:paraId="6BC396E6" w14:textId="77777777" w:rsidR="001B253E" w:rsidRPr="008F2CA2" w:rsidRDefault="001B253E" w:rsidP="00A62E2A">
            <w:pPr>
              <w:jc w:val="center"/>
              <w:rPr>
                <w:sz w:val="18"/>
                <w:szCs w:val="18"/>
                <w:lang w:val="en-GB"/>
              </w:rPr>
            </w:pPr>
            <w:r w:rsidRPr="008F2CA2">
              <w:rPr>
                <w:strike/>
                <w:sz w:val="18"/>
                <w:szCs w:val="18"/>
                <w:lang w:val="en-GB"/>
              </w:rPr>
              <w:t>T3</w:t>
            </w:r>
            <w:r w:rsidRPr="008F2CA2">
              <w:rPr>
                <w:sz w:val="18"/>
                <w:szCs w:val="18"/>
                <w:lang w:val="en-GB"/>
              </w:rPr>
              <w:t xml:space="preserve"> </w:t>
            </w:r>
            <w:r w:rsidRPr="008F2CA2">
              <w:rPr>
                <w:sz w:val="18"/>
                <w:szCs w:val="18"/>
                <w:u w:val="single"/>
                <w:lang w:val="en-GB"/>
              </w:rPr>
              <w:t>T6</w:t>
            </w:r>
          </w:p>
        </w:tc>
        <w:tc>
          <w:tcPr>
            <w:tcW w:w="698" w:type="dxa"/>
            <w:hideMark/>
          </w:tcPr>
          <w:p w14:paraId="4980EB57" w14:textId="77777777" w:rsidR="001B253E" w:rsidRPr="008F2CA2" w:rsidRDefault="001B253E" w:rsidP="00A62E2A">
            <w:pPr>
              <w:jc w:val="center"/>
              <w:rPr>
                <w:sz w:val="18"/>
                <w:szCs w:val="18"/>
                <w:lang w:val="en-GB"/>
              </w:rPr>
            </w:pPr>
            <w:r w:rsidRPr="008F2CA2">
              <w:rPr>
                <w:sz w:val="18"/>
                <w:szCs w:val="18"/>
                <w:lang w:val="en-GB"/>
              </w:rPr>
              <w:t>TP33</w:t>
            </w:r>
          </w:p>
        </w:tc>
      </w:tr>
    </w:tbl>
    <w:p w14:paraId="62280C5A" w14:textId="73ED27C8" w:rsidR="001B253E" w:rsidRPr="008F2CA2" w:rsidRDefault="000444C8" w:rsidP="006D5F71">
      <w:pPr>
        <w:pStyle w:val="SingleTxtG"/>
        <w:spacing w:before="120"/>
      </w:pPr>
      <w:r w:rsidRPr="008F2CA2">
        <w:tab/>
        <w:t>14.</w:t>
      </w:r>
      <w:r w:rsidRPr="008F2CA2">
        <w:tab/>
      </w:r>
      <w:r w:rsidR="00E00C61" w:rsidRPr="008F2CA2">
        <w:t>In 3.3 a</w:t>
      </w:r>
      <w:r w:rsidR="001B253E" w:rsidRPr="008F2CA2">
        <w:t xml:space="preserve">dd a </w:t>
      </w:r>
      <w:r w:rsidR="00A273B1" w:rsidRPr="008F2CA2">
        <w:t xml:space="preserve">new </w:t>
      </w:r>
      <w:r w:rsidR="001B253E" w:rsidRPr="008F2CA2">
        <w:t xml:space="preserve">special provision </w:t>
      </w:r>
      <w:r w:rsidR="000C5C16" w:rsidRPr="008F2CA2">
        <w:t xml:space="preserve">XXX </w:t>
      </w:r>
      <w:r w:rsidR="001B253E" w:rsidRPr="008F2CA2">
        <w:t>to introduce a transitional period as follows:</w:t>
      </w:r>
    </w:p>
    <w:p w14:paraId="356ECF88" w14:textId="7DF60FAE" w:rsidR="001B253E" w:rsidRPr="008F2CA2" w:rsidRDefault="000C5C16" w:rsidP="000C5C16">
      <w:pPr>
        <w:pStyle w:val="Default"/>
        <w:spacing w:after="120" w:line="240" w:lineRule="atLeast"/>
        <w:ind w:left="2410" w:right="1134" w:hanging="709"/>
        <w:jc w:val="both"/>
        <w:rPr>
          <w:color w:val="auto"/>
          <w:sz w:val="20"/>
          <w:szCs w:val="20"/>
          <w:lang w:val="en-GB" w:eastAsia="en-US"/>
        </w:rPr>
      </w:pPr>
      <w:r w:rsidRPr="008F2CA2">
        <w:rPr>
          <w:color w:val="auto"/>
          <w:sz w:val="20"/>
          <w:szCs w:val="20"/>
          <w:lang w:val="en-GB" w:eastAsia="en-US"/>
        </w:rPr>
        <w:t>“</w:t>
      </w:r>
      <w:r w:rsidR="001B253E" w:rsidRPr="008F2CA2">
        <w:rPr>
          <w:color w:val="auto"/>
          <w:sz w:val="20"/>
          <w:szCs w:val="20"/>
          <w:lang w:val="en-GB" w:eastAsia="en-US"/>
        </w:rPr>
        <w:t>XXX</w:t>
      </w:r>
      <w:r w:rsidRPr="008F2CA2">
        <w:rPr>
          <w:color w:val="auto"/>
          <w:sz w:val="20"/>
          <w:szCs w:val="20"/>
          <w:lang w:val="en-GB" w:eastAsia="en-US"/>
        </w:rPr>
        <w:tab/>
      </w:r>
      <w:r w:rsidR="001B253E" w:rsidRPr="008F2CA2">
        <w:rPr>
          <w:color w:val="auto"/>
          <w:sz w:val="20"/>
          <w:szCs w:val="20"/>
          <w:lang w:val="en-GB" w:eastAsia="en-US"/>
        </w:rPr>
        <w:t>The provisions of 3.2.2 from the twenty-second revised edition of the Recommendations on the Transport of Dangerous Goods, Model Regulations may continue to be applied until 31 December 2026.</w:t>
      </w:r>
      <w:r w:rsidRPr="008F2CA2">
        <w:rPr>
          <w:color w:val="auto"/>
          <w:sz w:val="20"/>
          <w:szCs w:val="20"/>
          <w:lang w:val="en-GB" w:eastAsia="en-US"/>
        </w:rPr>
        <w:t>”</w:t>
      </w:r>
    </w:p>
    <w:p w14:paraId="1936F321" w14:textId="5332A049" w:rsidR="001B253E" w:rsidRPr="008F2CA2" w:rsidRDefault="00E67A92" w:rsidP="00E67A92">
      <w:pPr>
        <w:pStyle w:val="SingleTxtG"/>
      </w:pPr>
      <w:r w:rsidRPr="008F2CA2">
        <w:tab/>
        <w:t>15.</w:t>
      </w:r>
      <w:r w:rsidRPr="008F2CA2">
        <w:tab/>
      </w:r>
      <w:r w:rsidR="001B253E" w:rsidRPr="008F2CA2">
        <w:t>Add to table 4.2 in the Guiding Principles the following line (</w:t>
      </w:r>
      <w:r w:rsidR="00427401" w:rsidRPr="008F2CA2">
        <w:t xml:space="preserve">new </w:t>
      </w:r>
      <w:r w:rsidR="00445187" w:rsidRPr="008F2CA2">
        <w:t>text</w:t>
      </w:r>
      <w:r w:rsidR="00427401" w:rsidRPr="008F2CA2">
        <w:t xml:space="preserve"> is</w:t>
      </w:r>
      <w:r w:rsidR="00445187" w:rsidRPr="008F2CA2">
        <w:t xml:space="preserve"> </w:t>
      </w:r>
      <w:r w:rsidR="001B253E" w:rsidRPr="008F2CA2">
        <w:rPr>
          <w:u w:val="single"/>
        </w:rPr>
        <w:t>underlined</w:t>
      </w:r>
      <w:r w:rsidR="001B253E" w:rsidRPr="008F2CA2">
        <w:t>):</w:t>
      </w:r>
    </w:p>
    <w:p w14:paraId="6C19FEBF" w14:textId="77777777" w:rsidR="001B253E" w:rsidRPr="008F2CA2" w:rsidRDefault="001B253E" w:rsidP="001B253E">
      <w:pPr>
        <w:tabs>
          <w:tab w:val="left" w:pos="1701"/>
        </w:tabs>
        <w:spacing w:after="120"/>
        <w:ind w:left="1134" w:right="1134"/>
        <w:jc w:val="both"/>
      </w:pPr>
      <w:r w:rsidRPr="008F2CA2">
        <w:rPr>
          <w:b/>
          <w:bCs/>
        </w:rPr>
        <w:t>Table 4.2: Substances allowed for transport in IBCs subject to approval by the competent authority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128"/>
        <w:gridCol w:w="1134"/>
        <w:gridCol w:w="525"/>
        <w:gridCol w:w="1176"/>
      </w:tblGrid>
      <w:tr w:rsidR="001B253E" w:rsidRPr="008F2CA2" w14:paraId="5557A44B" w14:textId="77777777" w:rsidTr="00A62E2A">
        <w:trPr>
          <w:trHeight w:val="257"/>
        </w:trPr>
        <w:tc>
          <w:tcPr>
            <w:tcW w:w="692" w:type="dxa"/>
          </w:tcPr>
          <w:p w14:paraId="3C4EC359" w14:textId="77777777" w:rsidR="001B253E" w:rsidRPr="008F2CA2" w:rsidRDefault="001B253E" w:rsidP="00A62E2A">
            <w:pPr>
              <w:pStyle w:val="Default"/>
              <w:rPr>
                <w:sz w:val="20"/>
                <w:szCs w:val="20"/>
                <w:lang w:val="en-GB"/>
              </w:rPr>
            </w:pPr>
            <w:r w:rsidRPr="008F2CA2">
              <w:rPr>
                <w:b/>
                <w:bCs/>
                <w:sz w:val="20"/>
                <w:szCs w:val="20"/>
                <w:lang w:val="en-GB"/>
              </w:rPr>
              <w:t xml:space="preserve">UN </w:t>
            </w:r>
          </w:p>
        </w:tc>
        <w:tc>
          <w:tcPr>
            <w:tcW w:w="4128" w:type="dxa"/>
          </w:tcPr>
          <w:p w14:paraId="34A8FEC8" w14:textId="77777777" w:rsidR="001B253E" w:rsidRPr="008F2CA2" w:rsidRDefault="001B253E" w:rsidP="00A62E2A">
            <w:pPr>
              <w:pStyle w:val="Default"/>
              <w:rPr>
                <w:sz w:val="20"/>
                <w:szCs w:val="20"/>
                <w:lang w:val="en-GB"/>
              </w:rPr>
            </w:pPr>
            <w:r w:rsidRPr="008F2CA2">
              <w:rPr>
                <w:b/>
                <w:bCs/>
                <w:sz w:val="20"/>
                <w:szCs w:val="20"/>
                <w:lang w:val="en-GB"/>
              </w:rPr>
              <w:t xml:space="preserve">Name </w:t>
            </w:r>
          </w:p>
        </w:tc>
        <w:tc>
          <w:tcPr>
            <w:tcW w:w="1134" w:type="dxa"/>
          </w:tcPr>
          <w:p w14:paraId="52430324" w14:textId="77777777" w:rsidR="001B253E" w:rsidRPr="008F2CA2" w:rsidRDefault="001B253E" w:rsidP="00A62E2A">
            <w:pPr>
              <w:pStyle w:val="Default"/>
              <w:rPr>
                <w:sz w:val="20"/>
                <w:szCs w:val="20"/>
                <w:lang w:val="en-GB"/>
              </w:rPr>
            </w:pPr>
            <w:r w:rsidRPr="008F2CA2">
              <w:rPr>
                <w:b/>
                <w:bCs/>
                <w:sz w:val="20"/>
                <w:szCs w:val="20"/>
                <w:lang w:val="en-GB"/>
              </w:rPr>
              <w:t xml:space="preserve">Class/Div. </w:t>
            </w:r>
          </w:p>
        </w:tc>
        <w:tc>
          <w:tcPr>
            <w:tcW w:w="525" w:type="dxa"/>
          </w:tcPr>
          <w:p w14:paraId="6FDC56AA" w14:textId="77777777" w:rsidR="001B253E" w:rsidRPr="008F2CA2" w:rsidRDefault="001B253E" w:rsidP="00A62E2A">
            <w:pPr>
              <w:pStyle w:val="Default"/>
              <w:rPr>
                <w:sz w:val="20"/>
                <w:szCs w:val="20"/>
                <w:lang w:val="en-GB"/>
              </w:rPr>
            </w:pPr>
            <w:r w:rsidRPr="008F2CA2">
              <w:rPr>
                <w:b/>
                <w:bCs/>
                <w:sz w:val="20"/>
                <w:szCs w:val="20"/>
                <w:lang w:val="en-GB"/>
              </w:rPr>
              <w:t xml:space="preserve">PG </w:t>
            </w:r>
          </w:p>
        </w:tc>
        <w:tc>
          <w:tcPr>
            <w:tcW w:w="1176" w:type="dxa"/>
          </w:tcPr>
          <w:p w14:paraId="72F5A8BF" w14:textId="77777777" w:rsidR="001B253E" w:rsidRPr="008F2CA2" w:rsidRDefault="001B253E" w:rsidP="00A62E2A">
            <w:pPr>
              <w:pStyle w:val="Default"/>
              <w:rPr>
                <w:sz w:val="20"/>
                <w:szCs w:val="20"/>
                <w:lang w:val="en-GB"/>
              </w:rPr>
            </w:pPr>
            <w:r w:rsidRPr="008F2CA2">
              <w:rPr>
                <w:b/>
                <w:bCs/>
                <w:sz w:val="20"/>
                <w:szCs w:val="20"/>
                <w:lang w:val="en-GB"/>
              </w:rPr>
              <w:t xml:space="preserve">Subsidiary hazard(s) </w:t>
            </w:r>
          </w:p>
        </w:tc>
      </w:tr>
      <w:tr w:rsidR="001B253E" w:rsidRPr="008F2CA2" w14:paraId="3FD5521A" w14:textId="77777777" w:rsidTr="00A62E2A">
        <w:trPr>
          <w:trHeight w:val="134"/>
        </w:trPr>
        <w:tc>
          <w:tcPr>
            <w:tcW w:w="692" w:type="dxa"/>
          </w:tcPr>
          <w:p w14:paraId="1E46A34C" w14:textId="77777777" w:rsidR="001B253E" w:rsidRPr="008F2CA2" w:rsidRDefault="001B253E" w:rsidP="00A62E2A">
            <w:pPr>
              <w:pStyle w:val="Default"/>
              <w:rPr>
                <w:sz w:val="20"/>
                <w:szCs w:val="20"/>
                <w:u w:val="single"/>
                <w:lang w:val="en-GB"/>
              </w:rPr>
            </w:pPr>
            <w:r w:rsidRPr="008F2CA2">
              <w:rPr>
                <w:sz w:val="20"/>
                <w:szCs w:val="20"/>
                <w:u w:val="single"/>
                <w:lang w:val="en-GB"/>
              </w:rPr>
              <w:t xml:space="preserve">3423 </w:t>
            </w:r>
          </w:p>
        </w:tc>
        <w:tc>
          <w:tcPr>
            <w:tcW w:w="4128" w:type="dxa"/>
          </w:tcPr>
          <w:p w14:paraId="16F34A1E" w14:textId="77777777" w:rsidR="001B253E" w:rsidRPr="008F2CA2" w:rsidRDefault="001B253E" w:rsidP="00A62E2A">
            <w:pPr>
              <w:suppressAutoHyphens w:val="0"/>
              <w:spacing w:line="240" w:lineRule="auto"/>
              <w:rPr>
                <w:u w:val="single"/>
              </w:rPr>
            </w:pPr>
            <w:r w:rsidRPr="008F2CA2">
              <w:rPr>
                <w:rFonts w:asciiTheme="majorBidi" w:hAnsiTheme="majorBidi" w:cstheme="majorBidi"/>
                <w:u w:val="single"/>
              </w:rPr>
              <w:t>TETRAMETHYLAMMONIUM HYDROXIDE, SOLID</w:t>
            </w:r>
          </w:p>
        </w:tc>
        <w:tc>
          <w:tcPr>
            <w:tcW w:w="1134" w:type="dxa"/>
          </w:tcPr>
          <w:p w14:paraId="0E6F1A86" w14:textId="77777777" w:rsidR="001B253E" w:rsidRPr="008F2CA2" w:rsidRDefault="001B253E" w:rsidP="00A62E2A">
            <w:pPr>
              <w:pStyle w:val="Default"/>
              <w:rPr>
                <w:sz w:val="20"/>
                <w:szCs w:val="20"/>
                <w:u w:val="single"/>
                <w:lang w:val="en-GB"/>
              </w:rPr>
            </w:pPr>
            <w:r w:rsidRPr="008F2CA2">
              <w:rPr>
                <w:sz w:val="20"/>
                <w:szCs w:val="20"/>
                <w:u w:val="single"/>
                <w:lang w:val="en-GB"/>
              </w:rPr>
              <w:t>6.1</w:t>
            </w:r>
          </w:p>
        </w:tc>
        <w:tc>
          <w:tcPr>
            <w:tcW w:w="525" w:type="dxa"/>
          </w:tcPr>
          <w:p w14:paraId="57592DF1" w14:textId="77777777" w:rsidR="001B253E" w:rsidRPr="008F2CA2" w:rsidRDefault="001B253E" w:rsidP="00A62E2A">
            <w:pPr>
              <w:pStyle w:val="Default"/>
              <w:rPr>
                <w:sz w:val="20"/>
                <w:szCs w:val="20"/>
                <w:u w:val="single"/>
                <w:lang w:val="en-GB"/>
              </w:rPr>
            </w:pPr>
            <w:r w:rsidRPr="008F2CA2">
              <w:rPr>
                <w:sz w:val="20"/>
                <w:szCs w:val="20"/>
                <w:u w:val="single"/>
                <w:lang w:val="en-GB"/>
              </w:rPr>
              <w:t>I</w:t>
            </w:r>
          </w:p>
        </w:tc>
        <w:tc>
          <w:tcPr>
            <w:tcW w:w="1176" w:type="dxa"/>
          </w:tcPr>
          <w:p w14:paraId="13445749" w14:textId="77777777" w:rsidR="001B253E" w:rsidRPr="008F2CA2" w:rsidRDefault="001B253E" w:rsidP="00A62E2A">
            <w:pPr>
              <w:pStyle w:val="Default"/>
              <w:rPr>
                <w:sz w:val="20"/>
                <w:szCs w:val="20"/>
                <w:u w:val="single"/>
                <w:lang w:val="en-GB"/>
              </w:rPr>
            </w:pPr>
            <w:r w:rsidRPr="008F2CA2">
              <w:rPr>
                <w:sz w:val="20"/>
                <w:szCs w:val="20"/>
                <w:u w:val="single"/>
                <w:lang w:val="en-GB"/>
              </w:rPr>
              <w:t xml:space="preserve">8 </w:t>
            </w:r>
          </w:p>
        </w:tc>
      </w:tr>
    </w:tbl>
    <w:p w14:paraId="61F7E76C" w14:textId="37A85A72" w:rsidR="00F103FC" w:rsidRPr="008F2CA2" w:rsidRDefault="00E67A92" w:rsidP="00E67A92">
      <w:pPr>
        <w:spacing w:before="240"/>
        <w:jc w:val="center"/>
        <w:rPr>
          <w:u w:val="single"/>
        </w:rPr>
      </w:pPr>
      <w:r w:rsidRPr="008F2CA2">
        <w:rPr>
          <w:u w:val="single"/>
        </w:rPr>
        <w:tab/>
      </w:r>
      <w:r w:rsidRPr="008F2CA2">
        <w:rPr>
          <w:u w:val="single"/>
        </w:rPr>
        <w:tab/>
      </w:r>
      <w:r w:rsidRPr="008F2CA2">
        <w:rPr>
          <w:u w:val="single"/>
        </w:rPr>
        <w:tab/>
      </w:r>
    </w:p>
    <w:p w14:paraId="6401E483" w14:textId="77777777" w:rsidR="00E67A92" w:rsidRPr="00F2405B" w:rsidRDefault="00E67A92" w:rsidP="004858F5"/>
    <w:sectPr w:rsidR="00E67A92" w:rsidRPr="00F2405B" w:rsidSect="00F2405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A59E" w14:textId="77777777" w:rsidR="005835C2" w:rsidRPr="00C47B2E" w:rsidRDefault="005835C2" w:rsidP="00C47B2E">
      <w:pPr>
        <w:pStyle w:val="Footer"/>
      </w:pPr>
    </w:p>
  </w:endnote>
  <w:endnote w:type="continuationSeparator" w:id="0">
    <w:p w14:paraId="43B40A19" w14:textId="77777777" w:rsidR="005835C2" w:rsidRPr="00C47B2E" w:rsidRDefault="005835C2" w:rsidP="00C47B2E">
      <w:pPr>
        <w:pStyle w:val="Footer"/>
      </w:pPr>
    </w:p>
  </w:endnote>
  <w:endnote w:type="continuationNotice" w:id="1">
    <w:p w14:paraId="70CA3E4D" w14:textId="77777777" w:rsidR="005835C2" w:rsidRPr="00C47B2E" w:rsidRDefault="005835C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E67A92">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A0AD" w14:textId="77777777" w:rsidR="005835C2" w:rsidRPr="00C47B2E" w:rsidRDefault="005835C2" w:rsidP="00C47B2E">
      <w:pPr>
        <w:tabs>
          <w:tab w:val="right" w:pos="2155"/>
        </w:tabs>
        <w:spacing w:after="80" w:line="240" w:lineRule="auto"/>
        <w:ind w:left="680"/>
      </w:pPr>
      <w:r>
        <w:rPr>
          <w:u w:val="single"/>
        </w:rPr>
        <w:tab/>
      </w:r>
    </w:p>
  </w:footnote>
  <w:footnote w:type="continuationSeparator" w:id="0">
    <w:p w14:paraId="02E0ABD8" w14:textId="77777777" w:rsidR="005835C2" w:rsidRPr="00C47B2E" w:rsidRDefault="005835C2" w:rsidP="005E716E">
      <w:pPr>
        <w:tabs>
          <w:tab w:val="right" w:pos="2155"/>
        </w:tabs>
        <w:spacing w:after="80" w:line="240" w:lineRule="auto"/>
        <w:ind w:left="680"/>
      </w:pPr>
      <w:r>
        <w:rPr>
          <w:u w:val="single"/>
        </w:rPr>
        <w:tab/>
      </w:r>
    </w:p>
  </w:footnote>
  <w:footnote w:type="continuationNotice" w:id="1">
    <w:p w14:paraId="5F2917B1" w14:textId="77777777" w:rsidR="005835C2" w:rsidRPr="00C47B2E" w:rsidRDefault="005835C2" w:rsidP="00C47B2E">
      <w:pPr>
        <w:pStyle w:val="Footer"/>
      </w:pPr>
    </w:p>
  </w:footnote>
  <w:footnote w:id="2">
    <w:p w14:paraId="23C23990" w14:textId="46BE55A4" w:rsidR="00271DC1" w:rsidRPr="00271DC1" w:rsidRDefault="00271DC1" w:rsidP="00271DC1">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7A91C4AA" w:rsidR="00F2405B" w:rsidRPr="00E67A92" w:rsidRDefault="00E67A92">
    <w:pPr>
      <w:pStyle w:val="Header"/>
      <w:rPr>
        <w:lang w:val="fr-CH"/>
      </w:rPr>
    </w:pPr>
    <w:r>
      <w:rPr>
        <w:lang w:val="fr-CH"/>
      </w:rPr>
      <w:t>ST/SG/AC.10/C.3/2022/68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6F249BBD" w:rsidR="00D94B05" w:rsidRPr="00F2405B" w:rsidRDefault="00E67A92" w:rsidP="00F2405B">
    <w:pPr>
      <w:pStyle w:val="Header"/>
      <w:jc w:val="right"/>
    </w:pPr>
    <w:r>
      <w:rPr>
        <w:lang w:val="fr-CH"/>
      </w:rPr>
      <w:t>ST/SG/AC.10/C.3/2022/68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14C0" w14:textId="77777777" w:rsidR="00E67A92" w:rsidRDefault="00E6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D1692"/>
    <w:multiLevelType w:val="hybridMultilevel"/>
    <w:tmpl w:val="A0F8B84A"/>
    <w:lvl w:ilvl="0" w:tplc="88F0D5F4">
      <w:start w:val="1"/>
      <w:numFmt w:val="decimal"/>
      <w:lvlText w:val="%1."/>
      <w:lvlJc w:val="left"/>
      <w:pPr>
        <w:ind w:left="1689" w:hanging="555"/>
      </w:pPr>
      <w:rPr>
        <w:b w:val="0"/>
        <w:bCs w:val="0"/>
      </w:rPr>
    </w:lvl>
    <w:lvl w:ilvl="1" w:tplc="0C0A0019">
      <w:start w:val="1"/>
      <w:numFmt w:val="lowerLetter"/>
      <w:lvlText w:val="%2."/>
      <w:lvlJc w:val="left"/>
      <w:pPr>
        <w:ind w:left="2497" w:hanging="360"/>
      </w:pPr>
    </w:lvl>
    <w:lvl w:ilvl="2" w:tplc="0C0A001B">
      <w:start w:val="1"/>
      <w:numFmt w:val="lowerRoman"/>
      <w:lvlText w:val="%3."/>
      <w:lvlJc w:val="right"/>
      <w:pPr>
        <w:ind w:left="3217" w:hanging="180"/>
      </w:pPr>
    </w:lvl>
    <w:lvl w:ilvl="3" w:tplc="0C0A000F">
      <w:start w:val="1"/>
      <w:numFmt w:val="decimal"/>
      <w:lvlText w:val="%4."/>
      <w:lvlJc w:val="left"/>
      <w:pPr>
        <w:ind w:left="3937" w:hanging="360"/>
      </w:pPr>
    </w:lvl>
    <w:lvl w:ilvl="4" w:tplc="0C0A0019">
      <w:start w:val="1"/>
      <w:numFmt w:val="lowerLetter"/>
      <w:lvlText w:val="%5."/>
      <w:lvlJc w:val="left"/>
      <w:pPr>
        <w:ind w:left="4657" w:hanging="360"/>
      </w:pPr>
    </w:lvl>
    <w:lvl w:ilvl="5" w:tplc="0C0A001B">
      <w:start w:val="1"/>
      <w:numFmt w:val="lowerRoman"/>
      <w:lvlText w:val="%6."/>
      <w:lvlJc w:val="right"/>
      <w:pPr>
        <w:ind w:left="5377" w:hanging="180"/>
      </w:pPr>
    </w:lvl>
    <w:lvl w:ilvl="6" w:tplc="0C0A000F">
      <w:start w:val="1"/>
      <w:numFmt w:val="decimal"/>
      <w:lvlText w:val="%7."/>
      <w:lvlJc w:val="left"/>
      <w:pPr>
        <w:ind w:left="6097" w:hanging="360"/>
      </w:pPr>
    </w:lvl>
    <w:lvl w:ilvl="7" w:tplc="0C0A0019">
      <w:start w:val="1"/>
      <w:numFmt w:val="lowerLetter"/>
      <w:lvlText w:val="%8."/>
      <w:lvlJc w:val="left"/>
      <w:pPr>
        <w:ind w:left="6817" w:hanging="360"/>
      </w:pPr>
    </w:lvl>
    <w:lvl w:ilvl="8" w:tplc="0C0A001B">
      <w:start w:val="1"/>
      <w:numFmt w:val="lowerRoman"/>
      <w:lvlText w:val="%9."/>
      <w:lvlJc w:val="right"/>
      <w:pPr>
        <w:ind w:left="7537"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26929"/>
    <w:rsid w:val="000444C8"/>
    <w:rsid w:val="00046E92"/>
    <w:rsid w:val="00063C90"/>
    <w:rsid w:val="000C5C16"/>
    <w:rsid w:val="00101B98"/>
    <w:rsid w:val="001242AA"/>
    <w:rsid w:val="001514D1"/>
    <w:rsid w:val="00183710"/>
    <w:rsid w:val="001B253E"/>
    <w:rsid w:val="0024778A"/>
    <w:rsid w:val="00247E2C"/>
    <w:rsid w:val="00267B8C"/>
    <w:rsid w:val="00271DC1"/>
    <w:rsid w:val="002A32CB"/>
    <w:rsid w:val="002D5B2C"/>
    <w:rsid w:val="002D62B8"/>
    <w:rsid w:val="002D6C53"/>
    <w:rsid w:val="002F5595"/>
    <w:rsid w:val="00334F6A"/>
    <w:rsid w:val="00342AC8"/>
    <w:rsid w:val="00343302"/>
    <w:rsid w:val="0035590A"/>
    <w:rsid w:val="0037696D"/>
    <w:rsid w:val="00380FAB"/>
    <w:rsid w:val="003979DE"/>
    <w:rsid w:val="003B4550"/>
    <w:rsid w:val="003D2A18"/>
    <w:rsid w:val="00413386"/>
    <w:rsid w:val="00427401"/>
    <w:rsid w:val="00445187"/>
    <w:rsid w:val="00461253"/>
    <w:rsid w:val="004628DB"/>
    <w:rsid w:val="004858F5"/>
    <w:rsid w:val="004A2814"/>
    <w:rsid w:val="004C0622"/>
    <w:rsid w:val="005042C2"/>
    <w:rsid w:val="005835C2"/>
    <w:rsid w:val="005A395A"/>
    <w:rsid w:val="005E716E"/>
    <w:rsid w:val="006476E1"/>
    <w:rsid w:val="006604DF"/>
    <w:rsid w:val="00671529"/>
    <w:rsid w:val="006D5F71"/>
    <w:rsid w:val="0070489D"/>
    <w:rsid w:val="00722B06"/>
    <w:rsid w:val="007245EA"/>
    <w:rsid w:val="007268F9"/>
    <w:rsid w:val="00750282"/>
    <w:rsid w:val="00764440"/>
    <w:rsid w:val="00765806"/>
    <w:rsid w:val="0077101B"/>
    <w:rsid w:val="007C52B0"/>
    <w:rsid w:val="007C6033"/>
    <w:rsid w:val="008147C8"/>
    <w:rsid w:val="0081753A"/>
    <w:rsid w:val="00857D23"/>
    <w:rsid w:val="008851AA"/>
    <w:rsid w:val="00891C4B"/>
    <w:rsid w:val="008F2CA2"/>
    <w:rsid w:val="009411B4"/>
    <w:rsid w:val="00946F1D"/>
    <w:rsid w:val="009870CA"/>
    <w:rsid w:val="0099012C"/>
    <w:rsid w:val="009D0139"/>
    <w:rsid w:val="009D717D"/>
    <w:rsid w:val="009F5CDC"/>
    <w:rsid w:val="00A072D7"/>
    <w:rsid w:val="00A273B1"/>
    <w:rsid w:val="00A5133F"/>
    <w:rsid w:val="00A62D9D"/>
    <w:rsid w:val="00A775CF"/>
    <w:rsid w:val="00A821D6"/>
    <w:rsid w:val="00AD1A9C"/>
    <w:rsid w:val="00AF5DE1"/>
    <w:rsid w:val="00B06045"/>
    <w:rsid w:val="00B206DD"/>
    <w:rsid w:val="00B52EF4"/>
    <w:rsid w:val="00B56397"/>
    <w:rsid w:val="00B777AD"/>
    <w:rsid w:val="00C03015"/>
    <w:rsid w:val="00C0358D"/>
    <w:rsid w:val="00C231A6"/>
    <w:rsid w:val="00C35A27"/>
    <w:rsid w:val="00C47B2E"/>
    <w:rsid w:val="00C63C00"/>
    <w:rsid w:val="00D63CD2"/>
    <w:rsid w:val="00D66920"/>
    <w:rsid w:val="00D7049B"/>
    <w:rsid w:val="00D87872"/>
    <w:rsid w:val="00D87DC2"/>
    <w:rsid w:val="00D94B05"/>
    <w:rsid w:val="00DA429C"/>
    <w:rsid w:val="00DB00BC"/>
    <w:rsid w:val="00E00C61"/>
    <w:rsid w:val="00E02C2B"/>
    <w:rsid w:val="00E11028"/>
    <w:rsid w:val="00E21C27"/>
    <w:rsid w:val="00E26BCF"/>
    <w:rsid w:val="00E455D9"/>
    <w:rsid w:val="00E50791"/>
    <w:rsid w:val="00E52109"/>
    <w:rsid w:val="00E67A92"/>
    <w:rsid w:val="00E75317"/>
    <w:rsid w:val="00EC0CE6"/>
    <w:rsid w:val="00EC7C1D"/>
    <w:rsid w:val="00ED6C48"/>
    <w:rsid w:val="00EE3045"/>
    <w:rsid w:val="00F103FC"/>
    <w:rsid w:val="00F108F1"/>
    <w:rsid w:val="00F17897"/>
    <w:rsid w:val="00F2405B"/>
    <w:rsid w:val="00F65F5D"/>
    <w:rsid w:val="00F86A3A"/>
    <w:rsid w:val="00FB7FF9"/>
    <w:rsid w:val="00FF6B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B253E"/>
    <w:rPr>
      <w:b/>
      <w:sz w:val="28"/>
    </w:rPr>
  </w:style>
  <w:style w:type="character" w:customStyle="1" w:styleId="H1GChar">
    <w:name w:val="_ H_1_G Char"/>
    <w:link w:val="H1G"/>
    <w:rsid w:val="001B253E"/>
    <w:rPr>
      <w:b/>
      <w:sz w:val="24"/>
    </w:rPr>
  </w:style>
  <w:style w:type="paragraph" w:styleId="ListParagraph">
    <w:name w:val="List Paragraph"/>
    <w:basedOn w:val="Normal"/>
    <w:uiPriority w:val="34"/>
    <w:qFormat/>
    <w:rsid w:val="001B253E"/>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1B253E"/>
  </w:style>
  <w:style w:type="character" w:styleId="Strong">
    <w:name w:val="Strong"/>
    <w:uiPriority w:val="22"/>
    <w:qFormat/>
    <w:rsid w:val="001B253E"/>
    <w:rPr>
      <w:b/>
      <w:bCs/>
    </w:rPr>
  </w:style>
  <w:style w:type="paragraph" w:customStyle="1" w:styleId="Default">
    <w:name w:val="Default"/>
    <w:rsid w:val="001B253E"/>
    <w:pPr>
      <w:autoSpaceDE w:val="0"/>
      <w:autoSpaceDN w:val="0"/>
      <w:adjustRightInd w:val="0"/>
      <w:spacing w:after="0" w:line="240" w:lineRule="auto"/>
    </w:pPr>
    <w:rPr>
      <w:rFonts w:eastAsia="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41CA4-8A9A-4302-8C0D-A4D855F9B55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985ec44e-1bab-4c0b-9df0-6ba128686fc9"/>
    <ds:schemaRef ds:uri="acccb6d4-dbe5-46d2-b4d3-5733603d8cc6"/>
    <ds:schemaRef ds:uri="4b4a1c0d-4a69-4996-a84a-fc699b9f49de"/>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D3131-AAC0-47BB-91D4-404CBA5C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55</TotalTime>
  <Pages>3</Pages>
  <Words>1161</Words>
  <Characters>6363</Characters>
  <Application>Microsoft Office Word</Application>
  <DocSecurity>0</DocSecurity>
  <Lines>227</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47</cp:revision>
  <cp:lastPrinted>2022-09-07T07:15:00Z</cp:lastPrinted>
  <dcterms:created xsi:type="dcterms:W3CDTF">2022-09-02T12:34:00Z</dcterms:created>
  <dcterms:modified xsi:type="dcterms:W3CDTF">2022-09-07T07:16:00Z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