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14:paraId="4AD70EF1" w14:textId="77777777" w:rsidTr="006476E1">
        <w:trPr>
          <w:trHeight w:val="851"/>
        </w:trPr>
        <w:tc>
          <w:tcPr>
            <w:tcW w:w="1259" w:type="dxa"/>
            <w:tcBorders>
              <w:top w:val="nil"/>
              <w:left w:val="nil"/>
              <w:bottom w:val="single" w:sz="4" w:space="0" w:color="auto"/>
              <w:right w:val="nil"/>
            </w:tcBorders>
          </w:tcPr>
          <w:p w14:paraId="11527DE3" w14:textId="77777777" w:rsidR="00E52109" w:rsidRPr="002A32CB" w:rsidRDefault="00E52109" w:rsidP="004858F5"/>
        </w:tc>
        <w:tc>
          <w:tcPr>
            <w:tcW w:w="2236" w:type="dxa"/>
            <w:tcBorders>
              <w:top w:val="nil"/>
              <w:left w:val="nil"/>
              <w:bottom w:val="single" w:sz="4" w:space="0" w:color="auto"/>
              <w:right w:val="nil"/>
            </w:tcBorders>
            <w:vAlign w:val="bottom"/>
          </w:tcPr>
          <w:p w14:paraId="24B423CA" w14:textId="77777777" w:rsidR="00E52109" w:rsidRDefault="00E52109" w:rsidP="006476E1">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14:paraId="2DCDCA4F" w14:textId="3D1283B9" w:rsidR="00E52109" w:rsidRDefault="00F2405B" w:rsidP="00F2405B">
            <w:pPr>
              <w:suppressAutoHyphens w:val="0"/>
              <w:jc w:val="right"/>
            </w:pPr>
            <w:r w:rsidRPr="00F2405B">
              <w:rPr>
                <w:sz w:val="40"/>
              </w:rPr>
              <w:t>ST</w:t>
            </w:r>
            <w:r>
              <w:t>/SG/AC.10/C.3/2022/</w:t>
            </w:r>
            <w:r w:rsidR="00640608">
              <w:t>51</w:t>
            </w:r>
          </w:p>
        </w:tc>
      </w:tr>
      <w:tr w:rsidR="00E52109" w14:paraId="0A7795A7" w14:textId="77777777" w:rsidTr="006476E1">
        <w:trPr>
          <w:trHeight w:val="2835"/>
        </w:trPr>
        <w:tc>
          <w:tcPr>
            <w:tcW w:w="1259" w:type="dxa"/>
            <w:tcBorders>
              <w:top w:val="single" w:sz="4" w:space="0" w:color="auto"/>
              <w:left w:val="nil"/>
              <w:bottom w:val="single" w:sz="12" w:space="0" w:color="auto"/>
              <w:right w:val="nil"/>
            </w:tcBorders>
          </w:tcPr>
          <w:p w14:paraId="37651003" w14:textId="037FAFEE" w:rsidR="00E52109" w:rsidRDefault="00E52109" w:rsidP="006476E1">
            <w:pPr>
              <w:spacing w:before="120"/>
              <w:jc w:val="center"/>
            </w:pPr>
            <w:r>
              <w:rPr>
                <w:noProof/>
                <w:lang w:val="fr-CH" w:eastAsia="fr-CH"/>
              </w:rPr>
              <w:drawing>
                <wp:inline distT="0" distB="0" distL="0" distR="0" wp14:anchorId="3FB4D02E" wp14:editId="16A34650">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3B242279" w14:textId="77777777" w:rsidR="00E52109" w:rsidRDefault="00D94B05" w:rsidP="006476E1">
            <w:pPr>
              <w:spacing w:before="120" w:line="420" w:lineRule="exact"/>
              <w:rPr>
                <w:b/>
                <w:sz w:val="40"/>
                <w:szCs w:val="40"/>
              </w:rPr>
            </w:pPr>
            <w:r>
              <w:rPr>
                <w:b/>
                <w:sz w:val="40"/>
                <w:szCs w:val="40"/>
              </w:rPr>
              <w:t>Secretariat</w:t>
            </w:r>
          </w:p>
        </w:tc>
        <w:tc>
          <w:tcPr>
            <w:tcW w:w="2930" w:type="dxa"/>
            <w:tcBorders>
              <w:top w:val="single" w:sz="4" w:space="0" w:color="auto"/>
              <w:left w:val="nil"/>
              <w:bottom w:val="single" w:sz="12" w:space="0" w:color="auto"/>
              <w:right w:val="nil"/>
            </w:tcBorders>
          </w:tcPr>
          <w:p w14:paraId="2C4A2734" w14:textId="77777777" w:rsidR="00D94B05" w:rsidRDefault="00F2405B" w:rsidP="00F2405B">
            <w:pPr>
              <w:suppressAutoHyphens w:val="0"/>
              <w:spacing w:before="240" w:line="240" w:lineRule="exact"/>
            </w:pPr>
            <w:r>
              <w:t>Distr.: General</w:t>
            </w:r>
          </w:p>
          <w:p w14:paraId="238C8614" w14:textId="7ABA91C7" w:rsidR="00F2405B" w:rsidRDefault="00640608" w:rsidP="00F2405B">
            <w:pPr>
              <w:suppressAutoHyphens w:val="0"/>
              <w:spacing w:line="240" w:lineRule="exact"/>
            </w:pPr>
            <w:r>
              <w:t>2</w:t>
            </w:r>
            <w:r w:rsidR="00055ACE">
              <w:t xml:space="preserve"> September</w:t>
            </w:r>
            <w:r w:rsidR="00F2405B">
              <w:t xml:space="preserve"> 2022</w:t>
            </w:r>
          </w:p>
          <w:p w14:paraId="6818D8D9" w14:textId="77777777" w:rsidR="00F2405B" w:rsidRDefault="00F2405B" w:rsidP="00F2405B">
            <w:pPr>
              <w:suppressAutoHyphens w:val="0"/>
              <w:spacing w:line="240" w:lineRule="exact"/>
            </w:pPr>
          </w:p>
          <w:p w14:paraId="744B5E8F" w14:textId="1C43DCF8" w:rsidR="00F2405B" w:rsidRDefault="00F2405B" w:rsidP="00F2405B">
            <w:pPr>
              <w:suppressAutoHyphens w:val="0"/>
              <w:spacing w:line="240" w:lineRule="exact"/>
            </w:pPr>
            <w:r>
              <w:t>Original: English</w:t>
            </w:r>
          </w:p>
        </w:tc>
      </w:tr>
    </w:tbl>
    <w:p w14:paraId="79251298" w14:textId="77777777" w:rsidR="00D87872" w:rsidRPr="006500BA" w:rsidRDefault="00D87872" w:rsidP="004858F5">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14:paraId="1E474270" w14:textId="77777777" w:rsidR="00D87872" w:rsidRPr="006500BA" w:rsidRDefault="00D87872" w:rsidP="004858F5">
      <w:pPr>
        <w:spacing w:before="120"/>
        <w:rPr>
          <w:rFonts w:ascii="Helv" w:hAnsi="Helv" w:cs="Helv"/>
          <w:b/>
          <w:color w:val="000000"/>
        </w:rPr>
      </w:pPr>
      <w:r w:rsidRPr="006500BA">
        <w:rPr>
          <w:b/>
        </w:rPr>
        <w:t xml:space="preserve">Sub-Committee of Experts on the </w:t>
      </w:r>
      <w:r>
        <w:rPr>
          <w:b/>
        </w:rPr>
        <w:t>Transport of Dangerous Goods</w:t>
      </w:r>
    </w:p>
    <w:p w14:paraId="2ECC87D9" w14:textId="42C5DB14" w:rsidR="00D87872" w:rsidRPr="006500BA" w:rsidRDefault="00D87872" w:rsidP="004858F5">
      <w:pPr>
        <w:spacing w:before="120"/>
        <w:rPr>
          <w:b/>
        </w:rPr>
      </w:pPr>
      <w:r>
        <w:rPr>
          <w:b/>
        </w:rPr>
        <w:t xml:space="preserve">Sixty-first </w:t>
      </w:r>
      <w:r w:rsidRPr="006500BA">
        <w:rPr>
          <w:b/>
        </w:rPr>
        <w:t>session</w:t>
      </w:r>
    </w:p>
    <w:p w14:paraId="77845C68" w14:textId="68291220" w:rsidR="00D87872" w:rsidRPr="006500BA" w:rsidRDefault="00D87872" w:rsidP="004858F5">
      <w:r w:rsidRPr="006500BA">
        <w:t xml:space="preserve">Geneva, </w:t>
      </w:r>
      <w:r>
        <w:t xml:space="preserve">28 November-6 December 2022 </w:t>
      </w:r>
    </w:p>
    <w:p w14:paraId="2BD9F40C" w14:textId="0A5BCEF7" w:rsidR="00D87872" w:rsidRPr="006500BA" w:rsidRDefault="00D87872" w:rsidP="004858F5">
      <w:r w:rsidRPr="006500BA">
        <w:t xml:space="preserve">Item </w:t>
      </w:r>
      <w:r w:rsidR="00AA316A">
        <w:t>3</w:t>
      </w:r>
      <w:r w:rsidRPr="006500BA">
        <w:t xml:space="preserve"> of the provisional agenda</w:t>
      </w:r>
    </w:p>
    <w:p w14:paraId="2CDD19CA" w14:textId="77777777" w:rsidR="00AA316A" w:rsidRPr="00A3411F" w:rsidRDefault="00AA316A" w:rsidP="00AA316A">
      <w:pPr>
        <w:rPr>
          <w:b/>
        </w:rPr>
      </w:pPr>
      <w:r w:rsidRPr="00A3411F">
        <w:rPr>
          <w:b/>
        </w:rPr>
        <w:t>Listing, classification and packing</w:t>
      </w:r>
    </w:p>
    <w:p w14:paraId="02F45921" w14:textId="1C93502F" w:rsidR="00D74CC0" w:rsidRPr="00A3411F" w:rsidRDefault="00D74CC0" w:rsidP="00D74CC0">
      <w:pPr>
        <w:pStyle w:val="HChG"/>
        <w:ind w:firstLine="0"/>
      </w:pPr>
      <w:r w:rsidRPr="00A3411F">
        <w:t>Differentiation between UN 1950 aerosols and</w:t>
      </w:r>
      <w:r>
        <w:t xml:space="preserve"> </w:t>
      </w:r>
      <w:r w:rsidRPr="00A3411F">
        <w:t xml:space="preserve">UN 2037 receptacles, small, containing gas (gas cartridges) and </w:t>
      </w:r>
      <w:r>
        <w:t xml:space="preserve">proposed marking requirements for </w:t>
      </w:r>
      <w:r w:rsidRPr="00A3411F">
        <w:t>UN 2037 receptacles, small, containing gas (gas cartridges)</w:t>
      </w:r>
    </w:p>
    <w:p w14:paraId="730BF37E" w14:textId="77777777" w:rsidR="00D74CC0" w:rsidRPr="00A3411F" w:rsidRDefault="00D74CC0" w:rsidP="00D74CC0">
      <w:pPr>
        <w:pStyle w:val="H1G"/>
      </w:pPr>
      <w:r w:rsidRPr="00A3411F">
        <w:tab/>
      </w:r>
      <w:r w:rsidRPr="00A3411F">
        <w:tab/>
        <w:t>Transmitted by the expert from Germany</w:t>
      </w:r>
      <w:r w:rsidRPr="00A3411F">
        <w:rPr>
          <w:rStyle w:val="FootnoteReference"/>
        </w:rPr>
        <w:footnoteReference w:customMarkFollows="1" w:id="2"/>
        <w:t>*</w:t>
      </w:r>
    </w:p>
    <w:p w14:paraId="2C8924EF" w14:textId="77777777" w:rsidR="00D74CC0" w:rsidRPr="00A3411F" w:rsidRDefault="00D74CC0" w:rsidP="00D74CC0">
      <w:pPr>
        <w:pStyle w:val="HChG"/>
      </w:pPr>
      <w:r w:rsidRPr="00A3411F">
        <w:tab/>
      </w:r>
      <w:r w:rsidRPr="00A3411F">
        <w:tab/>
        <w:t>Introduction</w:t>
      </w:r>
    </w:p>
    <w:p w14:paraId="245AAE7B" w14:textId="32504CA5" w:rsidR="00D74CC0" w:rsidRPr="00A3411F" w:rsidRDefault="00D74CC0" w:rsidP="00D74CC0">
      <w:pPr>
        <w:pStyle w:val="SingleTxtG"/>
        <w:spacing w:after="0"/>
      </w:pPr>
      <w:r w:rsidRPr="00A3411F">
        <w:t>1.</w:t>
      </w:r>
      <w:r w:rsidRPr="00A3411F">
        <w:tab/>
        <w:t>It was realized that apparently there is no clear distinction between UN 1950 aerosols and UN 2037 gas cartridges. The same product (see Figure 1 and Figure 2</w:t>
      </w:r>
      <w:r w:rsidR="005500D7">
        <w:t xml:space="preserve"> below</w:t>
      </w:r>
      <w:r w:rsidRPr="00A3411F">
        <w:t>) can be found on the market classified as UN 1950 or UN 2037.</w:t>
      </w:r>
    </w:p>
    <w:p w14:paraId="45E46D5D" w14:textId="77777777" w:rsidR="00D74CC0" w:rsidRPr="00A3411F" w:rsidRDefault="00D74CC0" w:rsidP="00D74CC0">
      <w:pPr>
        <w:pStyle w:val="SingleTxtG"/>
        <w:spacing w:after="0" w:line="240" w:lineRule="auto"/>
      </w:pPr>
    </w:p>
    <w:p w14:paraId="674469F7" w14:textId="77777777" w:rsidR="00D74CC0" w:rsidRPr="00A3411F" w:rsidRDefault="00D74CC0" w:rsidP="00D74CC0">
      <w:pPr>
        <w:pStyle w:val="SingleTxtG"/>
        <w:tabs>
          <w:tab w:val="left" w:pos="1134"/>
        </w:tabs>
        <w:spacing w:after="60" w:line="240" w:lineRule="auto"/>
        <w:jc w:val="center"/>
      </w:pPr>
      <w:r>
        <w:rPr>
          <w:noProof/>
          <w:lang w:eastAsia="de-DE"/>
        </w:rPr>
        <mc:AlternateContent>
          <mc:Choice Requires="wps">
            <w:drawing>
              <wp:anchor distT="0" distB="0" distL="114300" distR="114300" simplePos="0" relativeHeight="251659264" behindDoc="0" locked="0" layoutInCell="1" allowOverlap="1" wp14:anchorId="7CF7DA28" wp14:editId="4B793288">
                <wp:simplePos x="0" y="0"/>
                <wp:positionH relativeFrom="column">
                  <wp:posOffset>833120</wp:posOffset>
                </wp:positionH>
                <wp:positionV relativeFrom="paragraph">
                  <wp:posOffset>58420</wp:posOffset>
                </wp:positionV>
                <wp:extent cx="584835" cy="250825"/>
                <wp:effectExtent l="19050" t="76200" r="0" b="73025"/>
                <wp:wrapNone/>
                <wp:docPr id="7" name="Pfeil: nach recht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01643">
                          <a:off x="0" y="0"/>
                          <a:ext cx="584835" cy="2508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752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7" o:spid="_x0000_s1026" type="#_x0000_t13" style="position:absolute;margin-left:65.6pt;margin-top:4.6pt;width:46.05pt;height:19.75pt;rotation:142174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" adj="16968" fillcolor="red" strokecolor="#243f60 [1604]" strokeweight="2pt">
                <v:path arrowok="t"/>
                <v:textbox inset="2mm,1mm,2mm,1mm"/>
              </v:shape>
            </w:pict>
          </mc:Fallback>
        </mc:AlternateContent>
      </w:r>
      <w:r w:rsidRPr="00A3411F">
        <w:rPr>
          <w:noProof/>
          <w:lang w:val="de-AT" w:eastAsia="de-AT"/>
        </w:rPr>
        <w:drawing>
          <wp:inline distT="0" distB="0" distL="0" distR="0" wp14:anchorId="03946AF2" wp14:editId="6FD769BA">
            <wp:extent cx="1724400" cy="115200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400" cy="1152000"/>
                    </a:xfrm>
                    <a:prstGeom prst="rect">
                      <a:avLst/>
                    </a:prstGeom>
                    <a:noFill/>
                    <a:ln>
                      <a:noFill/>
                    </a:ln>
                  </pic:spPr>
                </pic:pic>
              </a:graphicData>
            </a:graphic>
          </wp:inline>
        </w:drawing>
      </w:r>
      <w:r w:rsidRPr="00A3411F">
        <w:rPr>
          <w:noProof/>
          <w:lang w:eastAsia="de-DE"/>
        </w:rPr>
        <w:tab/>
      </w:r>
      <w:r w:rsidRPr="00A3411F">
        <w:rPr>
          <w:noProof/>
          <w:lang w:eastAsia="de-DE"/>
        </w:rPr>
        <w:tab/>
      </w:r>
      <w:r w:rsidRPr="00A3411F">
        <w:rPr>
          <w:noProof/>
          <w:lang w:val="de-AT" w:eastAsia="de-AT"/>
        </w:rPr>
        <w:drawing>
          <wp:inline distT="0" distB="0" distL="0" distR="0" wp14:anchorId="35FFFE08" wp14:editId="38C13D51">
            <wp:extent cx="1713600" cy="114480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3600" cy="1144800"/>
                    </a:xfrm>
                    <a:prstGeom prst="rect">
                      <a:avLst/>
                    </a:prstGeom>
                    <a:noFill/>
                    <a:ln>
                      <a:noFill/>
                    </a:ln>
                  </pic:spPr>
                </pic:pic>
              </a:graphicData>
            </a:graphic>
          </wp:inline>
        </w:drawing>
      </w:r>
    </w:p>
    <w:p w14:paraId="46A2191F" w14:textId="77777777" w:rsidR="00D74CC0" w:rsidRPr="00A3411F" w:rsidRDefault="00D74CC0" w:rsidP="00D74CC0">
      <w:pPr>
        <w:pStyle w:val="SingleTxtG"/>
        <w:tabs>
          <w:tab w:val="left" w:pos="1134"/>
        </w:tabs>
        <w:jc w:val="center"/>
      </w:pPr>
      <w:r w:rsidRPr="00A3411F">
        <w:t>Figure 1: Receptacle for 30 % propane and 70 % butane, classified as aerosol</w:t>
      </w:r>
    </w:p>
    <w:p w14:paraId="53AAA5C8" w14:textId="77777777" w:rsidR="00D74CC0" w:rsidRPr="00A3411F" w:rsidRDefault="00D74CC0" w:rsidP="00D74CC0">
      <w:pPr>
        <w:pStyle w:val="SingleTxtG"/>
        <w:tabs>
          <w:tab w:val="left" w:pos="1134"/>
        </w:tabs>
        <w:spacing w:after="60" w:line="240" w:lineRule="auto"/>
        <w:jc w:val="center"/>
      </w:pPr>
      <w:r>
        <w:rPr>
          <w:noProof/>
          <w:lang w:eastAsia="de-DE"/>
        </w:rPr>
        <mc:AlternateContent>
          <mc:Choice Requires="wps">
            <w:drawing>
              <wp:anchor distT="0" distB="0" distL="114300" distR="114300" simplePos="0" relativeHeight="251660288" behindDoc="0" locked="0" layoutInCell="1" allowOverlap="1" wp14:anchorId="685A200B" wp14:editId="648C3B1B">
                <wp:simplePos x="0" y="0"/>
                <wp:positionH relativeFrom="column">
                  <wp:posOffset>835025</wp:posOffset>
                </wp:positionH>
                <wp:positionV relativeFrom="paragraph">
                  <wp:posOffset>336550</wp:posOffset>
                </wp:positionV>
                <wp:extent cx="584835" cy="250825"/>
                <wp:effectExtent l="19050" t="76200" r="0" b="73025"/>
                <wp:wrapNone/>
                <wp:docPr id="13" name="Pfeil: nach recht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01643">
                          <a:off x="0" y="0"/>
                          <a:ext cx="584835" cy="2508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87F01" id="Pfeil: nach rechts 13" o:spid="_x0000_s1026" type="#_x0000_t13" style="position:absolute;margin-left:65.75pt;margin-top:26.5pt;width:46.05pt;height:19.75pt;rotation:142174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" adj="16968" fillcolor="red" strokecolor="#243f60 [1604]" strokeweight="2pt">
                <v:path arrowok="t"/>
                <v:textbox inset="2mm,1mm,2mm,1mm"/>
              </v:shape>
            </w:pict>
          </mc:Fallback>
        </mc:AlternateContent>
      </w:r>
      <w:r w:rsidRPr="00A3411F">
        <w:rPr>
          <w:noProof/>
          <w:lang w:val="de-AT" w:eastAsia="de-AT"/>
        </w:rPr>
        <w:drawing>
          <wp:inline distT="0" distB="0" distL="0" distR="0" wp14:anchorId="72C47756" wp14:editId="76231A18">
            <wp:extent cx="1713600" cy="1144800"/>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3600" cy="1144800"/>
                    </a:xfrm>
                    <a:prstGeom prst="rect">
                      <a:avLst/>
                    </a:prstGeom>
                    <a:noFill/>
                    <a:ln>
                      <a:noFill/>
                    </a:ln>
                  </pic:spPr>
                </pic:pic>
              </a:graphicData>
            </a:graphic>
          </wp:inline>
        </w:drawing>
      </w:r>
      <w:r w:rsidRPr="00A3411F">
        <w:rPr>
          <w:noProof/>
          <w:lang w:eastAsia="de-DE"/>
        </w:rPr>
        <w:tab/>
      </w:r>
      <w:r w:rsidRPr="00A3411F">
        <w:rPr>
          <w:noProof/>
          <w:lang w:eastAsia="de-DE"/>
        </w:rPr>
        <w:tab/>
      </w:r>
      <w:r w:rsidRPr="00A3411F">
        <w:rPr>
          <w:noProof/>
          <w:lang w:val="de-AT" w:eastAsia="de-AT"/>
        </w:rPr>
        <w:drawing>
          <wp:inline distT="0" distB="0" distL="0" distR="0" wp14:anchorId="3BAD14AA" wp14:editId="79FE80AA">
            <wp:extent cx="1713600" cy="1144800"/>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3600" cy="1144800"/>
                    </a:xfrm>
                    <a:prstGeom prst="rect">
                      <a:avLst/>
                    </a:prstGeom>
                    <a:noFill/>
                    <a:ln>
                      <a:noFill/>
                    </a:ln>
                  </pic:spPr>
                </pic:pic>
              </a:graphicData>
            </a:graphic>
          </wp:inline>
        </w:drawing>
      </w:r>
    </w:p>
    <w:p w14:paraId="54A6DC98" w14:textId="77777777" w:rsidR="00D74CC0" w:rsidRPr="00A3411F" w:rsidRDefault="00D74CC0" w:rsidP="00D74CC0">
      <w:pPr>
        <w:pStyle w:val="SingleTxtG"/>
        <w:tabs>
          <w:tab w:val="left" w:pos="1134"/>
        </w:tabs>
        <w:spacing w:after="0" w:line="240" w:lineRule="auto"/>
        <w:jc w:val="center"/>
      </w:pPr>
      <w:r w:rsidRPr="00A3411F">
        <w:t>Figure 2: Receptacle for 30 % propane and 70 % butane, classified as gas cartridge</w:t>
      </w:r>
    </w:p>
    <w:p w14:paraId="2069A57D" w14:textId="77777777" w:rsidR="00D74CC0" w:rsidRPr="00A3411F" w:rsidRDefault="00D74CC0" w:rsidP="00D74CC0">
      <w:pPr>
        <w:pStyle w:val="HChG"/>
      </w:pPr>
      <w:r w:rsidRPr="00A3411F">
        <w:lastRenderedPageBreak/>
        <w:tab/>
      </w:r>
      <w:r w:rsidRPr="00A3411F">
        <w:tab/>
        <w:t>Background</w:t>
      </w:r>
    </w:p>
    <w:p w14:paraId="0FFE5FF7" w14:textId="77777777" w:rsidR="00D74CC0" w:rsidRPr="00A3411F" w:rsidRDefault="00D74CC0" w:rsidP="00D74CC0">
      <w:pPr>
        <w:pStyle w:val="SingleTxtG"/>
      </w:pPr>
      <w:r w:rsidRPr="00A3411F">
        <w:t>2.</w:t>
      </w:r>
      <w:r w:rsidRPr="00A3411F">
        <w:tab/>
        <w:t>There is no definition of a gas cartridge. Gas cartridges are referred to as:</w:t>
      </w:r>
    </w:p>
    <w:p w14:paraId="2CB43902" w14:textId="77777777" w:rsidR="00D74CC0" w:rsidRPr="00A3411F" w:rsidRDefault="00D74CC0" w:rsidP="00D74CC0">
      <w:pPr>
        <w:pStyle w:val="Bullet1G"/>
      </w:pPr>
      <w:r w:rsidRPr="00A3411F">
        <w:t>"small receptacles containing gas (gas cartridge)" (e.g. in chapter 6.2),</w:t>
      </w:r>
    </w:p>
    <w:p w14:paraId="18FBD6FF" w14:textId="77777777" w:rsidR="00D74CC0" w:rsidRPr="00A3411F" w:rsidRDefault="00D74CC0" w:rsidP="00D74CC0">
      <w:pPr>
        <w:pStyle w:val="Bullet1G"/>
      </w:pPr>
      <w:r w:rsidRPr="00A3411F">
        <w:t>“receptacles, small” (e.g. in 6.2.4.</w:t>
      </w:r>
      <w:r>
        <w:t>2.</w:t>
      </w:r>
      <w:r w:rsidRPr="00A3411F">
        <w:t>3),</w:t>
      </w:r>
    </w:p>
    <w:p w14:paraId="1073C33D" w14:textId="77777777" w:rsidR="00D74CC0" w:rsidRPr="00A3411F" w:rsidRDefault="00D74CC0" w:rsidP="00D74CC0">
      <w:pPr>
        <w:pStyle w:val="Bullet1G"/>
      </w:pPr>
      <w:r w:rsidRPr="00A3411F">
        <w:t>“receptacles, small, containing gas” (e.g. in 3.3.1, special provision 191),</w:t>
      </w:r>
    </w:p>
    <w:p w14:paraId="4415C364" w14:textId="77777777" w:rsidR="00D74CC0" w:rsidRPr="00A3411F" w:rsidRDefault="00D74CC0" w:rsidP="00D74CC0">
      <w:pPr>
        <w:pStyle w:val="Bullet1G"/>
      </w:pPr>
      <w:r w:rsidRPr="00A3411F">
        <w:t xml:space="preserve">"UN 2037 receptacles, small, containing gas </w:t>
      </w:r>
      <w:bookmarkStart w:id="0" w:name="_Hlk62224786"/>
      <w:r w:rsidRPr="00A3411F">
        <w:t>(gas cartridges)</w:t>
      </w:r>
      <w:bookmarkEnd w:id="0"/>
      <w:r w:rsidRPr="00A3411F">
        <w:t>" (e.g. in 2.2.2.1, Note),</w:t>
      </w:r>
    </w:p>
    <w:p w14:paraId="11F5B111" w14:textId="77777777" w:rsidR="00D74CC0" w:rsidRPr="00A3411F" w:rsidRDefault="00D74CC0" w:rsidP="00D74CC0">
      <w:pPr>
        <w:pStyle w:val="Bullet1G"/>
      </w:pPr>
      <w:r w:rsidRPr="00A3411F">
        <w:t>"UN 2037 receptacles, small, containing gas (gas cartridges) without a release device, non-refillable" (e.g. in 3.2).</w:t>
      </w:r>
    </w:p>
    <w:p w14:paraId="19969592" w14:textId="6B50AE7A" w:rsidR="00D74CC0" w:rsidRPr="00A3411F" w:rsidRDefault="00D74CC0" w:rsidP="00D74CC0">
      <w:pPr>
        <w:pStyle w:val="SingleTxtG"/>
      </w:pPr>
      <w:r w:rsidRPr="00A3411F">
        <w:t xml:space="preserve">Only the </w:t>
      </w:r>
      <w:r>
        <w:t xml:space="preserve">entry for UN 2037 </w:t>
      </w:r>
      <w:r w:rsidRPr="00A3411F">
        <w:t xml:space="preserve">and </w:t>
      </w:r>
      <w:r w:rsidR="009C7897" w:rsidRPr="00A3411F">
        <w:t xml:space="preserve">special provision </w:t>
      </w:r>
      <w:r w:rsidRPr="00A3411F">
        <w:t>191 recognize that gas cartridges are non-refillable receptacles, not equipped with a release device.</w:t>
      </w:r>
    </w:p>
    <w:p w14:paraId="40F4C4F3" w14:textId="11B43374" w:rsidR="00D74CC0" w:rsidRPr="00A3411F" w:rsidRDefault="00D74CC0" w:rsidP="00D74CC0">
      <w:pPr>
        <w:pStyle w:val="SingleTxtG"/>
      </w:pPr>
      <w:r w:rsidRPr="00A3411F">
        <w:t>3.</w:t>
      </w:r>
      <w:r w:rsidRPr="00A3411F">
        <w:tab/>
        <w:t>Different to UN 2037, 1.2.1 gives a definition for aerosols, classifying them as non-refillable receptacles, fitted with a release device and meeting the requirements of 6.2.4.</w:t>
      </w:r>
    </w:p>
    <w:p w14:paraId="09347FFD" w14:textId="1AFAB5A5" w:rsidR="00D74CC0" w:rsidRPr="00A3411F" w:rsidRDefault="00D74CC0" w:rsidP="00D74CC0">
      <w:pPr>
        <w:pStyle w:val="SingleTxtG"/>
      </w:pPr>
      <w:r w:rsidRPr="00A3411F">
        <w:t>4.</w:t>
      </w:r>
      <w:r w:rsidRPr="00A3411F">
        <w:tab/>
      </w:r>
      <w:r w:rsidR="0071476A" w:rsidRPr="00A3411F">
        <w:t>Therefore</w:t>
      </w:r>
      <w:r w:rsidRPr="00A3411F">
        <w:t>, it seems that the only difference between aerosols and gas cartridges is the presence of a “release device”, a term which unfortunately is also not defined. A distinction by volume cannot be made because there is no limitation in size for aerosols and receptacles, small.</w:t>
      </w:r>
    </w:p>
    <w:p w14:paraId="3E1EBAFE" w14:textId="77777777" w:rsidR="00D74CC0" w:rsidRPr="00A3411F" w:rsidRDefault="00D74CC0" w:rsidP="00D74CC0">
      <w:pPr>
        <w:pStyle w:val="SingleTxtG"/>
      </w:pPr>
      <w:r w:rsidRPr="00A3411F">
        <w:t>5.</w:t>
      </w:r>
      <w:r w:rsidRPr="00A3411F">
        <w:tab/>
        <w:t xml:space="preserve">It is assumed that </w:t>
      </w:r>
      <w:r>
        <w:t xml:space="preserve">the </w:t>
      </w:r>
      <w:r w:rsidRPr="00A3411F">
        <w:t>two different UN numbers were introduced to clearly distinguish between UN 1950 aerosols and UN 2037 gas cartridges. Typical aerosols and gas cartridges are given in Figure 3 and Figure 4. At least in countries of the European Union different regulations (Aerosol Dispenser Directive 75/324/EEC for UN 1950 and Transportable Pressure Equipment Directive 2010/35/EU for UN 2037) and therefore different conformity assessment procedures apply. Different requirements are also assumed to apply in other countries/regions.</w:t>
      </w:r>
    </w:p>
    <w:p w14:paraId="3BF870F3" w14:textId="77777777" w:rsidR="00D74CC0" w:rsidRPr="00A3411F" w:rsidRDefault="00D74CC0" w:rsidP="00D74CC0">
      <w:pPr>
        <w:pStyle w:val="SingleTxtG"/>
        <w:spacing w:after="60" w:line="240" w:lineRule="auto"/>
        <w:jc w:val="center"/>
      </w:pPr>
      <w:r w:rsidRPr="00A3411F">
        <w:rPr>
          <w:noProof/>
          <w:lang w:val="de-AT" w:eastAsia="de-AT"/>
        </w:rPr>
        <w:drawing>
          <wp:inline distT="0" distB="0" distL="0" distR="0" wp14:anchorId="339B01D4" wp14:editId="5CA1F675">
            <wp:extent cx="1195200" cy="1792800"/>
            <wp:effectExtent l="0" t="0" r="5080" b="0"/>
            <wp:docPr id="8" name="Grafik 8" descr="Ein Bild, das Flasche, Tisch, sitzend, aus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5200" cy="1792800"/>
                    </a:xfrm>
                    <a:prstGeom prst="rect">
                      <a:avLst/>
                    </a:prstGeom>
                  </pic:spPr>
                </pic:pic>
              </a:graphicData>
            </a:graphic>
          </wp:inline>
        </w:drawing>
      </w:r>
      <w:r w:rsidRPr="00A3411F">
        <w:tab/>
      </w:r>
      <w:r w:rsidRPr="00A3411F">
        <w:rPr>
          <w:noProof/>
          <w:lang w:val="de-AT" w:eastAsia="de-AT"/>
        </w:rPr>
        <w:drawing>
          <wp:inline distT="0" distB="0" distL="0" distR="0" wp14:anchorId="4C78DB8B" wp14:editId="538B32B2">
            <wp:extent cx="1126800" cy="1681200"/>
            <wp:effectExtent l="0" t="0" r="0" b="0"/>
            <wp:docPr id="9" name="Grafik 9" descr="Ein Bild, das drinnen, sitzend, Tisch,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6800" cy="1681200"/>
                    </a:xfrm>
                    <a:prstGeom prst="rect">
                      <a:avLst/>
                    </a:prstGeom>
                  </pic:spPr>
                </pic:pic>
              </a:graphicData>
            </a:graphic>
          </wp:inline>
        </w:drawing>
      </w:r>
      <w:r w:rsidRPr="00A3411F">
        <w:tab/>
      </w:r>
      <w:r w:rsidRPr="00A3411F">
        <w:rPr>
          <w:noProof/>
          <w:lang w:val="de-AT" w:eastAsia="de-AT"/>
        </w:rPr>
        <w:drawing>
          <wp:inline distT="0" distB="0" distL="0" distR="0" wp14:anchorId="1E24B048" wp14:editId="008B76ED">
            <wp:extent cx="1688400" cy="1126800"/>
            <wp:effectExtent l="0" t="0" r="7620" b="0"/>
            <wp:docPr id="10" name="Grafik 10" descr="Ein Bild, das drinnen, Tisch, sitzend, Ku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8400" cy="1126800"/>
                    </a:xfrm>
                    <a:prstGeom prst="rect">
                      <a:avLst/>
                    </a:prstGeom>
                  </pic:spPr>
                </pic:pic>
              </a:graphicData>
            </a:graphic>
          </wp:inline>
        </w:drawing>
      </w:r>
    </w:p>
    <w:p w14:paraId="4511E97A" w14:textId="26234210" w:rsidR="00D74CC0" w:rsidRDefault="00D74CC0" w:rsidP="00D74CC0">
      <w:pPr>
        <w:pStyle w:val="SingleTxtG"/>
        <w:tabs>
          <w:tab w:val="left" w:pos="1134"/>
        </w:tabs>
        <w:jc w:val="center"/>
      </w:pPr>
      <w:r w:rsidRPr="00A3411F">
        <w:t xml:space="preserve">Figure 3: Typical aerosol with self-closing valve (closure) and additional spray </w:t>
      </w:r>
      <w:r>
        <w:t>cap</w:t>
      </w:r>
      <w:r w:rsidRPr="00A3411F">
        <w:t xml:space="preserve"> </w:t>
      </w:r>
      <w:r w:rsidR="00D56C39">
        <w:br/>
      </w:r>
      <w:r w:rsidRPr="00A3411F">
        <w:t>(release device)</w:t>
      </w:r>
    </w:p>
    <w:p w14:paraId="5B36C6EF" w14:textId="77777777" w:rsidR="00D74CC0" w:rsidRPr="00A3411F" w:rsidRDefault="00D74CC0" w:rsidP="00D74CC0">
      <w:pPr>
        <w:pStyle w:val="SingleTxtG"/>
        <w:tabs>
          <w:tab w:val="left" w:pos="1134"/>
        </w:tabs>
        <w:jc w:val="center"/>
      </w:pPr>
    </w:p>
    <w:p w14:paraId="5F7AA1F4" w14:textId="77777777" w:rsidR="00D74CC0" w:rsidRPr="00A3411F" w:rsidRDefault="00D74CC0" w:rsidP="00D74CC0">
      <w:pPr>
        <w:pStyle w:val="SingleTxtG"/>
        <w:tabs>
          <w:tab w:val="left" w:pos="4395"/>
          <w:tab w:val="left" w:pos="5954"/>
        </w:tabs>
        <w:spacing w:after="60" w:line="240" w:lineRule="auto"/>
        <w:jc w:val="center"/>
      </w:pPr>
      <w:r w:rsidRPr="00A3411F">
        <w:rPr>
          <w:noProof/>
          <w:lang w:val="de-AT" w:eastAsia="de-AT"/>
        </w:rPr>
        <w:drawing>
          <wp:anchor distT="0" distB="0" distL="114300" distR="114300" simplePos="0" relativeHeight="251661312" behindDoc="0" locked="0" layoutInCell="1" allowOverlap="1" wp14:anchorId="015E217E" wp14:editId="13378584">
            <wp:simplePos x="0" y="0"/>
            <wp:positionH relativeFrom="column">
              <wp:posOffset>2304627</wp:posOffset>
            </wp:positionH>
            <wp:positionV relativeFrom="paragraph">
              <wp:posOffset>407247</wp:posOffset>
            </wp:positionV>
            <wp:extent cx="1548000" cy="597600"/>
            <wp:effectExtent l="0" t="127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548000" cy="597600"/>
                    </a:xfrm>
                    <a:prstGeom prst="rect">
                      <a:avLst/>
                    </a:prstGeom>
                  </pic:spPr>
                </pic:pic>
              </a:graphicData>
            </a:graphic>
            <wp14:sizeRelH relativeFrom="margin">
              <wp14:pctWidth>0</wp14:pctWidth>
            </wp14:sizeRelH>
            <wp14:sizeRelV relativeFrom="margin">
              <wp14:pctHeight>0</wp14:pctHeight>
            </wp14:sizeRelV>
          </wp:anchor>
        </w:drawing>
      </w:r>
      <w:r w:rsidRPr="00A3411F">
        <w:rPr>
          <w:noProof/>
          <w:lang w:val="de-AT" w:eastAsia="de-AT"/>
        </w:rPr>
        <w:drawing>
          <wp:inline distT="0" distB="0" distL="0" distR="0" wp14:anchorId="5409D468" wp14:editId="182674DC">
            <wp:extent cx="1414800" cy="1414800"/>
            <wp:effectExtent l="0" t="0" r="0" b="0"/>
            <wp:docPr id="11" name="Grafik 11" descr="Ein Bild, das rot, sitzend, Tisch, Do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4800" cy="1414800"/>
                    </a:xfrm>
                    <a:prstGeom prst="rect">
                      <a:avLst/>
                    </a:prstGeom>
                  </pic:spPr>
                </pic:pic>
              </a:graphicData>
            </a:graphic>
          </wp:inline>
        </w:drawing>
      </w:r>
      <w:r>
        <w:tab/>
      </w:r>
      <w:r>
        <w:tab/>
      </w:r>
      <w:r w:rsidRPr="00A3411F">
        <w:rPr>
          <w:noProof/>
          <w:lang w:val="de-AT" w:eastAsia="de-AT"/>
        </w:rPr>
        <w:drawing>
          <wp:inline distT="0" distB="0" distL="0" distR="0" wp14:anchorId="165DDA44" wp14:editId="298B1AFA">
            <wp:extent cx="1443600" cy="1450800"/>
            <wp:effectExtent l="0" t="0" r="444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3600" cy="1450800"/>
                    </a:xfrm>
                    <a:prstGeom prst="rect">
                      <a:avLst/>
                    </a:prstGeom>
                  </pic:spPr>
                </pic:pic>
              </a:graphicData>
            </a:graphic>
          </wp:inline>
        </w:drawing>
      </w:r>
    </w:p>
    <w:p w14:paraId="7EA3F364" w14:textId="77777777" w:rsidR="00D74CC0" w:rsidRPr="00A3411F" w:rsidRDefault="00D74CC0" w:rsidP="00D74CC0">
      <w:pPr>
        <w:pStyle w:val="SingleTxtG"/>
        <w:tabs>
          <w:tab w:val="left" w:pos="1134"/>
        </w:tabs>
        <w:jc w:val="center"/>
      </w:pPr>
      <w:r w:rsidRPr="00A3411F">
        <w:t>Figure 4: Typical gas cartridges without (left, for LPG and middle, for high pressure gases) and with (right, for LPG) self-closing valve (closure) but all without release device</w:t>
      </w:r>
    </w:p>
    <w:p w14:paraId="6667BBE5" w14:textId="77777777" w:rsidR="00D56C39" w:rsidRDefault="00D56C39">
      <w:pPr>
        <w:suppressAutoHyphens w:val="0"/>
        <w:kinsoku/>
        <w:overflowPunct/>
        <w:autoSpaceDE/>
        <w:autoSpaceDN/>
        <w:adjustRightInd/>
        <w:snapToGrid/>
        <w:spacing w:after="200" w:line="276" w:lineRule="auto"/>
      </w:pPr>
      <w:r>
        <w:br w:type="page"/>
      </w:r>
    </w:p>
    <w:p w14:paraId="72BD36CA" w14:textId="31AA1EAE" w:rsidR="00D74CC0" w:rsidRPr="00A3411F" w:rsidRDefault="00D74CC0" w:rsidP="00D74CC0">
      <w:pPr>
        <w:pStyle w:val="SingleTxtG"/>
      </w:pPr>
      <w:r>
        <w:t>6</w:t>
      </w:r>
      <w:r w:rsidRPr="00A3411F">
        <w:t>.</w:t>
      </w:r>
      <w:r w:rsidRPr="00A3411F">
        <w:tab/>
        <w:t>There are no marking requirements for gas cartridges (UN 2037).</w:t>
      </w:r>
    </w:p>
    <w:p w14:paraId="5FEBE023" w14:textId="407D3CD1" w:rsidR="00D74CC0" w:rsidRPr="00A3411F" w:rsidRDefault="00D74CC0" w:rsidP="00D74CC0">
      <w:pPr>
        <w:pStyle w:val="SingleTxtG"/>
        <w:tabs>
          <w:tab w:val="left" w:pos="1701"/>
        </w:tabs>
      </w:pPr>
      <w:r>
        <w:t>7</w:t>
      </w:r>
      <w:r w:rsidRPr="00A3411F">
        <w:t>.</w:t>
      </w:r>
      <w:r w:rsidRPr="00A3411F">
        <w:tab/>
        <w:t>The following proposals aim</w:t>
      </w:r>
      <w:r>
        <w:t xml:space="preserve"> </w:t>
      </w:r>
      <w:r w:rsidRPr="00A3411F">
        <w:t>to introduce new definitions to better distinguish between UN 1950 and UN 2037</w:t>
      </w:r>
      <w:r>
        <w:t>,</w:t>
      </w:r>
      <w:r w:rsidRPr="00A3411F">
        <w:t xml:space="preserve"> to harmonize</w:t>
      </w:r>
      <w:r>
        <w:t xml:space="preserve"> the terminology for UN 2037 and </w:t>
      </w:r>
      <w:r w:rsidRPr="00A3411F">
        <w:t xml:space="preserve">to </w:t>
      </w:r>
      <w:r>
        <w:t>introduce</w:t>
      </w:r>
      <w:r w:rsidRPr="00A3411F">
        <w:t xml:space="preserve"> </w:t>
      </w:r>
      <w:r>
        <w:t>marking</w:t>
      </w:r>
      <w:r w:rsidRPr="00A3411F">
        <w:t xml:space="preserve"> requirements </w:t>
      </w:r>
      <w:r>
        <w:t>as well as transitional measures for</w:t>
      </w:r>
      <w:r w:rsidRPr="00A3411F">
        <w:t xml:space="preserve"> UN 2037</w:t>
      </w:r>
      <w:r>
        <w:t xml:space="preserve"> </w:t>
      </w:r>
      <w:r>
        <w:rPr>
          <w:lang w:val="en-US"/>
        </w:rPr>
        <w:t xml:space="preserve">(new text is </w:t>
      </w:r>
      <w:r>
        <w:rPr>
          <w:u w:val="single"/>
          <w:lang w:val="en-US"/>
        </w:rPr>
        <w:t>underlined</w:t>
      </w:r>
      <w:r>
        <w:rPr>
          <w:lang w:val="en-US"/>
        </w:rPr>
        <w:t xml:space="preserve">, deleted text in </w:t>
      </w:r>
      <w:r>
        <w:rPr>
          <w:strike/>
          <w:lang w:val="en-US"/>
        </w:rPr>
        <w:t>strikethrough</w:t>
      </w:r>
      <w:r>
        <w:rPr>
          <w:lang w:val="en-US"/>
        </w:rPr>
        <w:t>)</w:t>
      </w:r>
      <w:r>
        <w:t>.</w:t>
      </w:r>
    </w:p>
    <w:p w14:paraId="7702892F" w14:textId="77777777" w:rsidR="00D74CC0" w:rsidRPr="00A3411F" w:rsidRDefault="00D74CC0" w:rsidP="00D56C39">
      <w:pPr>
        <w:pStyle w:val="HChG"/>
      </w:pPr>
      <w:r w:rsidRPr="00A3411F">
        <w:tab/>
      </w:r>
      <w:r w:rsidRPr="00A3411F">
        <w:tab/>
        <w:t xml:space="preserve">Proposal </w:t>
      </w:r>
      <w:r w:rsidRPr="00D2070D">
        <w:t>1</w:t>
      </w:r>
      <w:r>
        <w:t>: I</w:t>
      </w:r>
      <w:r w:rsidRPr="00D2070D">
        <w:t>nt</w:t>
      </w:r>
      <w:r w:rsidRPr="00A3411F">
        <w:t>roduction of definitions for “</w:t>
      </w:r>
      <w:r>
        <w:t xml:space="preserve">receptacles, </w:t>
      </w:r>
      <w:r w:rsidRPr="00A3411F">
        <w:t>small</w:t>
      </w:r>
      <w:r>
        <w:t>,</w:t>
      </w:r>
      <w:r w:rsidRPr="00A3411F">
        <w:t xml:space="preserve"> </w:t>
      </w:r>
      <w:r w:rsidRPr="00D56C39">
        <w:t>containing</w:t>
      </w:r>
      <w:r w:rsidRPr="00A3411F">
        <w:t xml:space="preserve"> gas</w:t>
      </w:r>
      <w:r>
        <w:t xml:space="preserve"> (gas cartridges)</w:t>
      </w:r>
      <w:r w:rsidRPr="00A3411F">
        <w:t>” and “release device”</w:t>
      </w:r>
    </w:p>
    <w:p w14:paraId="3755D48C" w14:textId="77777777" w:rsidR="00D74CC0" w:rsidRPr="00A3411F" w:rsidRDefault="00D74CC0" w:rsidP="00D74CC0">
      <w:pPr>
        <w:pStyle w:val="SingleTxtG"/>
      </w:pPr>
      <w:r>
        <w:t>8</w:t>
      </w:r>
      <w:r w:rsidRPr="00A3411F">
        <w:t>.</w:t>
      </w:r>
      <w:r w:rsidRPr="00A3411F">
        <w:tab/>
        <w:t>Introduce the following new definition in 1.2.1:</w:t>
      </w:r>
    </w:p>
    <w:p w14:paraId="72C7DE17" w14:textId="6BA45880" w:rsidR="00D74CC0" w:rsidRPr="002749EC" w:rsidRDefault="00E43152" w:rsidP="002749EC">
      <w:pPr>
        <w:pStyle w:val="SingleTxtG"/>
        <w:ind w:left="1701"/>
        <w:rPr>
          <w:u w:val="single"/>
          <w:lang w:eastAsia="en-GB"/>
        </w:rPr>
      </w:pPr>
      <w:r w:rsidRPr="00FE0223">
        <w:rPr>
          <w:iCs/>
          <w:lang w:val="en-US" w:eastAsia="en-GB"/>
        </w:rPr>
        <w:t>“</w:t>
      </w:r>
      <w:r w:rsidR="00D74CC0" w:rsidRPr="002749EC">
        <w:rPr>
          <w:i/>
          <w:iCs/>
          <w:u w:val="single"/>
          <w:lang w:eastAsia="en-GB"/>
        </w:rPr>
        <w:t>Receptacles, small, containing gas</w:t>
      </w:r>
      <w:r w:rsidR="00D74CC0" w:rsidRPr="002749EC">
        <w:rPr>
          <w:i/>
          <w:u w:val="single"/>
          <w:lang w:eastAsia="en-GB"/>
        </w:rPr>
        <w:t xml:space="preserve"> (gas cartridges) </w:t>
      </w:r>
      <w:r w:rsidR="00D74CC0" w:rsidRPr="002749EC">
        <w:rPr>
          <w:u w:val="single"/>
          <w:lang w:eastAsia="en-GB"/>
        </w:rPr>
        <w:t>means a non-refillable receptacle, containing, under pressure, a gas or a mixture of gases, equipped with or without a valve and not fitted with a release device.</w:t>
      </w:r>
      <w:r w:rsidR="00D74CC0" w:rsidRPr="00E43152">
        <w:rPr>
          <w:lang w:eastAsia="en-GB"/>
        </w:rPr>
        <w:t>”</w:t>
      </w:r>
    </w:p>
    <w:p w14:paraId="3014A0B2" w14:textId="77777777" w:rsidR="00D74CC0" w:rsidRPr="00FF50F6" w:rsidRDefault="00D74CC0" w:rsidP="00FF50F6">
      <w:pPr>
        <w:pStyle w:val="SingleTxtG"/>
        <w:ind w:left="1701"/>
        <w:rPr>
          <w:i/>
          <w:iCs/>
          <w:lang w:eastAsia="en-GB"/>
        </w:rPr>
      </w:pPr>
      <w:r w:rsidRPr="00FF50F6">
        <w:rPr>
          <w:i/>
          <w:iCs/>
          <w:lang w:eastAsia="en-GB"/>
        </w:rPr>
        <w:t>[Justification: The definition is based on the definition in RID/ADR with the addition of “and not fitted with a release device” to unify with the existing definition of an aerosol.]</w:t>
      </w:r>
    </w:p>
    <w:p w14:paraId="2F58840E" w14:textId="77777777" w:rsidR="00D74CC0" w:rsidRPr="00A3411F" w:rsidRDefault="00D74CC0" w:rsidP="002749EC">
      <w:pPr>
        <w:pStyle w:val="SingleTxtG"/>
        <w:rPr>
          <w:lang w:eastAsia="en-GB"/>
        </w:rPr>
      </w:pPr>
      <w:r>
        <w:rPr>
          <w:lang w:eastAsia="en-GB"/>
        </w:rPr>
        <w:t>9.</w:t>
      </w:r>
      <w:r>
        <w:rPr>
          <w:lang w:eastAsia="en-GB"/>
        </w:rPr>
        <w:tab/>
      </w:r>
      <w:r w:rsidRPr="00A3411F">
        <w:rPr>
          <w:lang w:eastAsia="en-GB"/>
        </w:rPr>
        <w:t>If this definition is agreed, it is proposed to unify the existing definition of an aerosol as follows:</w:t>
      </w:r>
    </w:p>
    <w:p w14:paraId="28CBABCA" w14:textId="2FDA5D72" w:rsidR="00D74CC0" w:rsidRPr="00A3411F" w:rsidRDefault="008A393A" w:rsidP="00D74CC0">
      <w:pPr>
        <w:ind w:left="1701" w:right="1134"/>
        <w:jc w:val="both"/>
        <w:rPr>
          <w:iCs/>
          <w:lang w:eastAsia="en-GB"/>
        </w:rPr>
      </w:pPr>
      <w:r w:rsidRPr="008A393A">
        <w:rPr>
          <w:iCs/>
          <w:lang w:eastAsia="en-GB"/>
        </w:rPr>
        <w:t>“</w:t>
      </w:r>
      <w:r w:rsidR="00D74CC0" w:rsidRPr="00A3411F">
        <w:rPr>
          <w:i/>
          <w:lang w:eastAsia="en-GB"/>
        </w:rPr>
        <w:t>Aerosol or aerosol dispenser</w:t>
      </w:r>
      <w:r w:rsidR="00D74CC0" w:rsidRPr="00A3411F">
        <w:rPr>
          <w:iCs/>
          <w:lang w:eastAsia="en-GB"/>
        </w:rPr>
        <w:t xml:space="preserve"> means an article consisting of a non-refillable receptacle </w:t>
      </w:r>
      <w:r w:rsidR="00D74CC0" w:rsidRPr="00A3411F">
        <w:rPr>
          <w:iCs/>
          <w:strike/>
          <w:lang w:eastAsia="en-GB"/>
        </w:rPr>
        <w:t>meeting the requirements of 6.2.4</w:t>
      </w:r>
      <w:r w:rsidR="00D74CC0" w:rsidRPr="00A3411F">
        <w:rPr>
          <w:iCs/>
          <w:lang w:eastAsia="en-GB"/>
        </w:rPr>
        <w:t>, made of metal, glass or plastics and containing a gas, compressed, liquefied or dissolved under pressure, with or without a liquid, paste or powder, and fitted with a release device allowing the contents to be ejected as solid or liquid particles in suspension in a gas, as a foam, paste or powder or in a liquid state or in a gaseous state;</w:t>
      </w:r>
      <w:r w:rsidRPr="00A3411F">
        <w:rPr>
          <w:lang w:val="en-US" w:eastAsia="en-GB"/>
        </w:rPr>
        <w:t>”</w:t>
      </w:r>
    </w:p>
    <w:p w14:paraId="587C79A8" w14:textId="77777777" w:rsidR="00D74CC0" w:rsidRPr="00A3411F" w:rsidRDefault="00D74CC0" w:rsidP="00FF50F6">
      <w:pPr>
        <w:pStyle w:val="SingleTxtG"/>
        <w:spacing w:before="240"/>
        <w:rPr>
          <w:iCs/>
          <w:lang w:eastAsia="en-GB"/>
        </w:rPr>
      </w:pPr>
      <w:r>
        <w:rPr>
          <w:iCs/>
          <w:lang w:eastAsia="en-GB"/>
        </w:rPr>
        <w:t>10.</w:t>
      </w:r>
      <w:r>
        <w:rPr>
          <w:iCs/>
          <w:lang w:eastAsia="en-GB"/>
        </w:rPr>
        <w:tab/>
      </w:r>
      <w:r w:rsidRPr="00A3411F">
        <w:rPr>
          <w:iCs/>
          <w:lang w:eastAsia="en-GB"/>
        </w:rPr>
        <w:t>I</w:t>
      </w:r>
      <w:r>
        <w:rPr>
          <w:iCs/>
          <w:lang w:eastAsia="en-GB"/>
        </w:rPr>
        <w:t>n addition</w:t>
      </w:r>
      <w:r w:rsidRPr="00A3411F">
        <w:rPr>
          <w:iCs/>
          <w:lang w:eastAsia="en-GB"/>
        </w:rPr>
        <w:t>, it is proposed</w:t>
      </w:r>
      <w:r>
        <w:rPr>
          <w:iCs/>
          <w:lang w:eastAsia="en-GB"/>
        </w:rPr>
        <w:t xml:space="preserve"> to i</w:t>
      </w:r>
      <w:r w:rsidRPr="00A3411F">
        <w:t>ntroduce the following new definition in 1.2.1</w:t>
      </w:r>
      <w:r w:rsidRPr="00A3411F">
        <w:rPr>
          <w:iCs/>
          <w:lang w:eastAsia="en-GB"/>
        </w:rPr>
        <w:t>:</w:t>
      </w:r>
    </w:p>
    <w:p w14:paraId="44CF9637" w14:textId="3453EFAB" w:rsidR="00D74CC0" w:rsidRPr="00EA4DF4" w:rsidRDefault="00BB1315" w:rsidP="00D74CC0">
      <w:pPr>
        <w:ind w:left="1701" w:right="1134"/>
        <w:jc w:val="both"/>
        <w:rPr>
          <w:u w:val="single"/>
          <w:lang w:val="en-US"/>
        </w:rPr>
      </w:pPr>
      <w:r w:rsidRPr="008A393A">
        <w:rPr>
          <w:iCs/>
          <w:lang w:eastAsia="en-GB"/>
        </w:rPr>
        <w:t>“</w:t>
      </w:r>
      <w:r w:rsidR="00D74CC0" w:rsidRPr="00EA4DF4">
        <w:rPr>
          <w:i/>
          <w:iCs/>
          <w:u w:val="single"/>
          <w:lang w:val="en-US" w:eastAsia="en-GB"/>
        </w:rPr>
        <w:t>Release device</w:t>
      </w:r>
      <w:r w:rsidR="00D74CC0" w:rsidRPr="00EA4DF4">
        <w:rPr>
          <w:iCs/>
          <w:u w:val="single"/>
          <w:lang w:val="en-US" w:eastAsia="en-GB"/>
        </w:rPr>
        <w:t xml:space="preserve"> </w:t>
      </w:r>
      <w:r w:rsidR="00D74CC0" w:rsidRPr="00EA4DF4">
        <w:rPr>
          <w:u w:val="single"/>
          <w:lang w:val="en-US" w:eastAsia="en-GB"/>
        </w:rPr>
        <w:t>means a device that is part of a non-refillable receptacle design and fitted to its valve to open the valve and release the contents</w:t>
      </w:r>
      <w:r w:rsidR="00D74CC0" w:rsidRPr="00EA4DF4">
        <w:rPr>
          <w:u w:val="single"/>
          <w:lang w:val="en-US"/>
        </w:rPr>
        <w:t>.</w:t>
      </w:r>
    </w:p>
    <w:p w14:paraId="46E0609D" w14:textId="77777777" w:rsidR="00D74CC0" w:rsidRDefault="00D74CC0" w:rsidP="00FF50F6">
      <w:pPr>
        <w:suppressAutoHyphens w:val="0"/>
        <w:spacing w:before="240" w:line="240" w:lineRule="auto"/>
        <w:ind w:left="1701" w:right="1134"/>
        <w:jc w:val="both"/>
        <w:rPr>
          <w:lang w:val="en-US" w:eastAsia="en-GB"/>
        </w:rPr>
      </w:pPr>
      <w:r w:rsidRPr="00EA4DF4">
        <w:rPr>
          <w:u w:val="single"/>
          <w:lang w:val="en-US"/>
        </w:rPr>
        <w:t>Note: For UN 1950 aerosols, the release device is typically an actuator or a spray cap</w:t>
      </w:r>
      <w:r w:rsidRPr="00EA4DF4">
        <w:rPr>
          <w:u w:val="single"/>
          <w:lang w:val="en-US" w:eastAsia="en-GB"/>
        </w:rPr>
        <w:t>.</w:t>
      </w:r>
      <w:r w:rsidRPr="00A3411F">
        <w:rPr>
          <w:lang w:val="en-US" w:eastAsia="en-GB"/>
        </w:rPr>
        <w:t>”</w:t>
      </w:r>
    </w:p>
    <w:p w14:paraId="4CF548EC" w14:textId="77777777" w:rsidR="00D74CC0" w:rsidRPr="00A3411F" w:rsidRDefault="00D74CC0" w:rsidP="00FF50F6">
      <w:pPr>
        <w:suppressAutoHyphens w:val="0"/>
        <w:spacing w:before="240" w:line="240" w:lineRule="auto"/>
        <w:ind w:left="1701" w:right="1134"/>
        <w:jc w:val="both"/>
        <w:rPr>
          <w:i/>
          <w:lang w:eastAsia="en-GB"/>
        </w:rPr>
      </w:pPr>
      <w:r>
        <w:rPr>
          <w:i/>
          <w:lang w:eastAsia="en-GB"/>
        </w:rPr>
        <w:t>[</w:t>
      </w:r>
      <w:r w:rsidRPr="00A3411F">
        <w:rPr>
          <w:i/>
          <w:lang w:eastAsia="en-GB"/>
        </w:rPr>
        <w:t>Justification: This definition is necessary to distinguish between UN 1950 and UN 2037 because the presence of this device is</w:t>
      </w:r>
      <w:r>
        <w:rPr>
          <w:i/>
          <w:lang w:eastAsia="en-GB"/>
        </w:rPr>
        <w:t xml:space="preserve"> supposed to be</w:t>
      </w:r>
      <w:r w:rsidRPr="00A3411F">
        <w:rPr>
          <w:i/>
          <w:lang w:eastAsia="en-GB"/>
        </w:rPr>
        <w:t xml:space="preserve"> the main difference. The proposed definition also fits to UN 3150 where the same term is used.</w:t>
      </w:r>
    </w:p>
    <w:p w14:paraId="6037C8EF" w14:textId="309A8270" w:rsidR="00D74CC0" w:rsidRPr="00A3411F" w:rsidRDefault="00D74CC0" w:rsidP="00FF50F6">
      <w:pPr>
        <w:suppressAutoHyphens w:val="0"/>
        <w:spacing w:before="240" w:line="240" w:lineRule="auto"/>
        <w:ind w:left="1701" w:right="1134"/>
        <w:jc w:val="both"/>
        <w:rPr>
          <w:iCs/>
          <w:lang w:eastAsia="en-GB"/>
        </w:rPr>
      </w:pPr>
      <w:r w:rsidRPr="00A3411F">
        <w:rPr>
          <w:i/>
          <w:lang w:eastAsia="en-GB"/>
        </w:rPr>
        <w:t xml:space="preserve">With this definition, the receptacle given in Figure 1 </w:t>
      </w:r>
      <w:r w:rsidR="00036D77">
        <w:rPr>
          <w:i/>
          <w:lang w:eastAsia="en-GB"/>
        </w:rPr>
        <w:t xml:space="preserve">above </w:t>
      </w:r>
      <w:r w:rsidRPr="00A3411F">
        <w:rPr>
          <w:i/>
          <w:lang w:eastAsia="en-GB"/>
        </w:rPr>
        <w:t xml:space="preserve">will have to be classified as a </w:t>
      </w:r>
      <w:r>
        <w:rPr>
          <w:i/>
          <w:lang w:eastAsia="en-GB"/>
        </w:rPr>
        <w:t>UN 2037 receptacle, small, containing gas</w:t>
      </w:r>
      <w:r w:rsidRPr="00A3411F">
        <w:rPr>
          <w:i/>
          <w:lang w:eastAsia="en-GB"/>
        </w:rPr>
        <w:t xml:space="preserve"> </w:t>
      </w:r>
      <w:r>
        <w:rPr>
          <w:i/>
          <w:lang w:eastAsia="en-GB"/>
        </w:rPr>
        <w:t xml:space="preserve">(gas cartridge) </w:t>
      </w:r>
      <w:r w:rsidRPr="00A3411F">
        <w:rPr>
          <w:i/>
          <w:lang w:eastAsia="en-GB"/>
        </w:rPr>
        <w:t xml:space="preserve">and not as </w:t>
      </w:r>
      <w:r>
        <w:rPr>
          <w:i/>
          <w:lang w:eastAsia="en-GB"/>
        </w:rPr>
        <w:t>UN 1950</w:t>
      </w:r>
      <w:r w:rsidRPr="00A3411F">
        <w:rPr>
          <w:i/>
          <w:lang w:eastAsia="en-GB"/>
        </w:rPr>
        <w:t xml:space="preserve"> aerosol</w:t>
      </w:r>
      <w:r>
        <w:rPr>
          <w:i/>
          <w:lang w:eastAsia="en-GB"/>
        </w:rPr>
        <w:t>.]</w:t>
      </w:r>
    </w:p>
    <w:p w14:paraId="57245642" w14:textId="328ACA52" w:rsidR="00D74CC0" w:rsidRPr="00A3411F" w:rsidRDefault="00D74CC0" w:rsidP="00D74CC0">
      <w:pPr>
        <w:pStyle w:val="HChG"/>
      </w:pPr>
      <w:r w:rsidRPr="00A3411F">
        <w:tab/>
      </w:r>
      <w:r w:rsidRPr="00A3411F">
        <w:tab/>
        <w:t xml:space="preserve">Proposal </w:t>
      </w:r>
      <w:r w:rsidRPr="00D2070D">
        <w:t>2</w:t>
      </w:r>
      <w:r>
        <w:t>: H</w:t>
      </w:r>
      <w:r w:rsidRPr="00A3411F">
        <w:t>armonization of term</w:t>
      </w:r>
      <w:r>
        <w:t>inology</w:t>
      </w:r>
    </w:p>
    <w:p w14:paraId="280E0F39" w14:textId="352EFCC0" w:rsidR="00D74CC0" w:rsidRPr="00A3411F" w:rsidRDefault="00D74CC0" w:rsidP="00D74CC0">
      <w:pPr>
        <w:pStyle w:val="SingleTxtG"/>
      </w:pPr>
      <w:r>
        <w:t>11</w:t>
      </w:r>
      <w:r w:rsidRPr="00A3411F">
        <w:t>.</w:t>
      </w:r>
      <w:r w:rsidRPr="00A3411F">
        <w:tab/>
        <w:t xml:space="preserve">It is proposed to harmonize </w:t>
      </w:r>
      <w:r>
        <w:t xml:space="preserve">the terminology </w:t>
      </w:r>
      <w:r w:rsidRPr="00A3411F">
        <w:t xml:space="preserve">for UN 2037 by </w:t>
      </w:r>
      <w:r>
        <w:t>using</w:t>
      </w:r>
      <w:r w:rsidRPr="00A3411F">
        <w:t xml:space="preserve"> </w:t>
      </w:r>
      <w:r>
        <w:t xml:space="preserve">one of following terms: </w:t>
      </w:r>
      <w:r w:rsidR="00D655E3" w:rsidRPr="008A393A">
        <w:rPr>
          <w:iCs/>
          <w:lang w:eastAsia="en-GB"/>
        </w:rPr>
        <w:t>“</w:t>
      </w:r>
      <w:r w:rsidRPr="008F46D5">
        <w:t>UN 2037”, “receptacles, small, containing gas (gas cartridges)</w:t>
      </w:r>
      <w:r w:rsidR="00A25A14" w:rsidRPr="00A3411F">
        <w:rPr>
          <w:lang w:val="en-US" w:eastAsia="en-GB"/>
        </w:rPr>
        <w:t>”</w:t>
      </w:r>
      <w:r>
        <w:t xml:space="preserve"> or “gas cartridges”</w:t>
      </w:r>
      <w:r w:rsidRPr="00A3411F">
        <w:t xml:space="preserve"> throughout </w:t>
      </w:r>
      <w:r>
        <w:t xml:space="preserve">the </w:t>
      </w:r>
      <w:r w:rsidRPr="00A3411F">
        <w:t>complete Model Regulations.</w:t>
      </w:r>
    </w:p>
    <w:p w14:paraId="3E6AD11A" w14:textId="77777777" w:rsidR="00D74CC0" w:rsidRDefault="00D74CC0" w:rsidP="006872C0">
      <w:pPr>
        <w:suppressAutoHyphens w:val="0"/>
        <w:spacing w:line="240" w:lineRule="auto"/>
        <w:ind w:left="1701" w:right="1134"/>
        <w:jc w:val="both"/>
        <w:rPr>
          <w:i/>
          <w:lang w:eastAsia="en-GB"/>
        </w:rPr>
      </w:pPr>
      <w:r>
        <w:rPr>
          <w:i/>
          <w:lang w:eastAsia="en-GB"/>
        </w:rPr>
        <w:t>[</w:t>
      </w:r>
      <w:r w:rsidRPr="00A3411F">
        <w:rPr>
          <w:i/>
          <w:lang w:eastAsia="en-GB"/>
        </w:rPr>
        <w:t>Justification: This proposal will eliminate current use of different terms for this type of receptacle</w:t>
      </w:r>
      <w:r>
        <w:rPr>
          <w:i/>
          <w:lang w:eastAsia="en-GB"/>
        </w:rPr>
        <w:t xml:space="preserve"> by using the one given in 3.2.2 Dangerous Goods List of the Model Regulations</w:t>
      </w:r>
      <w:r w:rsidRPr="00A3411F">
        <w:rPr>
          <w:i/>
          <w:lang w:eastAsia="en-GB"/>
        </w:rPr>
        <w:t>.</w:t>
      </w:r>
      <w:r>
        <w:rPr>
          <w:i/>
          <w:lang w:eastAsia="en-GB"/>
        </w:rPr>
        <w:t>]</w:t>
      </w:r>
    </w:p>
    <w:p w14:paraId="3AA69333" w14:textId="75803324" w:rsidR="00D74CC0" w:rsidRPr="007C706B" w:rsidRDefault="00D74CC0" w:rsidP="006872C0">
      <w:pPr>
        <w:pStyle w:val="SingleTxtG"/>
        <w:spacing w:before="240"/>
        <w:rPr>
          <w:lang w:eastAsia="en-GB"/>
        </w:rPr>
      </w:pPr>
      <w:r>
        <w:rPr>
          <w:lang w:eastAsia="en-GB"/>
        </w:rPr>
        <w:t>12.</w:t>
      </w:r>
      <w:r>
        <w:rPr>
          <w:lang w:eastAsia="en-GB"/>
        </w:rPr>
        <w:tab/>
      </w:r>
      <w:r w:rsidR="00E91654">
        <w:rPr>
          <w:lang w:eastAsia="en-GB"/>
        </w:rPr>
        <w:t>To</w:t>
      </w:r>
      <w:r>
        <w:rPr>
          <w:lang w:eastAsia="en-GB"/>
        </w:rPr>
        <w:t xml:space="preserve"> harmonize the terminology for UN 2037 the following amendments are proposed:</w:t>
      </w:r>
    </w:p>
    <w:p w14:paraId="5A3DA42F" w14:textId="43177214" w:rsidR="00640608" w:rsidRDefault="00D74CC0" w:rsidP="00E91654">
      <w:pPr>
        <w:pStyle w:val="SingleTxtG"/>
        <w:rPr>
          <w:i/>
          <w:lang w:eastAsia="en-GB"/>
        </w:rPr>
      </w:pPr>
      <w:r>
        <w:rPr>
          <w:i/>
          <w:lang w:eastAsia="en-GB"/>
        </w:rPr>
        <w:tab/>
      </w:r>
      <w:r w:rsidR="00640608">
        <w:rPr>
          <w:i/>
          <w:lang w:eastAsia="en-GB"/>
        </w:rPr>
        <w:br w:type="page"/>
      </w:r>
    </w:p>
    <w:p w14:paraId="2FBF4243" w14:textId="5CAFAAF0" w:rsidR="00D74CC0" w:rsidRDefault="00D74CC0" w:rsidP="00640608">
      <w:pPr>
        <w:pStyle w:val="SingleTxtG"/>
        <w:rPr>
          <w:lang w:eastAsia="en-GB"/>
        </w:rPr>
      </w:pPr>
      <w:r>
        <w:rPr>
          <w:lang w:eastAsia="en-GB"/>
        </w:rPr>
        <w:t>13.</w:t>
      </w:r>
      <w:r>
        <w:rPr>
          <w:lang w:eastAsia="en-GB"/>
        </w:rPr>
        <w:tab/>
      </w:r>
      <w:r w:rsidRPr="007C706B">
        <w:rPr>
          <w:lang w:eastAsia="en-GB"/>
        </w:rPr>
        <w:t>In 3.3.1 amend the text of special provision 191 as follows:</w:t>
      </w:r>
    </w:p>
    <w:p w14:paraId="462747A2" w14:textId="77777777" w:rsidR="00D74CC0" w:rsidRDefault="00D74CC0" w:rsidP="00D74CC0">
      <w:pPr>
        <w:suppressAutoHyphens w:val="0"/>
        <w:spacing w:line="240" w:lineRule="auto"/>
        <w:ind w:left="2268" w:right="1134" w:hanging="567"/>
        <w:jc w:val="both"/>
        <w:rPr>
          <w:i/>
          <w:lang w:val="en-US" w:eastAsia="en-GB"/>
        </w:rPr>
      </w:pPr>
      <w:r w:rsidRPr="00326958">
        <w:rPr>
          <w:i/>
          <w:lang w:val="en-US" w:eastAsia="en-GB"/>
        </w:rPr>
        <w:t xml:space="preserve">“191 </w:t>
      </w:r>
      <w:r>
        <w:rPr>
          <w:i/>
          <w:lang w:val="en-US" w:eastAsia="en-GB"/>
        </w:rPr>
        <w:tab/>
      </w:r>
      <w:r w:rsidRPr="005756E8">
        <w:rPr>
          <w:i/>
          <w:strike/>
          <w:lang w:val="en-US" w:eastAsia="en-GB"/>
        </w:rPr>
        <w:t xml:space="preserve">Receptacles, small, containing gas </w:t>
      </w:r>
      <w:r w:rsidRPr="005756E8">
        <w:rPr>
          <w:i/>
          <w:u w:val="single"/>
          <w:lang w:val="en-US" w:eastAsia="en-GB"/>
        </w:rPr>
        <w:t>Gas cartridges</w:t>
      </w:r>
      <w:r w:rsidRPr="00326958">
        <w:rPr>
          <w:i/>
          <w:lang w:val="en-US" w:eastAsia="en-GB"/>
        </w:rPr>
        <w:t xml:space="preserve"> are not fitte</w:t>
      </w:r>
      <w:r>
        <w:rPr>
          <w:i/>
          <w:lang w:val="en-US" w:eastAsia="en-GB"/>
        </w:rPr>
        <w:t xml:space="preserve">d with a release device. </w:t>
      </w:r>
      <w:r w:rsidRPr="005756E8">
        <w:rPr>
          <w:i/>
          <w:strike/>
          <w:lang w:val="en-US" w:eastAsia="en-GB"/>
        </w:rPr>
        <w:t xml:space="preserve">Receptacles </w:t>
      </w:r>
      <w:r w:rsidRPr="005756E8">
        <w:rPr>
          <w:i/>
          <w:u w:val="single"/>
          <w:lang w:val="en-US" w:eastAsia="en-GB"/>
        </w:rPr>
        <w:t xml:space="preserve">Gas </w:t>
      </w:r>
      <w:r>
        <w:rPr>
          <w:i/>
          <w:u w:val="single"/>
          <w:lang w:val="en-US" w:eastAsia="en-GB"/>
        </w:rPr>
        <w:t>c</w:t>
      </w:r>
      <w:r w:rsidRPr="005756E8">
        <w:rPr>
          <w:i/>
          <w:u w:val="single"/>
          <w:lang w:val="en-US" w:eastAsia="en-GB"/>
        </w:rPr>
        <w:t>artridges</w:t>
      </w:r>
      <w:r>
        <w:rPr>
          <w:i/>
          <w:lang w:val="en-US" w:eastAsia="en-GB"/>
        </w:rPr>
        <w:t xml:space="preserve"> with a capacity not exceeding 50 ml containing only non-toxic constituents are not subject to the Regulations.”</w:t>
      </w:r>
    </w:p>
    <w:p w14:paraId="099140DD" w14:textId="77777777" w:rsidR="00D74CC0" w:rsidRPr="007C706B" w:rsidRDefault="00D74CC0" w:rsidP="006872C0">
      <w:pPr>
        <w:suppressAutoHyphens w:val="0"/>
        <w:spacing w:before="240" w:line="240" w:lineRule="auto"/>
        <w:ind w:left="567" w:right="1134" w:firstLine="567"/>
        <w:jc w:val="both"/>
        <w:rPr>
          <w:lang w:val="en-US" w:eastAsia="en-GB"/>
        </w:rPr>
      </w:pPr>
      <w:r>
        <w:rPr>
          <w:lang w:val="en-US" w:eastAsia="en-GB"/>
        </w:rPr>
        <w:t>14.</w:t>
      </w:r>
      <w:r>
        <w:rPr>
          <w:lang w:val="en-US" w:eastAsia="en-GB"/>
        </w:rPr>
        <w:tab/>
      </w:r>
      <w:r w:rsidRPr="007C706B">
        <w:rPr>
          <w:lang w:val="en-US" w:eastAsia="en-GB"/>
        </w:rPr>
        <w:t>In 3.3.1 amend the text of special provision 277 as follows:</w:t>
      </w:r>
    </w:p>
    <w:p w14:paraId="44F2909A" w14:textId="173CA8FD" w:rsidR="00D74CC0" w:rsidRDefault="00D74CC0" w:rsidP="006872C0">
      <w:pPr>
        <w:suppressAutoHyphens w:val="0"/>
        <w:spacing w:before="240" w:line="240" w:lineRule="auto"/>
        <w:ind w:left="2268" w:right="1134" w:hanging="567"/>
        <w:jc w:val="both"/>
        <w:rPr>
          <w:i/>
          <w:lang w:eastAsia="en-GB"/>
        </w:rPr>
      </w:pPr>
      <w:r>
        <w:rPr>
          <w:i/>
          <w:lang w:eastAsia="en-GB"/>
        </w:rPr>
        <w:t>“277</w:t>
      </w:r>
      <w:r>
        <w:rPr>
          <w:i/>
          <w:lang w:eastAsia="en-GB"/>
        </w:rPr>
        <w:tab/>
        <w:t xml:space="preserve">For aerosols or </w:t>
      </w:r>
      <w:r w:rsidRPr="00016432">
        <w:rPr>
          <w:i/>
          <w:strike/>
          <w:lang w:eastAsia="en-GB"/>
        </w:rPr>
        <w:t>receptacles</w:t>
      </w:r>
      <w:r>
        <w:rPr>
          <w:i/>
          <w:lang w:eastAsia="en-GB"/>
        </w:rPr>
        <w:t xml:space="preserve"> </w:t>
      </w:r>
      <w:r w:rsidRPr="005756E8">
        <w:rPr>
          <w:i/>
          <w:u w:val="single"/>
          <w:lang w:eastAsia="en-GB"/>
        </w:rPr>
        <w:t>gas cartridges</w:t>
      </w:r>
      <w:r>
        <w:rPr>
          <w:i/>
          <w:lang w:eastAsia="en-GB"/>
        </w:rPr>
        <w:t xml:space="preserve"> containing toxic substances the limited quantity value is 120 ml. For all other aerosols or </w:t>
      </w:r>
      <w:r w:rsidRPr="00016432">
        <w:rPr>
          <w:i/>
          <w:strike/>
          <w:lang w:eastAsia="en-GB"/>
        </w:rPr>
        <w:t>receptacles</w:t>
      </w:r>
      <w:r>
        <w:rPr>
          <w:i/>
          <w:lang w:eastAsia="en-GB"/>
        </w:rPr>
        <w:t xml:space="preserve"> </w:t>
      </w:r>
      <w:r w:rsidRPr="005756E8">
        <w:rPr>
          <w:i/>
          <w:u w:val="single"/>
          <w:lang w:eastAsia="en-GB"/>
        </w:rPr>
        <w:t>gas cartridges</w:t>
      </w:r>
      <w:r>
        <w:rPr>
          <w:i/>
          <w:lang w:eastAsia="en-GB"/>
        </w:rPr>
        <w:t xml:space="preserve"> the limited quantity value is 1 000 ml.”</w:t>
      </w:r>
    </w:p>
    <w:p w14:paraId="722C2512" w14:textId="4463CF15" w:rsidR="00D74CC0" w:rsidRDefault="00D74CC0" w:rsidP="006872C0">
      <w:pPr>
        <w:suppressAutoHyphens w:val="0"/>
        <w:spacing w:before="240" w:line="240" w:lineRule="auto"/>
        <w:ind w:left="567" w:right="1134" w:firstLine="567"/>
        <w:jc w:val="both"/>
        <w:rPr>
          <w:lang w:eastAsia="en-GB"/>
        </w:rPr>
      </w:pPr>
      <w:r>
        <w:rPr>
          <w:lang w:eastAsia="en-GB"/>
        </w:rPr>
        <w:t>15.</w:t>
      </w:r>
      <w:r>
        <w:rPr>
          <w:lang w:eastAsia="en-GB"/>
        </w:rPr>
        <w:tab/>
        <w:t>In 3.3.1 amend the text of special provision 303 as follows:</w:t>
      </w:r>
    </w:p>
    <w:p w14:paraId="180CE6C3" w14:textId="28996358" w:rsidR="00D74CC0" w:rsidRDefault="00D74CC0" w:rsidP="006872C0">
      <w:pPr>
        <w:suppressAutoHyphens w:val="0"/>
        <w:spacing w:before="240" w:line="240" w:lineRule="auto"/>
        <w:ind w:left="2268" w:right="1134" w:hanging="567"/>
        <w:jc w:val="both"/>
        <w:rPr>
          <w:i/>
          <w:lang w:eastAsia="en-GB"/>
        </w:rPr>
      </w:pPr>
      <w:r>
        <w:rPr>
          <w:i/>
          <w:lang w:eastAsia="en-GB"/>
        </w:rPr>
        <w:t>“303</w:t>
      </w:r>
      <w:r>
        <w:rPr>
          <w:i/>
          <w:lang w:eastAsia="en-GB"/>
        </w:rPr>
        <w:tab/>
      </w:r>
      <w:r w:rsidRPr="00016432">
        <w:rPr>
          <w:i/>
          <w:strike/>
          <w:lang w:eastAsia="en-GB"/>
        </w:rPr>
        <w:t>Receptacles</w:t>
      </w:r>
      <w:r w:rsidR="00A072E6">
        <w:rPr>
          <w:i/>
          <w:strike/>
          <w:lang w:eastAsia="en-GB"/>
        </w:rPr>
        <w:t xml:space="preserve"> </w:t>
      </w:r>
      <w:r w:rsidRPr="005756E8">
        <w:rPr>
          <w:i/>
          <w:u w:val="single"/>
          <w:lang w:eastAsia="en-GB"/>
        </w:rPr>
        <w:t>Gas cartridges</w:t>
      </w:r>
      <w:r>
        <w:rPr>
          <w:i/>
          <w:lang w:eastAsia="en-GB"/>
        </w:rPr>
        <w:t xml:space="preserve"> shall be assigned to the division and, if any, subsidiary hazard of the gas or mixture of gases contained therein determined in accordance with the provisions of Chapter 2.2.”</w:t>
      </w:r>
    </w:p>
    <w:p w14:paraId="33AC2E36" w14:textId="4D08E850" w:rsidR="00D74CC0" w:rsidRDefault="00D74CC0" w:rsidP="006872C0">
      <w:pPr>
        <w:suppressAutoHyphens w:val="0"/>
        <w:spacing w:before="240" w:line="240" w:lineRule="auto"/>
        <w:ind w:left="567" w:right="1134" w:firstLine="567"/>
        <w:jc w:val="both"/>
        <w:rPr>
          <w:lang w:eastAsia="en-GB"/>
        </w:rPr>
      </w:pPr>
      <w:r>
        <w:rPr>
          <w:lang w:eastAsia="en-GB"/>
        </w:rPr>
        <w:t>16.</w:t>
      </w:r>
      <w:r>
        <w:rPr>
          <w:lang w:eastAsia="en-GB"/>
        </w:rPr>
        <w:tab/>
      </w:r>
      <w:r w:rsidRPr="00972944">
        <w:rPr>
          <w:lang w:eastAsia="en-GB"/>
        </w:rPr>
        <w:t>In 3.4.2 amend the text of the fourth sentence as follows:</w:t>
      </w:r>
    </w:p>
    <w:p w14:paraId="0F0DAC09" w14:textId="39C2A127" w:rsidR="00D74CC0" w:rsidRDefault="00D74CC0" w:rsidP="006872C0">
      <w:pPr>
        <w:suppressAutoHyphens w:val="0"/>
        <w:spacing w:before="240" w:line="240" w:lineRule="auto"/>
        <w:ind w:left="1701" w:right="1134"/>
        <w:jc w:val="both"/>
        <w:rPr>
          <w:i/>
          <w:lang w:eastAsia="en-GB"/>
        </w:rPr>
      </w:pPr>
      <w:r>
        <w:rPr>
          <w:i/>
          <w:lang w:eastAsia="en-GB"/>
        </w:rPr>
        <w:t xml:space="preserve">“The use of inner packagings is not necessary for the transport of articles such as aerosols or </w:t>
      </w:r>
      <w:r w:rsidRPr="005756E8">
        <w:rPr>
          <w:i/>
          <w:strike/>
          <w:lang w:eastAsia="en-GB"/>
        </w:rPr>
        <w:t>“receptacles, small, containing gas”</w:t>
      </w:r>
      <w:r>
        <w:rPr>
          <w:i/>
          <w:lang w:eastAsia="en-GB"/>
        </w:rPr>
        <w:t xml:space="preserve"> </w:t>
      </w:r>
      <w:r w:rsidRPr="005756E8">
        <w:rPr>
          <w:i/>
          <w:u w:val="single"/>
          <w:lang w:eastAsia="en-GB"/>
        </w:rPr>
        <w:t>gas cartridges</w:t>
      </w:r>
      <w:r>
        <w:rPr>
          <w:i/>
          <w:lang w:eastAsia="en-GB"/>
        </w:rPr>
        <w:t>.</w:t>
      </w:r>
      <w:r w:rsidR="00B9142C">
        <w:rPr>
          <w:i/>
          <w:lang w:eastAsia="en-GB"/>
        </w:rPr>
        <w:t>”</w:t>
      </w:r>
    </w:p>
    <w:p w14:paraId="40F22E02" w14:textId="77777777" w:rsidR="00D74CC0" w:rsidRDefault="00D74CC0" w:rsidP="006872C0">
      <w:pPr>
        <w:suppressAutoHyphens w:val="0"/>
        <w:spacing w:before="240" w:line="240" w:lineRule="auto"/>
        <w:ind w:left="567" w:right="1134" w:firstLine="567"/>
        <w:jc w:val="both"/>
        <w:rPr>
          <w:lang w:eastAsia="en-GB"/>
        </w:rPr>
      </w:pPr>
      <w:r>
        <w:rPr>
          <w:lang w:eastAsia="en-GB"/>
        </w:rPr>
        <w:t>17.</w:t>
      </w:r>
      <w:r>
        <w:rPr>
          <w:lang w:eastAsia="en-GB"/>
        </w:rPr>
        <w:tab/>
        <w:t xml:space="preserve">In 6.2.4.2.3 amend the text of the first sentence as follows: </w:t>
      </w:r>
    </w:p>
    <w:p w14:paraId="00E85E7D" w14:textId="1C104CA5" w:rsidR="00D74CC0" w:rsidRPr="00972944" w:rsidRDefault="00D74CC0" w:rsidP="006872C0">
      <w:pPr>
        <w:suppressAutoHyphens w:val="0"/>
        <w:spacing w:before="240" w:line="240" w:lineRule="auto"/>
        <w:ind w:left="1701" w:right="1134"/>
        <w:jc w:val="both"/>
        <w:rPr>
          <w:i/>
          <w:lang w:eastAsia="en-GB"/>
        </w:rPr>
      </w:pPr>
      <w:r>
        <w:rPr>
          <w:i/>
          <w:lang w:eastAsia="en-GB"/>
        </w:rPr>
        <w:t>“6.2.4.2.3</w:t>
      </w:r>
      <w:r>
        <w:rPr>
          <w:i/>
          <w:lang w:eastAsia="en-GB"/>
        </w:rPr>
        <w:tab/>
        <w:t xml:space="preserve">With the approval of the competent authority, aerosols and </w:t>
      </w:r>
      <w:r w:rsidRPr="005756E8">
        <w:rPr>
          <w:i/>
          <w:strike/>
          <w:lang w:eastAsia="en-GB"/>
        </w:rPr>
        <w:t>receptacles, small,</w:t>
      </w:r>
      <w:r>
        <w:rPr>
          <w:i/>
          <w:lang w:eastAsia="en-GB"/>
        </w:rPr>
        <w:t xml:space="preserve"> </w:t>
      </w:r>
      <w:r w:rsidRPr="005756E8">
        <w:rPr>
          <w:i/>
          <w:u w:val="single"/>
          <w:lang w:eastAsia="en-GB"/>
        </w:rPr>
        <w:t>gas cartridges</w:t>
      </w:r>
      <w:r>
        <w:rPr>
          <w:i/>
          <w:lang w:eastAsia="en-GB"/>
        </w:rPr>
        <w:t xml:space="preserve"> are not subject to 6.2.4.2.1 and 6.2.4.2.2, if they are required to be sterile but may be adversely affected by water bath testing, provided:”</w:t>
      </w:r>
    </w:p>
    <w:p w14:paraId="6D7D81DA" w14:textId="77777777" w:rsidR="00D74CC0" w:rsidRPr="00A3411F" w:rsidRDefault="00D74CC0" w:rsidP="00D74CC0">
      <w:pPr>
        <w:pStyle w:val="HChG"/>
      </w:pPr>
      <w:r w:rsidRPr="00A3411F">
        <w:tab/>
      </w:r>
      <w:r w:rsidRPr="00A3411F">
        <w:tab/>
        <w:t>Proposa</w:t>
      </w:r>
      <w:r w:rsidRPr="00D2070D">
        <w:t>l 3</w:t>
      </w:r>
      <w:r>
        <w:t>:</w:t>
      </w:r>
      <w:bookmarkStart w:id="1" w:name="_Hlk45282809"/>
      <w:r>
        <w:t xml:space="preserve"> I</w:t>
      </w:r>
      <w:r w:rsidRPr="00D2070D">
        <w:t>ntro</w:t>
      </w:r>
      <w:r w:rsidRPr="00A3411F">
        <w:t>duction of marking requirements for</w:t>
      </w:r>
      <w:bookmarkEnd w:id="1"/>
      <w:r w:rsidRPr="00EA4DF4">
        <w:t xml:space="preserve"> </w:t>
      </w:r>
      <w:bookmarkStart w:id="2" w:name="_Hlk106603924"/>
      <w:r w:rsidRPr="00EA4DF4">
        <w:t>receptacles, small, containing gas (gas cartridges)</w:t>
      </w:r>
      <w:bookmarkEnd w:id="2"/>
    </w:p>
    <w:p w14:paraId="02EB7AFE" w14:textId="77777777" w:rsidR="00D74CC0" w:rsidRPr="00A3411F" w:rsidRDefault="00D74CC0" w:rsidP="00D74CC0">
      <w:pPr>
        <w:pStyle w:val="SingleTxtG"/>
      </w:pPr>
      <w:r w:rsidRPr="00A3411F">
        <w:t>1</w:t>
      </w:r>
      <w:r>
        <w:t>8</w:t>
      </w:r>
      <w:r w:rsidRPr="00A3411F">
        <w:t>.</w:t>
      </w:r>
      <w:r w:rsidRPr="00A3411F">
        <w:tab/>
        <w:t>Introduce the following text at the end of 6.2.4:</w:t>
      </w:r>
    </w:p>
    <w:p w14:paraId="1EDA056B" w14:textId="6C6B2874" w:rsidR="00D74CC0" w:rsidRPr="007A1125" w:rsidRDefault="00A25A14" w:rsidP="00D74CC0">
      <w:pPr>
        <w:pStyle w:val="SingleTxtG"/>
        <w:ind w:left="1701"/>
        <w:rPr>
          <w:u w:val="single"/>
        </w:rPr>
      </w:pPr>
      <w:r w:rsidRPr="008A393A">
        <w:rPr>
          <w:iCs/>
          <w:lang w:eastAsia="en-GB"/>
        </w:rPr>
        <w:t>“</w:t>
      </w:r>
      <w:r w:rsidR="00D74CC0" w:rsidRPr="007A1125">
        <w:rPr>
          <w:u w:val="single"/>
        </w:rPr>
        <w:t>6.2.4.3</w:t>
      </w:r>
      <w:r w:rsidR="00C35C24">
        <w:rPr>
          <w:u w:val="single"/>
        </w:rPr>
        <w:tab/>
      </w:r>
      <w:r w:rsidR="00D74CC0" w:rsidRPr="007A1125">
        <w:rPr>
          <w:u w:val="single"/>
        </w:rPr>
        <w:t>Marking of gas cartridges</w:t>
      </w:r>
    </w:p>
    <w:p w14:paraId="2D0E949E" w14:textId="184A9FDB" w:rsidR="00D74CC0" w:rsidRPr="007A1125" w:rsidRDefault="00D74CC0" w:rsidP="00D74CC0">
      <w:pPr>
        <w:pStyle w:val="SingleTxtG"/>
        <w:ind w:left="1701"/>
        <w:rPr>
          <w:u w:val="single"/>
        </w:rPr>
      </w:pPr>
      <w:r w:rsidRPr="007A1125">
        <w:rPr>
          <w:u w:val="single"/>
        </w:rPr>
        <w:t>6.2.4.3.1</w:t>
      </w:r>
      <w:r w:rsidR="00C35C24">
        <w:rPr>
          <w:u w:val="single"/>
        </w:rPr>
        <w:tab/>
      </w:r>
      <w:r w:rsidRPr="007A1125">
        <w:rPr>
          <w:u w:val="single"/>
        </w:rPr>
        <w:t>Gas cartridges shall be marked clearly and legibly with certification and gas or gas cartridge specific marks. These marks shall be permanently affixed on the gas cartridge, e.g. by a label. Other marking methods are also acceptable in case it is guaranteed that they do not cause harmful stress to the gas cartridges.</w:t>
      </w:r>
    </w:p>
    <w:p w14:paraId="23684B77" w14:textId="06D69860" w:rsidR="00D74CC0" w:rsidRPr="007A1125" w:rsidRDefault="00D74CC0" w:rsidP="00D74CC0">
      <w:pPr>
        <w:pStyle w:val="SingleTxtG"/>
        <w:ind w:left="1701"/>
        <w:rPr>
          <w:u w:val="single"/>
        </w:rPr>
      </w:pPr>
      <w:r w:rsidRPr="007A1125">
        <w:rPr>
          <w:u w:val="single"/>
        </w:rPr>
        <w:t>6.2.4.3.2</w:t>
      </w:r>
      <w:r w:rsidR="00C35C24">
        <w:rPr>
          <w:u w:val="single"/>
        </w:rPr>
        <w:tab/>
      </w:r>
      <w:r w:rsidRPr="007A1125">
        <w:rPr>
          <w:u w:val="single"/>
        </w:rPr>
        <w:t>The following marks shall be applied in letters of at least 1.5 mm in height:</w:t>
      </w:r>
    </w:p>
    <w:p w14:paraId="7323D471" w14:textId="77777777" w:rsidR="00D74CC0" w:rsidRPr="007A1125" w:rsidRDefault="00D74CC0" w:rsidP="00D74CC0">
      <w:pPr>
        <w:pStyle w:val="SingleTxtG"/>
        <w:ind w:left="2127" w:hanging="426"/>
        <w:rPr>
          <w:u w:val="single"/>
        </w:rPr>
      </w:pPr>
      <w:r w:rsidRPr="007A1125">
        <w:rPr>
          <w:u w:val="single"/>
        </w:rPr>
        <w:t>(a)</w:t>
      </w:r>
      <w:r w:rsidRPr="007A1125">
        <w:rPr>
          <w:u w:val="single"/>
        </w:rPr>
        <w:tab/>
        <w:t>The technical standard or code or specification used for design, manufacture and testing, if applicable;</w:t>
      </w:r>
    </w:p>
    <w:p w14:paraId="4099E671" w14:textId="1CF7DAB9" w:rsidR="00D74CC0" w:rsidRPr="007A1125" w:rsidRDefault="00D74CC0" w:rsidP="002440B1">
      <w:pPr>
        <w:pStyle w:val="SingleTxtG"/>
        <w:ind w:left="2127" w:hanging="426"/>
        <w:rPr>
          <w:u w:val="single"/>
        </w:rPr>
      </w:pPr>
      <w:r w:rsidRPr="007A1125">
        <w:rPr>
          <w:u w:val="single"/>
        </w:rPr>
        <w:t>(b)</w:t>
      </w:r>
      <w:r w:rsidRPr="007A1125">
        <w:rPr>
          <w:u w:val="single"/>
        </w:rPr>
        <w:tab/>
        <w:t>The manufacturer's mark and the character(s) identifying the country of manufacture as indicated by the distinguishing sign used on vehicles in international road traffic, or the manufacturer’s code registered by the competent authority, if it provides information on the country of manufacture</w:t>
      </w:r>
      <w:r w:rsidR="00627292">
        <w:rPr>
          <w:u w:val="single"/>
        </w:rPr>
        <w:t>;</w:t>
      </w:r>
    </w:p>
    <w:p w14:paraId="6B2A4C66" w14:textId="77777777" w:rsidR="00D74CC0" w:rsidRPr="007A1125" w:rsidRDefault="00D74CC0" w:rsidP="00D74CC0">
      <w:pPr>
        <w:pStyle w:val="SingleTxtG"/>
        <w:ind w:left="2127" w:hanging="426"/>
        <w:rPr>
          <w:i/>
          <w:iCs/>
          <w:u w:val="single"/>
        </w:rPr>
      </w:pPr>
      <w:r w:rsidRPr="007A1125">
        <w:rPr>
          <w:u w:val="single"/>
        </w:rPr>
        <w:t>(c)</w:t>
      </w:r>
      <w:r w:rsidRPr="007A1125">
        <w:rPr>
          <w:u w:val="single"/>
        </w:rPr>
        <w:tab/>
        <w:t>Information on manufacturing year and month, e.g. by batch code or serial number assigned by the manufacturer;</w:t>
      </w:r>
    </w:p>
    <w:p w14:paraId="50C1CC9B" w14:textId="77777777" w:rsidR="00D74CC0" w:rsidRPr="007A1125" w:rsidRDefault="00D74CC0" w:rsidP="00D74CC0">
      <w:pPr>
        <w:pStyle w:val="SingleTxtG"/>
        <w:ind w:left="2127" w:hanging="426"/>
        <w:rPr>
          <w:u w:val="single"/>
        </w:rPr>
      </w:pPr>
      <w:r w:rsidRPr="007A1125">
        <w:rPr>
          <w:u w:val="single"/>
        </w:rPr>
        <w:t>(d)</w:t>
      </w:r>
      <w:r w:rsidRPr="007A1125">
        <w:rPr>
          <w:u w:val="single"/>
        </w:rPr>
        <w:tab/>
        <w:t>The nominal gas weight.</w:t>
      </w:r>
    </w:p>
    <w:p w14:paraId="35D33159" w14:textId="3F838FE1" w:rsidR="00D74CC0" w:rsidRPr="007A1125" w:rsidRDefault="00D74CC0" w:rsidP="00D74CC0">
      <w:pPr>
        <w:pStyle w:val="SingleTxtG"/>
        <w:ind w:left="1701"/>
        <w:rPr>
          <w:u w:val="single"/>
        </w:rPr>
      </w:pPr>
      <w:r w:rsidRPr="007A1125">
        <w:rPr>
          <w:u w:val="single"/>
        </w:rPr>
        <w:t>6.2.4.3.3</w:t>
      </w:r>
      <w:r w:rsidR="00EE3533">
        <w:rPr>
          <w:u w:val="single"/>
        </w:rPr>
        <w:tab/>
      </w:r>
      <w:r w:rsidRPr="007A1125">
        <w:rPr>
          <w:u w:val="single"/>
        </w:rPr>
        <w:t>In addition, the gas identification by name and/or chemical formula in letters of at least 3.0 mm in height are required.</w:t>
      </w:r>
    </w:p>
    <w:p w14:paraId="0218F169" w14:textId="131902F6" w:rsidR="00D74CC0" w:rsidRPr="00A3411F" w:rsidRDefault="00D74CC0" w:rsidP="00D74CC0">
      <w:pPr>
        <w:pStyle w:val="SingleTxtG"/>
        <w:spacing w:after="0"/>
        <w:ind w:left="1701"/>
      </w:pPr>
      <w:r w:rsidRPr="007A1125">
        <w:rPr>
          <w:u w:val="single"/>
        </w:rPr>
        <w:t>6.2.4.3.4</w:t>
      </w:r>
      <w:r w:rsidR="00EE3533">
        <w:rPr>
          <w:u w:val="single"/>
        </w:rPr>
        <w:tab/>
      </w:r>
      <w:r w:rsidRPr="007A1125">
        <w:rPr>
          <w:u w:val="single"/>
        </w:rPr>
        <w:t>Other marks are allowed if they don't conflict with the required marks.</w:t>
      </w:r>
      <w:r>
        <w:t>”</w:t>
      </w:r>
    </w:p>
    <w:p w14:paraId="0D01DF98" w14:textId="1448B573" w:rsidR="00D74CC0" w:rsidRPr="007A1125" w:rsidRDefault="00D74CC0" w:rsidP="006872C0">
      <w:pPr>
        <w:suppressAutoHyphens w:val="0"/>
        <w:spacing w:before="240" w:line="240" w:lineRule="auto"/>
        <w:ind w:left="1701" w:right="1179"/>
        <w:jc w:val="both"/>
        <w:rPr>
          <w:iCs/>
          <w:lang w:eastAsia="en-GB"/>
        </w:rPr>
      </w:pPr>
      <w:r>
        <w:rPr>
          <w:i/>
          <w:lang w:eastAsia="en-GB"/>
        </w:rPr>
        <w:t>[</w:t>
      </w:r>
      <w:r w:rsidRPr="00A3411F">
        <w:rPr>
          <w:i/>
          <w:lang w:eastAsia="en-GB"/>
        </w:rPr>
        <w:t xml:space="preserve">Justification: 6.2.2.8 was used as a source of information </w:t>
      </w:r>
      <w:r w:rsidR="00CB473D">
        <w:rPr>
          <w:i/>
          <w:lang w:eastAsia="en-GB"/>
        </w:rPr>
        <w:t>on</w:t>
      </w:r>
      <w:r w:rsidRPr="00A3411F">
        <w:rPr>
          <w:i/>
          <w:lang w:eastAsia="en-GB"/>
        </w:rPr>
        <w:t xml:space="preserve"> potential hazards which are comparable to that resulting from non-refillable cylinders. Because of the pressure-volume limitation not all marks required for non-refillable cylinders are deemed to be necessary. There are no limits for UN 2037 </w:t>
      </w:r>
      <w:r w:rsidR="00005E2A">
        <w:rPr>
          <w:i/>
          <w:lang w:eastAsia="en-GB"/>
        </w:rPr>
        <w:t>on</w:t>
      </w:r>
      <w:r w:rsidRPr="00A3411F">
        <w:rPr>
          <w:i/>
          <w:lang w:eastAsia="en-GB"/>
        </w:rPr>
        <w:t xml:space="preserve"> the contained gases which might be very dangerous. Gas specific information should therefore be provided for the user to increase safety.</w:t>
      </w:r>
      <w:r>
        <w:rPr>
          <w:i/>
          <w:lang w:eastAsia="en-GB"/>
        </w:rPr>
        <w:t>]</w:t>
      </w:r>
    </w:p>
    <w:p w14:paraId="1BEB74A1" w14:textId="77777777" w:rsidR="00D74CC0" w:rsidRPr="00A3411F" w:rsidRDefault="00D74CC0" w:rsidP="00D74CC0">
      <w:pPr>
        <w:pStyle w:val="HChG"/>
      </w:pPr>
      <w:r w:rsidRPr="00A3411F">
        <w:tab/>
      </w:r>
      <w:r w:rsidRPr="00A3411F">
        <w:tab/>
        <w:t>Proposa</w:t>
      </w:r>
      <w:r w:rsidRPr="00D2070D">
        <w:t xml:space="preserve">l </w:t>
      </w:r>
      <w:r>
        <w:t>4: I</w:t>
      </w:r>
      <w:r w:rsidRPr="00D2070D">
        <w:t>ntro</w:t>
      </w:r>
      <w:r w:rsidRPr="00A3411F">
        <w:t xml:space="preserve">duction of </w:t>
      </w:r>
      <w:r>
        <w:t>transitional measures for</w:t>
      </w:r>
      <w:r w:rsidRPr="00EA4DF4">
        <w:t xml:space="preserve"> receptacles, small, containing gas (gas cartridges)</w:t>
      </w:r>
    </w:p>
    <w:p w14:paraId="32E616FC" w14:textId="77777777" w:rsidR="00D74CC0" w:rsidRDefault="00D74CC0" w:rsidP="00D74CC0">
      <w:pPr>
        <w:pStyle w:val="SingleTxtG"/>
      </w:pPr>
      <w:r w:rsidRPr="00A3411F">
        <w:t>1</w:t>
      </w:r>
      <w:r>
        <w:t>9</w:t>
      </w:r>
      <w:r w:rsidRPr="00A3411F">
        <w:t>.</w:t>
      </w:r>
      <w:r w:rsidRPr="00A3411F">
        <w:tab/>
        <w:t>Introduce the following text at the end of 6.2.4:</w:t>
      </w:r>
    </w:p>
    <w:p w14:paraId="400C9ADD" w14:textId="62D7930D" w:rsidR="00D74CC0" w:rsidRPr="007A1125" w:rsidRDefault="00A25A14" w:rsidP="00D74CC0">
      <w:pPr>
        <w:pStyle w:val="SingleTxtG"/>
        <w:ind w:left="1701"/>
        <w:rPr>
          <w:u w:val="single"/>
        </w:rPr>
      </w:pPr>
      <w:r w:rsidRPr="008A393A">
        <w:rPr>
          <w:iCs/>
          <w:lang w:eastAsia="en-GB"/>
        </w:rPr>
        <w:t>“</w:t>
      </w:r>
      <w:r w:rsidR="00D74CC0" w:rsidRPr="007A1125">
        <w:rPr>
          <w:u w:val="single"/>
        </w:rPr>
        <w:t>6.2.4.</w:t>
      </w:r>
      <w:r w:rsidR="00D74CC0">
        <w:rPr>
          <w:u w:val="single"/>
        </w:rPr>
        <w:t>4</w:t>
      </w:r>
      <w:r w:rsidR="008D6019">
        <w:rPr>
          <w:u w:val="single"/>
        </w:rPr>
        <w:tab/>
      </w:r>
      <w:r w:rsidR="00D74CC0">
        <w:rPr>
          <w:u w:val="single"/>
        </w:rPr>
        <w:t>Transitional measures</w:t>
      </w:r>
    </w:p>
    <w:p w14:paraId="3E9DD78B" w14:textId="3AEA4850" w:rsidR="00D74CC0" w:rsidRDefault="00D74CC0" w:rsidP="00D74CC0">
      <w:pPr>
        <w:pStyle w:val="SingleTxtG"/>
        <w:spacing w:after="0"/>
        <w:ind w:left="1701"/>
        <w:rPr>
          <w:u w:val="single"/>
        </w:rPr>
      </w:pPr>
      <w:r w:rsidRPr="007A1125">
        <w:rPr>
          <w:u w:val="single"/>
        </w:rPr>
        <w:t xml:space="preserve">Gas cartridges </w:t>
      </w:r>
      <w:r>
        <w:rPr>
          <w:u w:val="single"/>
        </w:rPr>
        <w:t>manufactured before 1 January [2025] that are classified as UN 1950 aerosols, may continue to be used as UN 1950 aerosols if they comply with all requirements for UN 1950 aerosols</w:t>
      </w:r>
      <w:r w:rsidRPr="007A1125">
        <w:rPr>
          <w:u w:val="single"/>
        </w:rPr>
        <w:t>.</w:t>
      </w:r>
      <w:r w:rsidR="008D6019">
        <w:t>”</w:t>
      </w:r>
    </w:p>
    <w:p w14:paraId="0F546B1E" w14:textId="77777777" w:rsidR="00D74CC0" w:rsidRDefault="00D74CC0" w:rsidP="006872C0">
      <w:pPr>
        <w:pStyle w:val="SingleTxtG"/>
        <w:spacing w:before="240" w:after="0"/>
        <w:ind w:left="1701"/>
        <w:rPr>
          <w:u w:val="single"/>
        </w:rPr>
      </w:pPr>
      <w:r>
        <w:rPr>
          <w:i/>
          <w:lang w:eastAsia="en-GB"/>
        </w:rPr>
        <w:t>[</w:t>
      </w:r>
      <w:r w:rsidRPr="00A3411F">
        <w:rPr>
          <w:i/>
          <w:lang w:eastAsia="en-GB"/>
        </w:rPr>
        <w:t>Justification</w:t>
      </w:r>
      <w:r>
        <w:rPr>
          <w:i/>
          <w:lang w:eastAsia="en-GB"/>
        </w:rPr>
        <w:t>: There are no associated safety risks for gas cartridges already placed on the market as UN 1950 aerosols which would require taking them from the market.]</w:t>
      </w:r>
    </w:p>
    <w:p w14:paraId="30A2AF50" w14:textId="1DE6F84F" w:rsidR="00D74CC0" w:rsidRDefault="00A25A14" w:rsidP="006872C0">
      <w:pPr>
        <w:pStyle w:val="SingleTxtG"/>
        <w:spacing w:before="240" w:after="0"/>
        <w:ind w:left="1701"/>
        <w:rPr>
          <w:u w:val="single"/>
        </w:rPr>
      </w:pPr>
      <w:r w:rsidRPr="008A393A">
        <w:rPr>
          <w:iCs/>
          <w:lang w:eastAsia="en-GB"/>
        </w:rPr>
        <w:t>“</w:t>
      </w:r>
      <w:r w:rsidR="00D74CC0">
        <w:rPr>
          <w:u w:val="single"/>
        </w:rPr>
        <w:t>T</w:t>
      </w:r>
      <w:r w:rsidR="00D74CC0" w:rsidRPr="00A52004">
        <w:rPr>
          <w:u w:val="single"/>
        </w:rPr>
        <w:t xml:space="preserve">he definition for </w:t>
      </w:r>
      <w:r w:rsidR="00D74CC0">
        <w:rPr>
          <w:u w:val="single"/>
        </w:rPr>
        <w:t>r</w:t>
      </w:r>
      <w:r w:rsidR="00D74CC0" w:rsidRPr="00A52004">
        <w:rPr>
          <w:u w:val="single"/>
        </w:rPr>
        <w:t>eceptacle</w:t>
      </w:r>
      <w:r w:rsidR="00D74CC0">
        <w:rPr>
          <w:u w:val="single"/>
        </w:rPr>
        <w:t>s</w:t>
      </w:r>
      <w:r w:rsidR="00D74CC0" w:rsidRPr="00A52004">
        <w:rPr>
          <w:u w:val="single"/>
        </w:rPr>
        <w:t>, small, containing gas (gas cartridge)</w:t>
      </w:r>
      <w:r w:rsidR="00D74CC0">
        <w:rPr>
          <w:u w:val="single"/>
        </w:rPr>
        <w:t xml:space="preserve"> shall be applied no later than 1 January [</w:t>
      </w:r>
      <w:r w:rsidR="00D74CC0" w:rsidRPr="003611A8">
        <w:rPr>
          <w:u w:val="single"/>
        </w:rPr>
        <w:t>2031</w:t>
      </w:r>
      <w:r w:rsidR="00D74CC0">
        <w:rPr>
          <w:u w:val="single"/>
        </w:rPr>
        <w:t>]</w:t>
      </w:r>
      <w:r w:rsidR="00D74CC0" w:rsidRPr="007A1125">
        <w:rPr>
          <w:u w:val="single"/>
        </w:rPr>
        <w:t>.</w:t>
      </w:r>
      <w:r w:rsidR="00D74CC0">
        <w:rPr>
          <w:u w:val="single"/>
        </w:rPr>
        <w:t xml:space="preserve"> Until then, g</w:t>
      </w:r>
      <w:r w:rsidR="00D74CC0" w:rsidRPr="007A1125">
        <w:rPr>
          <w:u w:val="single"/>
        </w:rPr>
        <w:t xml:space="preserve">as cartridges </w:t>
      </w:r>
      <w:r w:rsidR="00D74CC0">
        <w:rPr>
          <w:u w:val="single"/>
        </w:rPr>
        <w:t>may still be classified as UN 1950 aerosols if they comply with all requirements for UN 1950 aerosols.</w:t>
      </w:r>
      <w:r w:rsidR="00D655E3">
        <w:t>”</w:t>
      </w:r>
    </w:p>
    <w:p w14:paraId="7DFEBF10" w14:textId="5AEA7AE6" w:rsidR="00D74CC0" w:rsidRDefault="00D74CC0" w:rsidP="006872C0">
      <w:pPr>
        <w:suppressAutoHyphens w:val="0"/>
        <w:spacing w:before="240" w:line="240" w:lineRule="auto"/>
        <w:ind w:left="1701" w:right="1179"/>
        <w:jc w:val="both"/>
        <w:rPr>
          <w:i/>
          <w:lang w:eastAsia="en-GB"/>
        </w:rPr>
      </w:pPr>
      <w:r>
        <w:rPr>
          <w:i/>
          <w:lang w:eastAsia="en-GB"/>
        </w:rPr>
        <w:t>[</w:t>
      </w:r>
      <w:r w:rsidRPr="00A3411F">
        <w:rPr>
          <w:i/>
          <w:lang w:eastAsia="en-GB"/>
        </w:rPr>
        <w:t>Justification</w:t>
      </w:r>
      <w:r>
        <w:rPr>
          <w:i/>
          <w:lang w:eastAsia="en-GB"/>
        </w:rPr>
        <w:t xml:space="preserve">: Manufacturers of such gas cartridges will need a </w:t>
      </w:r>
      <w:r w:rsidR="00095EE0">
        <w:rPr>
          <w:i/>
          <w:lang w:eastAsia="en-GB"/>
        </w:rPr>
        <w:t>transitional</w:t>
      </w:r>
      <w:r>
        <w:rPr>
          <w:i/>
          <w:lang w:eastAsia="en-GB"/>
        </w:rPr>
        <w:t xml:space="preserve"> period for the conformity assessment as </w:t>
      </w:r>
      <w:r w:rsidRPr="00507992">
        <w:rPr>
          <w:i/>
          <w:lang w:eastAsia="en-GB"/>
        </w:rPr>
        <w:t>UN 2037 receptacles, small, containing gas (gas cartridges)</w:t>
      </w:r>
      <w:r>
        <w:rPr>
          <w:i/>
          <w:lang w:eastAsia="en-GB"/>
        </w:rPr>
        <w:t xml:space="preserve"> which might include design changes to meet all requirements for </w:t>
      </w:r>
      <w:r w:rsidRPr="00507992">
        <w:rPr>
          <w:i/>
          <w:lang w:eastAsia="en-GB"/>
        </w:rPr>
        <w:t>UN 2037 receptacles, small, containing gas (gas cartridges)</w:t>
      </w:r>
      <w:r>
        <w:rPr>
          <w:i/>
          <w:lang w:eastAsia="en-GB"/>
        </w:rPr>
        <w:t>. In addition</w:t>
      </w:r>
      <w:r w:rsidRPr="00763030">
        <w:rPr>
          <w:i/>
          <w:lang w:eastAsia="en-GB"/>
        </w:rPr>
        <w:t xml:space="preserve">, automated filling facilities </w:t>
      </w:r>
      <w:r>
        <w:rPr>
          <w:i/>
          <w:lang w:eastAsia="en-GB"/>
        </w:rPr>
        <w:t>might need modification due to different dimensions resulting from the design changes mentioned above.</w:t>
      </w:r>
    </w:p>
    <w:p w14:paraId="30F4BD2D" w14:textId="77777777" w:rsidR="00D74CC0" w:rsidRDefault="00D74CC0" w:rsidP="001D7918">
      <w:pPr>
        <w:tabs>
          <w:tab w:val="left" w:pos="1134"/>
        </w:tabs>
        <w:suppressAutoHyphens w:val="0"/>
        <w:spacing w:line="240" w:lineRule="auto"/>
        <w:ind w:left="1134" w:right="1179"/>
        <w:rPr>
          <w:u w:val="single"/>
        </w:rPr>
      </w:pPr>
    </w:p>
    <w:p w14:paraId="380A44A2" w14:textId="77777777" w:rsidR="00D74CC0" w:rsidRPr="00A3411F" w:rsidRDefault="00D74CC0" w:rsidP="00D74CC0">
      <w:pPr>
        <w:suppressAutoHyphens w:val="0"/>
        <w:spacing w:line="240" w:lineRule="auto"/>
        <w:ind w:right="1179"/>
        <w:jc w:val="center"/>
        <w:rPr>
          <w:u w:val="single"/>
        </w:rPr>
      </w:pPr>
      <w:r>
        <w:rPr>
          <w:u w:val="single"/>
        </w:rPr>
        <w:tab/>
      </w:r>
      <w:r>
        <w:rPr>
          <w:u w:val="single"/>
        </w:rPr>
        <w:tab/>
      </w:r>
      <w:r>
        <w:rPr>
          <w:u w:val="single"/>
        </w:rPr>
        <w:tab/>
      </w:r>
    </w:p>
    <w:sectPr w:rsidR="00D74CC0" w:rsidRPr="00A3411F" w:rsidSect="00F2405B">
      <w:headerReference w:type="even" r:id="rId22"/>
      <w:headerReference w:type="default" r:id="rId23"/>
      <w:footerReference w:type="even" r:id="rId24"/>
      <w:footerReference w:type="default" r:id="rId25"/>
      <w:headerReference w:type="first" r:id="rId26"/>
      <w:footerReference w:type="first" r:id="rId27"/>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8AD20" w14:textId="77777777" w:rsidR="004713F1" w:rsidRPr="00C47B2E" w:rsidRDefault="004713F1" w:rsidP="00C47B2E">
      <w:pPr>
        <w:pStyle w:val="Footer"/>
      </w:pPr>
    </w:p>
  </w:endnote>
  <w:endnote w:type="continuationSeparator" w:id="0">
    <w:p w14:paraId="3D34EF7D" w14:textId="77777777" w:rsidR="004713F1" w:rsidRPr="00C47B2E" w:rsidRDefault="004713F1" w:rsidP="00C47B2E">
      <w:pPr>
        <w:pStyle w:val="Footer"/>
      </w:pPr>
    </w:p>
  </w:endnote>
  <w:endnote w:type="continuationNotice" w:id="1">
    <w:p w14:paraId="1A7967DF" w14:textId="77777777" w:rsidR="004713F1" w:rsidRPr="00C47B2E" w:rsidRDefault="004713F1"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CABC1" w14:textId="709683E2" w:rsidR="00D94B05" w:rsidRPr="00F2405B" w:rsidRDefault="00F2405B" w:rsidP="00F2405B">
    <w:pPr>
      <w:pStyle w:val="Footer"/>
      <w:tabs>
        <w:tab w:val="right" w:pos="9598"/>
        <w:tab w:val="right" w:pos="9638"/>
      </w:tabs>
      <w:rPr>
        <w:sz w:val="18"/>
      </w:rPr>
    </w:pPr>
    <w:r w:rsidRPr="00F2405B">
      <w:rPr>
        <w:b/>
        <w:sz w:val="18"/>
      </w:rPr>
      <w:fldChar w:fldCharType="begin"/>
    </w:r>
    <w:r w:rsidRPr="00F2405B">
      <w:rPr>
        <w:b/>
        <w:sz w:val="18"/>
      </w:rPr>
      <w:instrText xml:space="preserve"> PAGE  \* MERGEFORMAT </w:instrText>
    </w:r>
    <w:r w:rsidRPr="00F2405B">
      <w:rPr>
        <w:b/>
        <w:sz w:val="18"/>
      </w:rPr>
      <w:fldChar w:fldCharType="separate"/>
    </w:r>
    <w:r w:rsidRPr="00F2405B">
      <w:rPr>
        <w:b/>
        <w:noProof/>
        <w:sz w:val="18"/>
      </w:rPr>
      <w:t>2</w:t>
    </w:r>
    <w:r w:rsidRPr="00F2405B">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A724" w14:textId="31ADE43F" w:rsidR="00D94B05" w:rsidRPr="00F2405B" w:rsidRDefault="00F2405B" w:rsidP="00B21B8D">
    <w:pPr>
      <w:pStyle w:val="Footer"/>
      <w:tabs>
        <w:tab w:val="left" w:pos="5775"/>
        <w:tab w:val="right" w:pos="9598"/>
        <w:tab w:val="right" w:pos="9638"/>
      </w:tabs>
      <w:jc w:val="right"/>
      <w:rPr>
        <w:sz w:val="18"/>
      </w:rPr>
    </w:pPr>
    <w:r>
      <w:rPr>
        <w:b/>
        <w:sz w:val="18"/>
      </w:rPr>
      <w:tab/>
    </w:r>
    <w:r w:rsidRPr="00F2405B">
      <w:rPr>
        <w:sz w:val="18"/>
      </w:rPr>
      <w:fldChar w:fldCharType="begin"/>
    </w:r>
    <w:r w:rsidRPr="00F2405B">
      <w:rPr>
        <w:sz w:val="18"/>
      </w:rPr>
      <w:instrText xml:space="preserve"> PAGE  \* MERGEFORMAT </w:instrText>
    </w:r>
    <w:r w:rsidRPr="00F2405B">
      <w:rPr>
        <w:sz w:val="18"/>
      </w:rPr>
      <w:fldChar w:fldCharType="separate"/>
    </w:r>
    <w:r w:rsidRPr="00F2405B">
      <w:rPr>
        <w:noProof/>
        <w:sz w:val="18"/>
      </w:rPr>
      <w:t>3</w:t>
    </w:r>
    <w:r w:rsidRPr="00F2405B">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585A3" w14:textId="77777777" w:rsidR="00D94B05" w:rsidRPr="00F2405B" w:rsidRDefault="00E52109" w:rsidP="00764440">
    <w:pPr>
      <w:pStyle w:val="Footer"/>
      <w:rPr>
        <w:rFonts w:asciiTheme="majorBidi" w:hAnsiTheme="majorBidi" w:cstheme="majorBidi"/>
        <w:sz w:val="20"/>
      </w:rPr>
    </w:pPr>
    <w:r>
      <w:rPr>
        <w:noProof/>
        <w:lang w:val="fr-CH" w:eastAsia="fr-CH"/>
      </w:rPr>
      <w:drawing>
        <wp:anchor distT="0" distB="0" distL="114300" distR="114300" simplePos="0" relativeHeight="251659264" behindDoc="0" locked="1" layoutInCell="1" allowOverlap="1" wp14:anchorId="34B7838A" wp14:editId="7F3E147A">
          <wp:simplePos x="0" y="0"/>
          <wp:positionH relativeFrom="margin">
            <wp:posOffset>5003800</wp:posOffset>
          </wp:positionH>
          <wp:positionV relativeFrom="margin">
            <wp:posOffset>9323705</wp:posOffset>
          </wp:positionV>
          <wp:extent cx="923925" cy="228600"/>
          <wp:effectExtent l="0" t="0" r="9525"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4CFD6" w14:textId="77777777" w:rsidR="004713F1" w:rsidRPr="00C47B2E" w:rsidRDefault="004713F1" w:rsidP="00C47B2E">
      <w:pPr>
        <w:tabs>
          <w:tab w:val="right" w:pos="2155"/>
        </w:tabs>
        <w:spacing w:after="80" w:line="240" w:lineRule="auto"/>
        <w:ind w:left="680"/>
      </w:pPr>
      <w:r>
        <w:rPr>
          <w:u w:val="single"/>
        </w:rPr>
        <w:tab/>
      </w:r>
    </w:p>
  </w:footnote>
  <w:footnote w:type="continuationSeparator" w:id="0">
    <w:p w14:paraId="7EDA6D2A" w14:textId="77777777" w:rsidR="004713F1" w:rsidRPr="00C47B2E" w:rsidRDefault="004713F1" w:rsidP="005E716E">
      <w:pPr>
        <w:tabs>
          <w:tab w:val="right" w:pos="2155"/>
        </w:tabs>
        <w:spacing w:after="80" w:line="240" w:lineRule="auto"/>
        <w:ind w:left="680"/>
      </w:pPr>
      <w:r>
        <w:rPr>
          <w:u w:val="single"/>
        </w:rPr>
        <w:tab/>
      </w:r>
    </w:p>
  </w:footnote>
  <w:footnote w:type="continuationNotice" w:id="1">
    <w:p w14:paraId="7B866845" w14:textId="77777777" w:rsidR="004713F1" w:rsidRPr="00C47B2E" w:rsidRDefault="004713F1" w:rsidP="00C47B2E">
      <w:pPr>
        <w:pStyle w:val="Footer"/>
      </w:pPr>
    </w:p>
  </w:footnote>
  <w:footnote w:id="2">
    <w:p w14:paraId="275565FF" w14:textId="3DC61D43" w:rsidR="00D74CC0" w:rsidRPr="00E20C71" w:rsidRDefault="00D74CC0" w:rsidP="0058562B">
      <w:pPr>
        <w:pStyle w:val="FootnoteText"/>
        <w:tabs>
          <w:tab w:val="clear" w:pos="1021"/>
        </w:tabs>
        <w:ind w:left="709" w:firstLine="0"/>
        <w:rPr>
          <w:sz w:val="16"/>
          <w:szCs w:val="16"/>
        </w:rPr>
      </w:pPr>
      <w:r>
        <w:rPr>
          <w:rStyle w:val="FootnoteReference"/>
        </w:rPr>
        <w:t>*</w:t>
      </w:r>
      <w:r>
        <w:t xml:space="preserve"> </w:t>
      </w:r>
      <w:r>
        <w:tab/>
      </w:r>
      <w:r>
        <w:rPr>
          <w:lang w:val="en-US"/>
        </w:rPr>
        <w:t>A/75/6 (Sect.20), para. 20.51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6B61" w14:textId="606FFBE6" w:rsidR="00F2405B" w:rsidRPr="00F2405B" w:rsidRDefault="004713F1">
    <w:pPr>
      <w:pStyle w:val="Header"/>
    </w:pPr>
    <w:r>
      <w:fldChar w:fldCharType="begin"/>
    </w:r>
    <w:r>
      <w:instrText xml:space="preserve"> TITLE  \* MERGE</w:instrText>
    </w:r>
    <w:r>
      <w:instrText xml:space="preserve">FORMAT </w:instrText>
    </w:r>
    <w:r>
      <w:fldChar w:fldCharType="separate"/>
    </w:r>
    <w:r w:rsidR="00B32F16">
      <w:t>ST/SG/AC.10/C.3/2022/</w:t>
    </w:r>
    <w:r>
      <w:fldChar w:fldCharType="end"/>
    </w:r>
    <w:r w:rsidR="00C454D6">
      <w:t>51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24D46" w14:textId="2CFD384D" w:rsidR="00D94B05" w:rsidRPr="00F2405B" w:rsidRDefault="004713F1" w:rsidP="00F2405B">
    <w:pPr>
      <w:pStyle w:val="Header"/>
      <w:jc w:val="right"/>
    </w:pPr>
    <w:r>
      <w:fldChar w:fldCharType="begin"/>
    </w:r>
    <w:r>
      <w:instrText xml:space="preserve"> TITLE  \* MERGEFORMAT </w:instrText>
    </w:r>
    <w:r>
      <w:fldChar w:fldCharType="separate"/>
    </w:r>
    <w:r w:rsidR="00B32F16">
      <w:t>ST/SG/AC.10/C.3/2022/</w:t>
    </w:r>
    <w:r>
      <w:fldChar w:fldCharType="end"/>
    </w:r>
    <w:r w:rsidR="00C454D6">
      <w:t>51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58910" w14:textId="77777777" w:rsidR="00B21B8D" w:rsidRDefault="00B21B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B820EA0"/>
    <w:multiLevelType w:val="hybridMultilevel"/>
    <w:tmpl w:val="8F680EF8"/>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5"/>
  </w:num>
  <w:num w:numId="3">
    <w:abstractNumId w:val="0"/>
  </w:num>
  <w:num w:numId="4">
    <w:abstractNumId w:val="7"/>
  </w:num>
  <w:num w:numId="5">
    <w:abstractNumId w:val="8"/>
  </w:num>
  <w:num w:numId="6">
    <w:abstractNumId w:val="10"/>
  </w:num>
  <w:num w:numId="7">
    <w:abstractNumId w:val="3"/>
  </w:num>
  <w:num w:numId="8">
    <w:abstractNumId w:val="1"/>
  </w:num>
  <w:num w:numId="9">
    <w:abstractNumId w:val="9"/>
  </w:num>
  <w:num w:numId="10">
    <w:abstractNumId w:val="1"/>
  </w:num>
  <w:num w:numId="11">
    <w:abstractNumId w:val="9"/>
  </w:num>
  <w:num w:numId="12">
    <w:abstractNumId w:val="2"/>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567"/>
  <w:hyphenationZone w:val="425"/>
  <w:evenAndOddHeaders/>
  <w:characterSpacingControl w:val="doNotCompress"/>
  <w:savePreviewPicture/>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05B"/>
    <w:rsid w:val="00005E2A"/>
    <w:rsid w:val="00020E50"/>
    <w:rsid w:val="00036D77"/>
    <w:rsid w:val="00046E92"/>
    <w:rsid w:val="00055ACE"/>
    <w:rsid w:val="00063C90"/>
    <w:rsid w:val="00065F43"/>
    <w:rsid w:val="00095EE0"/>
    <w:rsid w:val="00101B98"/>
    <w:rsid w:val="001514D1"/>
    <w:rsid w:val="001D7918"/>
    <w:rsid w:val="002440B1"/>
    <w:rsid w:val="00247E2C"/>
    <w:rsid w:val="002749EC"/>
    <w:rsid w:val="002A32CB"/>
    <w:rsid w:val="002D5B2C"/>
    <w:rsid w:val="002D6C53"/>
    <w:rsid w:val="002F5595"/>
    <w:rsid w:val="0031619F"/>
    <w:rsid w:val="00334F6A"/>
    <w:rsid w:val="00342AC8"/>
    <w:rsid w:val="00343302"/>
    <w:rsid w:val="003979DE"/>
    <w:rsid w:val="003B4550"/>
    <w:rsid w:val="003D2A18"/>
    <w:rsid w:val="00413386"/>
    <w:rsid w:val="00461253"/>
    <w:rsid w:val="004713F1"/>
    <w:rsid w:val="004858F5"/>
    <w:rsid w:val="004A2814"/>
    <w:rsid w:val="004C0622"/>
    <w:rsid w:val="005042C2"/>
    <w:rsid w:val="005500D7"/>
    <w:rsid w:val="0058562B"/>
    <w:rsid w:val="005E716E"/>
    <w:rsid w:val="00627292"/>
    <w:rsid w:val="00640608"/>
    <w:rsid w:val="006476E1"/>
    <w:rsid w:val="006604DF"/>
    <w:rsid w:val="00671529"/>
    <w:rsid w:val="006872C0"/>
    <w:rsid w:val="0070489D"/>
    <w:rsid w:val="0071476A"/>
    <w:rsid w:val="007268F9"/>
    <w:rsid w:val="00750282"/>
    <w:rsid w:val="00764440"/>
    <w:rsid w:val="0077101B"/>
    <w:rsid w:val="007C52B0"/>
    <w:rsid w:val="007C6033"/>
    <w:rsid w:val="008147C8"/>
    <w:rsid w:val="0081753A"/>
    <w:rsid w:val="00857D23"/>
    <w:rsid w:val="008A393A"/>
    <w:rsid w:val="008D6019"/>
    <w:rsid w:val="0091137E"/>
    <w:rsid w:val="009411B4"/>
    <w:rsid w:val="00946F1D"/>
    <w:rsid w:val="0097753D"/>
    <w:rsid w:val="009A7607"/>
    <w:rsid w:val="009C7897"/>
    <w:rsid w:val="009D0139"/>
    <w:rsid w:val="009D717D"/>
    <w:rsid w:val="009F5CDC"/>
    <w:rsid w:val="00A072D7"/>
    <w:rsid w:val="00A072E6"/>
    <w:rsid w:val="00A25A14"/>
    <w:rsid w:val="00A775CF"/>
    <w:rsid w:val="00AA316A"/>
    <w:rsid w:val="00AD1A9C"/>
    <w:rsid w:val="00AF5DE1"/>
    <w:rsid w:val="00B06045"/>
    <w:rsid w:val="00B206DD"/>
    <w:rsid w:val="00B21B8D"/>
    <w:rsid w:val="00B32F16"/>
    <w:rsid w:val="00B52EF4"/>
    <w:rsid w:val="00B777AD"/>
    <w:rsid w:val="00B9142C"/>
    <w:rsid w:val="00BB1315"/>
    <w:rsid w:val="00C03015"/>
    <w:rsid w:val="00C0358D"/>
    <w:rsid w:val="00C35A27"/>
    <w:rsid w:val="00C35C24"/>
    <w:rsid w:val="00C454D6"/>
    <w:rsid w:val="00C47B2E"/>
    <w:rsid w:val="00CB473D"/>
    <w:rsid w:val="00CD7EDF"/>
    <w:rsid w:val="00D56C39"/>
    <w:rsid w:val="00D63CD2"/>
    <w:rsid w:val="00D655E3"/>
    <w:rsid w:val="00D74CC0"/>
    <w:rsid w:val="00D87872"/>
    <w:rsid w:val="00D87DC2"/>
    <w:rsid w:val="00D94B05"/>
    <w:rsid w:val="00E02C2B"/>
    <w:rsid w:val="00E21C27"/>
    <w:rsid w:val="00E26BCF"/>
    <w:rsid w:val="00E43152"/>
    <w:rsid w:val="00E52109"/>
    <w:rsid w:val="00E75317"/>
    <w:rsid w:val="00E91654"/>
    <w:rsid w:val="00EC0CE6"/>
    <w:rsid w:val="00EC7C1D"/>
    <w:rsid w:val="00ED6C48"/>
    <w:rsid w:val="00EE3045"/>
    <w:rsid w:val="00EE3533"/>
    <w:rsid w:val="00F2405B"/>
    <w:rsid w:val="00F65F5D"/>
    <w:rsid w:val="00F834F6"/>
    <w:rsid w:val="00F86A3A"/>
    <w:rsid w:val="00F94AF9"/>
    <w:rsid w:val="00FE0223"/>
    <w:rsid w:val="00FF50F6"/>
    <w:rsid w:val="00FF7340"/>
    <w:rsid w:val="00FF7F9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DCAD6"/>
  <w15:docId w15:val="{3868A8D1-3CFD-4F46-90D3-1D279B823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CE6"/>
    <w:pPr>
      <w:suppressAutoHyphens/>
      <w:kinsoku w:val="0"/>
      <w:overflowPunct w:val="0"/>
      <w:autoSpaceDE w:val="0"/>
      <w:autoSpaceDN w:val="0"/>
      <w:adjustRightInd w:val="0"/>
      <w:snapToGrid w:val="0"/>
      <w:spacing w:after="0" w:line="240" w:lineRule="atLeast"/>
    </w:p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NoG">
    <w:name w:val="_ParNo_G"/>
    <w:basedOn w:val="SingleTxtG"/>
    <w:qFormat/>
    <w:rsid w:val="00B206DD"/>
    <w:pPr>
      <w:numPr>
        <w:numId w:val="13"/>
      </w:numPr>
      <w:suppressAutoHyphens w:val="0"/>
      <w:kinsoku/>
      <w:overflowPunct/>
      <w:autoSpaceDE/>
      <w:autoSpaceDN/>
      <w:adjustRightInd/>
      <w:snapToGrid/>
    </w:pPr>
    <w:rPr>
      <w:rFonts w:eastAsia="Times New Roman"/>
    </w:r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Footnote Reference/"/>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basedOn w:val="DefaultParagraphFont"/>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rsid w:val="004A2814"/>
    <w:pPr>
      <w:suppressAutoHyphens/>
      <w:spacing w:after="0" w:line="240" w:lineRule="atLeast"/>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qFormat/>
    <w:locked/>
    <w:rsid w:val="00D74CC0"/>
    <w:rPr>
      <w:b/>
      <w:sz w:val="28"/>
    </w:rPr>
  </w:style>
  <w:style w:type="character" w:customStyle="1" w:styleId="H1GChar">
    <w:name w:val="_ H_1_G Char"/>
    <w:link w:val="H1G"/>
    <w:locked/>
    <w:rsid w:val="00D74CC0"/>
    <w:rPr>
      <w:b/>
      <w:sz w:val="24"/>
    </w:rPr>
  </w:style>
  <w:style w:type="character" w:customStyle="1" w:styleId="SingleTxtGChar">
    <w:name w:val="_ Single Txt_G Char"/>
    <w:link w:val="SingleTxtG"/>
    <w:qFormat/>
    <w:locked/>
    <w:rsid w:val="00D74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ST\SGAC10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SharedWithUsers xmlns="4b4a1c0d-4a69-4996-a84a-fc699b9f49de">
      <UserInfo>
        <DisplayName>Laurence Berthet</DisplayName>
        <AccountId>44</AccountId>
        <AccountType/>
      </UserInfo>
      <UserInfo>
        <DisplayName>Romain Hubert</DisplayName>
        <AccountId>40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518F60-7DA2-420D-843C-E28B2BAD873F}">
  <ds:schemaRefs>
    <ds:schemaRef ds:uri="http://schemas.openxmlformats.org/officeDocument/2006/bibliography"/>
  </ds:schemaRefs>
</ds:datastoreItem>
</file>

<file path=customXml/itemProps2.xml><?xml version="1.0" encoding="utf-8"?>
<ds:datastoreItem xmlns:ds="http://schemas.openxmlformats.org/officeDocument/2006/customXml" ds:itemID="{F3141CA4-8A9A-4302-8C0D-A4D855F9B55C}">
  <ds:schemaRefs>
    <ds:schemaRef ds:uri="http://schemas.microsoft.com/office/2006/metadata/properties"/>
    <ds:schemaRef ds:uri="http://schemas.microsoft.com/office/infopath/2007/PartnerControls"/>
    <ds:schemaRef ds:uri="acccb6d4-dbe5-46d2-b4d3-5733603d8cc6"/>
    <ds:schemaRef ds:uri="985ec44e-1bab-4c0b-9df0-6ba128686fc9"/>
    <ds:schemaRef ds:uri="4b4a1c0d-4a69-4996-a84a-fc699b9f49de"/>
  </ds:schemaRefs>
</ds:datastoreItem>
</file>

<file path=customXml/itemProps3.xml><?xml version="1.0" encoding="utf-8"?>
<ds:datastoreItem xmlns:ds="http://schemas.openxmlformats.org/officeDocument/2006/customXml" ds:itemID="{204D3131-AAC0-47BB-91D4-404CBA5CB4AE}">
  <ds:schemaRefs>
    <ds:schemaRef ds:uri="http://schemas.microsoft.com/sharepoint/v3/contenttype/forms"/>
  </ds:schemaRefs>
</ds:datastoreItem>
</file>

<file path=customXml/itemProps4.xml><?xml version="1.0" encoding="utf-8"?>
<ds:datastoreItem xmlns:ds="http://schemas.openxmlformats.org/officeDocument/2006/customXml" ds:itemID="{80EF6E4A-32BA-4B00-BA37-20F6FF817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SGAC10_E.dotm</Template>
  <TotalTime>56</TotalTime>
  <Pages>5</Pages>
  <Words>1536</Words>
  <Characters>8758</Characters>
  <Application>Microsoft Office Word</Application>
  <DocSecurity>0</DocSecurity>
  <Lines>72</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ST/SG/AC.10/C.3/2022/</dc:title>
  <dc:subject/>
  <dc:creator>Laurence BERTHET</dc:creator>
  <cp:lastModifiedBy>Laurence Berthet</cp:lastModifiedBy>
  <cp:revision>45</cp:revision>
  <cp:lastPrinted>2022-09-02T11:25:00Z</cp:lastPrinted>
  <dcterms:created xsi:type="dcterms:W3CDTF">2022-08-26T12:57:00Z</dcterms:created>
  <dcterms:modified xsi:type="dcterms:W3CDTF">2022-09-02T11:25:00Z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ies>
</file>