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8FAA183" w14:textId="77777777" w:rsidTr="006476E1">
        <w:trPr>
          <w:trHeight w:val="851"/>
        </w:trPr>
        <w:tc>
          <w:tcPr>
            <w:tcW w:w="1259" w:type="dxa"/>
            <w:tcBorders>
              <w:top w:val="nil"/>
              <w:left w:val="nil"/>
              <w:bottom w:val="single" w:sz="4" w:space="0" w:color="auto"/>
              <w:right w:val="nil"/>
            </w:tcBorders>
          </w:tcPr>
          <w:p w14:paraId="1F2161BB" w14:textId="77777777" w:rsidR="00E52109" w:rsidRPr="002A32CB" w:rsidRDefault="00E52109" w:rsidP="004858F5"/>
        </w:tc>
        <w:tc>
          <w:tcPr>
            <w:tcW w:w="2236" w:type="dxa"/>
            <w:tcBorders>
              <w:top w:val="nil"/>
              <w:left w:val="nil"/>
              <w:bottom w:val="single" w:sz="4" w:space="0" w:color="auto"/>
              <w:right w:val="nil"/>
            </w:tcBorders>
            <w:vAlign w:val="bottom"/>
          </w:tcPr>
          <w:p w14:paraId="5EAF0CE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C8E4504" w14:textId="6D957DFC" w:rsidR="008C5679" w:rsidRDefault="008C5679" w:rsidP="008C5679">
            <w:pPr>
              <w:suppressAutoHyphens w:val="0"/>
              <w:jc w:val="right"/>
            </w:pPr>
            <w:r w:rsidRPr="008C5679">
              <w:rPr>
                <w:sz w:val="40"/>
              </w:rPr>
              <w:t>ST</w:t>
            </w:r>
            <w:r>
              <w:t>/SG/AC.10/C.3/2022/48−</w:t>
            </w:r>
            <w:r w:rsidRPr="008C5679">
              <w:rPr>
                <w:sz w:val="40"/>
              </w:rPr>
              <w:t>ST</w:t>
            </w:r>
            <w:r>
              <w:t>/SG/AC.10/C.4/2022/9</w:t>
            </w:r>
          </w:p>
        </w:tc>
      </w:tr>
      <w:tr w:rsidR="00E52109" w14:paraId="718F50ED" w14:textId="77777777" w:rsidTr="006476E1">
        <w:trPr>
          <w:trHeight w:val="2835"/>
        </w:trPr>
        <w:tc>
          <w:tcPr>
            <w:tcW w:w="1259" w:type="dxa"/>
            <w:tcBorders>
              <w:top w:val="single" w:sz="4" w:space="0" w:color="auto"/>
              <w:left w:val="nil"/>
              <w:bottom w:val="single" w:sz="12" w:space="0" w:color="auto"/>
              <w:right w:val="nil"/>
            </w:tcBorders>
          </w:tcPr>
          <w:p w14:paraId="4213108E" w14:textId="77777777" w:rsidR="00E52109" w:rsidRDefault="00E52109" w:rsidP="006476E1">
            <w:pPr>
              <w:spacing w:before="120"/>
              <w:jc w:val="center"/>
            </w:pPr>
            <w:r>
              <w:rPr>
                <w:noProof/>
                <w:lang w:val="fr-CH" w:eastAsia="fr-CH"/>
              </w:rPr>
              <w:drawing>
                <wp:inline distT="0" distB="0" distL="0" distR="0" wp14:anchorId="57649A07" wp14:editId="4975E96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6EFC1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283B2C8" w14:textId="77777777" w:rsidR="00D94B05" w:rsidRDefault="008C5679" w:rsidP="008C5679">
            <w:pPr>
              <w:suppressAutoHyphens w:val="0"/>
              <w:spacing w:before="240" w:line="240" w:lineRule="exact"/>
            </w:pPr>
            <w:r>
              <w:t>Distr.: General</w:t>
            </w:r>
          </w:p>
          <w:p w14:paraId="40CD12E8" w14:textId="0FE09132" w:rsidR="008C5679" w:rsidRDefault="004B4972" w:rsidP="008C5679">
            <w:pPr>
              <w:suppressAutoHyphens w:val="0"/>
              <w:spacing w:line="240" w:lineRule="exact"/>
            </w:pPr>
            <w:r>
              <w:t>12</w:t>
            </w:r>
            <w:r w:rsidR="008C5679">
              <w:t xml:space="preserve"> September 2022</w:t>
            </w:r>
          </w:p>
          <w:p w14:paraId="404A7404" w14:textId="77777777" w:rsidR="008C5679" w:rsidRDefault="008C5679" w:rsidP="008C5679">
            <w:pPr>
              <w:suppressAutoHyphens w:val="0"/>
              <w:spacing w:line="240" w:lineRule="exact"/>
            </w:pPr>
          </w:p>
          <w:p w14:paraId="6CC8E1E7" w14:textId="0351840A" w:rsidR="008C5679" w:rsidRDefault="008C5679" w:rsidP="008C5679">
            <w:pPr>
              <w:suppressAutoHyphens w:val="0"/>
              <w:spacing w:line="240" w:lineRule="exact"/>
            </w:pPr>
            <w:r>
              <w:t>Original: English</w:t>
            </w:r>
          </w:p>
        </w:tc>
      </w:tr>
    </w:tbl>
    <w:p w14:paraId="1A9E19AE" w14:textId="77777777" w:rsidR="008C5679" w:rsidRPr="006500BA" w:rsidRDefault="008C5679"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8C5679" w:rsidRPr="00302456" w14:paraId="483DF317" w14:textId="77777777" w:rsidTr="008C5679">
        <w:tc>
          <w:tcPr>
            <w:tcW w:w="4593" w:type="dxa"/>
            <w:shd w:val="clear" w:color="auto" w:fill="auto"/>
          </w:tcPr>
          <w:p w14:paraId="3E4BD83E" w14:textId="77777777" w:rsidR="008C5679" w:rsidRPr="00302456" w:rsidRDefault="008C5679"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7EB3868E" w14:textId="77777777" w:rsidR="008C5679" w:rsidRPr="00302456" w:rsidRDefault="008C5679" w:rsidP="00846F7F">
            <w:pPr>
              <w:spacing w:before="120"/>
              <w:rPr>
                <w:b/>
              </w:rPr>
            </w:pPr>
            <w:r w:rsidRPr="00302456">
              <w:rPr>
                <w:b/>
              </w:rPr>
              <w:t xml:space="preserve">Sub-Committee of Experts on the Globally Harmonized System of Classification and Labelling of Chemicals </w:t>
            </w:r>
          </w:p>
        </w:tc>
      </w:tr>
      <w:tr w:rsidR="008C5679" w:rsidRPr="00302456" w14:paraId="2C71FB23" w14:textId="77777777" w:rsidTr="008C5679">
        <w:tc>
          <w:tcPr>
            <w:tcW w:w="4593" w:type="dxa"/>
            <w:shd w:val="clear" w:color="auto" w:fill="auto"/>
          </w:tcPr>
          <w:p w14:paraId="0BA39CCA" w14:textId="5B561141" w:rsidR="008C5679" w:rsidRPr="00302456" w:rsidRDefault="008C5679" w:rsidP="008C5679">
            <w:pPr>
              <w:spacing w:before="120"/>
              <w:rPr>
                <w:b/>
              </w:rPr>
            </w:pPr>
            <w:r>
              <w:rPr>
                <w:b/>
              </w:rPr>
              <w:t>Sixty-first</w:t>
            </w:r>
            <w:r w:rsidRPr="00302456">
              <w:rPr>
                <w:b/>
              </w:rPr>
              <w:t xml:space="preserve"> session</w:t>
            </w:r>
          </w:p>
        </w:tc>
        <w:tc>
          <w:tcPr>
            <w:tcW w:w="5046" w:type="dxa"/>
            <w:shd w:val="clear" w:color="auto" w:fill="auto"/>
          </w:tcPr>
          <w:p w14:paraId="1EC2A649" w14:textId="5A8F9088" w:rsidR="008C5679" w:rsidRPr="00302456" w:rsidRDefault="008C5679" w:rsidP="008C5679">
            <w:pPr>
              <w:spacing w:before="120"/>
              <w:rPr>
                <w:b/>
              </w:rPr>
            </w:pPr>
            <w:r>
              <w:rPr>
                <w:b/>
              </w:rPr>
              <w:t>Forty-third</w:t>
            </w:r>
            <w:r w:rsidRPr="00302456">
              <w:rPr>
                <w:b/>
              </w:rPr>
              <w:t xml:space="preserve"> session</w:t>
            </w:r>
          </w:p>
        </w:tc>
      </w:tr>
      <w:tr w:rsidR="008C5679" w:rsidRPr="00302456" w14:paraId="35016652" w14:textId="77777777" w:rsidTr="008C5679">
        <w:tc>
          <w:tcPr>
            <w:tcW w:w="4593" w:type="dxa"/>
            <w:shd w:val="clear" w:color="auto" w:fill="auto"/>
          </w:tcPr>
          <w:p w14:paraId="2BBC4588" w14:textId="4177F2CA" w:rsidR="008C5679" w:rsidRPr="00302456" w:rsidRDefault="008C5679" w:rsidP="008C5679">
            <w:pPr>
              <w:rPr>
                <w:b/>
              </w:rPr>
            </w:pPr>
            <w:r>
              <w:t>Geneva, 28 November-6 December 2022</w:t>
            </w:r>
          </w:p>
        </w:tc>
        <w:tc>
          <w:tcPr>
            <w:tcW w:w="5046" w:type="dxa"/>
            <w:shd w:val="clear" w:color="auto" w:fill="auto"/>
          </w:tcPr>
          <w:p w14:paraId="70C447BF" w14:textId="7081F88F" w:rsidR="008C5679" w:rsidRPr="00302456" w:rsidRDefault="008C5679" w:rsidP="008C5679">
            <w:pPr>
              <w:rPr>
                <w:b/>
              </w:rPr>
            </w:pPr>
            <w:r>
              <w:t>Geneva, 7-9 December 2022</w:t>
            </w:r>
          </w:p>
        </w:tc>
      </w:tr>
      <w:tr w:rsidR="008C5679" w:rsidRPr="00302456" w14:paraId="097E40C7" w14:textId="77777777" w:rsidTr="008C5679">
        <w:tc>
          <w:tcPr>
            <w:tcW w:w="4593" w:type="dxa"/>
            <w:shd w:val="clear" w:color="auto" w:fill="auto"/>
          </w:tcPr>
          <w:p w14:paraId="11BF1C0D" w14:textId="1C57615C" w:rsidR="008C5679" w:rsidRDefault="008C5679" w:rsidP="008C5679">
            <w:r w:rsidRPr="006500BA">
              <w:t xml:space="preserve">Item </w:t>
            </w:r>
            <w:r>
              <w:t>10 (</w:t>
            </w:r>
            <w:r w:rsidR="00A35C7E">
              <w:t>b</w:t>
            </w:r>
            <w:r>
              <w:t>)</w:t>
            </w:r>
            <w:r w:rsidRPr="006500BA">
              <w:t xml:space="preserve"> of the provisional agenda</w:t>
            </w:r>
          </w:p>
        </w:tc>
        <w:tc>
          <w:tcPr>
            <w:tcW w:w="5046" w:type="dxa"/>
            <w:shd w:val="clear" w:color="auto" w:fill="auto"/>
          </w:tcPr>
          <w:p w14:paraId="6BA3E467" w14:textId="64AD7C41" w:rsidR="008C5679" w:rsidRDefault="008C5679" w:rsidP="008C5679">
            <w:r w:rsidRPr="006500BA">
              <w:t xml:space="preserve">Item </w:t>
            </w:r>
            <w:r>
              <w:t>3 (b)</w:t>
            </w:r>
            <w:r w:rsidRPr="006500BA">
              <w:t xml:space="preserve"> of the provisional agenda</w:t>
            </w:r>
          </w:p>
        </w:tc>
      </w:tr>
      <w:tr w:rsidR="008C5679" w:rsidRPr="00E66746" w14:paraId="4B7847E4" w14:textId="77777777" w:rsidTr="008C5679">
        <w:tc>
          <w:tcPr>
            <w:tcW w:w="4593" w:type="dxa"/>
            <w:shd w:val="clear" w:color="auto" w:fill="auto"/>
          </w:tcPr>
          <w:p w14:paraId="4B87C16C" w14:textId="04AADB84" w:rsidR="008C5679" w:rsidRPr="00E66746" w:rsidRDefault="008C5679" w:rsidP="008C5679">
            <w:pPr>
              <w:rPr>
                <w:b/>
              </w:rPr>
            </w:pPr>
            <w:r>
              <w:rPr>
                <w:b/>
                <w:bCs/>
              </w:rPr>
              <w:t>I</w:t>
            </w:r>
            <w:r w:rsidRPr="008D58E1">
              <w:rPr>
                <w:b/>
                <w:bCs/>
              </w:rPr>
              <w:t>ssues relating to the Globally Harmonized System:</w:t>
            </w:r>
            <w:r>
              <w:rPr>
                <w:b/>
                <w:bCs/>
              </w:rPr>
              <w:t xml:space="preserve"> </w:t>
            </w:r>
            <w:r w:rsidR="007D637A" w:rsidRPr="007D637A">
              <w:rPr>
                <w:b/>
                <w:bCs/>
              </w:rPr>
              <w:t>Simultaneous classification in physical hazards and precedence of hazards</w:t>
            </w:r>
            <w:r w:rsidR="007D637A">
              <w:t>;</w:t>
            </w:r>
          </w:p>
        </w:tc>
        <w:tc>
          <w:tcPr>
            <w:tcW w:w="5046" w:type="dxa"/>
            <w:shd w:val="clear" w:color="auto" w:fill="auto"/>
          </w:tcPr>
          <w:p w14:paraId="32142FBE" w14:textId="6E84C5D8" w:rsidR="008C5679" w:rsidRPr="00E66746" w:rsidRDefault="008C5679" w:rsidP="008C5679">
            <w:pPr>
              <w:rPr>
                <w:b/>
              </w:rPr>
            </w:pPr>
            <w:r w:rsidRPr="00FE57BA">
              <w:rPr>
                <w:b/>
                <w:bCs/>
              </w:rPr>
              <w:t>Work on the Globally Harmonized System of Classification and Labelling of Chemicals: simultaneous classification in physical hazard classes and precedence of hazards</w:t>
            </w:r>
          </w:p>
        </w:tc>
      </w:tr>
    </w:tbl>
    <w:p w14:paraId="0579FFDE" w14:textId="77777777" w:rsidR="008C5679" w:rsidRDefault="008C5679" w:rsidP="008C5679">
      <w:pPr>
        <w:pStyle w:val="HChG"/>
        <w:rPr>
          <w:rFonts w:eastAsia="MS Mincho"/>
          <w:lang w:val="en-US" w:eastAsia="ja-JP"/>
        </w:rPr>
      </w:pPr>
      <w:r>
        <w:rPr>
          <w:rFonts w:eastAsia="MS Mincho"/>
          <w:lang w:val="en-US" w:eastAsia="ja-JP"/>
        </w:rPr>
        <w:tab/>
      </w:r>
      <w:r>
        <w:rPr>
          <w:rFonts w:eastAsia="MS Mincho"/>
          <w:lang w:val="en-US" w:eastAsia="ja-JP"/>
        </w:rPr>
        <w:tab/>
        <w:t>Some issues arising from the GHS work on combinations of physical hazards</w:t>
      </w:r>
    </w:p>
    <w:p w14:paraId="34599F2C" w14:textId="3D4156EF" w:rsidR="008C5679" w:rsidRPr="0064778D" w:rsidRDefault="008C5679" w:rsidP="008C5679">
      <w:pPr>
        <w:pStyle w:val="H1G"/>
        <w:rPr>
          <w:lang w:val="en-US" w:eastAsia="ja-JP"/>
        </w:rPr>
      </w:pPr>
      <w:r>
        <w:rPr>
          <w:lang w:val="en-US" w:eastAsia="ja-JP"/>
        </w:rPr>
        <w:tab/>
      </w:r>
      <w:r>
        <w:rPr>
          <w:lang w:val="en-US" w:eastAsia="ja-JP"/>
        </w:rPr>
        <w:tab/>
        <w:t>Transmitted by the expert from Germany on behalf of the informal working group on combinations of physical hazards</w:t>
      </w:r>
      <w:r>
        <w:rPr>
          <w:rStyle w:val="FootnoteReference"/>
          <w:lang w:val="en-US" w:eastAsia="ja-JP"/>
        </w:rPr>
        <w:footnoteReference w:id="2"/>
      </w:r>
    </w:p>
    <w:p w14:paraId="6D3C2550" w14:textId="77777777" w:rsidR="008C5679" w:rsidRPr="007628D5" w:rsidRDefault="008C5679" w:rsidP="008C5679">
      <w:pPr>
        <w:pStyle w:val="HChG"/>
      </w:pPr>
      <w:r>
        <w:tab/>
      </w:r>
      <w:r>
        <w:tab/>
        <w:t>Introduction</w:t>
      </w:r>
    </w:p>
    <w:p w14:paraId="37704F18" w14:textId="5427426B" w:rsidR="008C5679" w:rsidRDefault="008C5679" w:rsidP="008C5679">
      <w:pPr>
        <w:pStyle w:val="SingleTxtG"/>
        <w:tabs>
          <w:tab w:val="left" w:pos="1701"/>
        </w:tabs>
        <w:rPr>
          <w:lang w:val="en-US"/>
        </w:rPr>
      </w:pPr>
      <w:r>
        <w:t>1.</w:t>
      </w:r>
      <w:r>
        <w:tab/>
      </w:r>
      <w:r>
        <w:rPr>
          <w:lang w:val="en-US"/>
        </w:rPr>
        <w:t xml:space="preserve">In December 2018 the Sub-Committee </w:t>
      </w:r>
      <w:r w:rsidR="003D345F">
        <w:rPr>
          <w:lang w:val="en-US"/>
        </w:rPr>
        <w:t xml:space="preserve">of Experts on the Globally Harmonized System of Classification and Labelling of Chemicals (GHS Sub-Committee) </w:t>
      </w:r>
      <w:r>
        <w:rPr>
          <w:lang w:val="en-US"/>
        </w:rPr>
        <w:t xml:space="preserve">adopted a new item for its program of work dealing with combinations of physical hazards. The terms of reference for this work are laid down in document </w:t>
      </w:r>
      <w:r w:rsidRPr="004C7F8B">
        <w:rPr>
          <w:lang w:val="en-US"/>
        </w:rPr>
        <w:t xml:space="preserve">ST/SG/AC.10/C.4/2018/21, as amended in the report of the </w:t>
      </w:r>
      <w:r>
        <w:rPr>
          <w:lang w:val="en-US"/>
        </w:rPr>
        <w:t xml:space="preserve">GHS </w:t>
      </w:r>
      <w:r w:rsidRPr="004C7F8B">
        <w:rPr>
          <w:lang w:val="en-US"/>
        </w:rPr>
        <w:t>Sub-Committee on its thirty-sixth session, see ST/SG/AC.10/C.4/72, paragraph 74</w:t>
      </w:r>
      <w:r>
        <w:rPr>
          <w:lang w:val="en-US"/>
        </w:rPr>
        <w:t>.</w:t>
      </w:r>
    </w:p>
    <w:p w14:paraId="6A972E3F" w14:textId="77777777" w:rsidR="008C5679" w:rsidRDefault="008C5679" w:rsidP="008C5679">
      <w:pPr>
        <w:pStyle w:val="HChG"/>
        <w:rPr>
          <w:lang w:val="en-US"/>
        </w:rPr>
      </w:pPr>
      <w:r>
        <w:rPr>
          <w:lang w:val="en-US"/>
        </w:rPr>
        <w:tab/>
      </w:r>
      <w:r>
        <w:rPr>
          <w:lang w:val="en-US"/>
        </w:rPr>
        <w:tab/>
        <w:t xml:space="preserve">Issues and questions arising from the work of the </w:t>
      </w:r>
      <w:r>
        <w:rPr>
          <w:lang w:val="en-US" w:eastAsia="ja-JP"/>
        </w:rPr>
        <w:t>informal working group</w:t>
      </w:r>
    </w:p>
    <w:p w14:paraId="44D6219F" w14:textId="77777777" w:rsidR="008C5679" w:rsidRDefault="008C5679" w:rsidP="008C5679">
      <w:pPr>
        <w:pStyle w:val="SingleTxtG"/>
        <w:tabs>
          <w:tab w:val="left" w:pos="1701"/>
        </w:tabs>
        <w:rPr>
          <w:lang w:val="en-US"/>
        </w:rPr>
      </w:pPr>
      <w:r>
        <w:rPr>
          <w:lang w:val="en-US"/>
        </w:rPr>
        <w:t>2.</w:t>
      </w:r>
      <w:r>
        <w:rPr>
          <w:lang w:val="en-US"/>
        </w:rPr>
        <w:tab/>
        <w:t>In the course of its work, the group identified some information (mainly in notes) in the GHS (and partly in the Manual of Tests and Criteria) which are unclear (or even contradictory) and due to that prevent a clear decision whether a combination of physical hazard classes according to the GHS is possible or not.</w:t>
      </w:r>
    </w:p>
    <w:p w14:paraId="65D49877" w14:textId="77777777" w:rsidR="008C5679" w:rsidRDefault="008C5679" w:rsidP="008C5679">
      <w:pPr>
        <w:pStyle w:val="SingleTxtG"/>
        <w:tabs>
          <w:tab w:val="left" w:pos="1701"/>
        </w:tabs>
        <w:rPr>
          <w:lang w:val="en-US"/>
        </w:rPr>
      </w:pPr>
      <w:r>
        <w:rPr>
          <w:lang w:val="en-US"/>
        </w:rPr>
        <w:t>3.</w:t>
      </w:r>
      <w:r>
        <w:rPr>
          <w:lang w:val="en-US"/>
        </w:rPr>
        <w:tab/>
        <w:t>The group considers specific proposals to amend the according text to be beyond its scope (the group is supposed to decide whether combinations of physical hazards according to the GHS are possible based on the existing criteria and text and not to amend these). Therefore, the group compiles these issues to bring them to the sub-committees’ attention.</w:t>
      </w:r>
    </w:p>
    <w:p w14:paraId="27EA06EA" w14:textId="089B1932" w:rsidR="008C5679" w:rsidRDefault="008C5679" w:rsidP="008C5679">
      <w:pPr>
        <w:pStyle w:val="SingleTxtG"/>
        <w:tabs>
          <w:tab w:val="left" w:pos="1701"/>
        </w:tabs>
        <w:rPr>
          <w:lang w:val="en-US"/>
        </w:rPr>
      </w:pPr>
      <w:r>
        <w:rPr>
          <w:lang w:val="en-US"/>
        </w:rPr>
        <w:lastRenderedPageBreak/>
        <w:t>4.</w:t>
      </w:r>
      <w:r>
        <w:rPr>
          <w:lang w:val="en-US"/>
        </w:rPr>
        <w:tab/>
        <w:t xml:space="preserve">Some of these issues were already discussed such that the group thinks they are ready to be forwarded to the sub-committees. They are outlined below in </w:t>
      </w:r>
      <w:r w:rsidR="007B7928">
        <w:rPr>
          <w:lang w:val="en-US"/>
        </w:rPr>
        <w:t>s</w:t>
      </w:r>
      <w:r>
        <w:rPr>
          <w:lang w:val="en-US"/>
        </w:rPr>
        <w:t xml:space="preserve">ections I.to IV The </w:t>
      </w:r>
      <w:r>
        <w:rPr>
          <w:lang w:val="en-US" w:eastAsia="ja-JP"/>
        </w:rPr>
        <w:t>informal working group (</w:t>
      </w:r>
      <w:r>
        <w:rPr>
          <w:lang w:val="en-US"/>
        </w:rPr>
        <w:t>IWG) on combinations of physical hazards invites the sub-committees to consider the issues and questions as appropriate. Where necessary, the group would also appreciate advice as to whether they deem amendments of the respective text necessary and if so, how that should be processed.</w:t>
      </w:r>
    </w:p>
    <w:p w14:paraId="5818183F" w14:textId="0CBBE840" w:rsidR="008C5679" w:rsidRPr="00DB7D2F" w:rsidRDefault="008C5679" w:rsidP="008C5679">
      <w:pPr>
        <w:pStyle w:val="H1G"/>
        <w:kinsoku/>
        <w:overflowPunct/>
        <w:autoSpaceDE/>
        <w:autoSpaceDN/>
        <w:adjustRightInd/>
        <w:snapToGrid/>
        <w:rPr>
          <w:rFonts w:eastAsia="Times New Roman"/>
          <w:lang w:val="en-US" w:eastAsia="en-US"/>
        </w:rPr>
      </w:pPr>
      <w:r>
        <w:rPr>
          <w:rFonts w:eastAsia="Times New Roman"/>
          <w:lang w:val="en-US" w:eastAsia="en-US"/>
        </w:rPr>
        <w:tab/>
      </w:r>
      <w:r w:rsidRPr="00DB7D2F">
        <w:rPr>
          <w:rFonts w:eastAsia="Times New Roman"/>
          <w:lang w:val="en-US" w:eastAsia="en-US"/>
        </w:rPr>
        <w:t>I.</w:t>
      </w:r>
      <w:r w:rsidRPr="00DB7D2F">
        <w:rPr>
          <w:rFonts w:eastAsia="Times New Roman"/>
          <w:lang w:val="en-US" w:eastAsia="en-US"/>
        </w:rPr>
        <w:tab/>
      </w:r>
      <w:r>
        <w:rPr>
          <w:rFonts w:eastAsia="Times New Roman"/>
          <w:lang w:val="en-US" w:eastAsia="en-US"/>
        </w:rPr>
        <w:t>Aerosols: Note 1 to Table 2.3.1 of the GHS</w:t>
      </w:r>
    </w:p>
    <w:p w14:paraId="2F670F8A" w14:textId="77777777" w:rsidR="008C5679" w:rsidRDefault="008C5679" w:rsidP="008C5679">
      <w:pPr>
        <w:pStyle w:val="SingleTxtG"/>
        <w:tabs>
          <w:tab w:val="left" w:pos="1701"/>
        </w:tabs>
        <w:rPr>
          <w:lang w:val="en-US"/>
        </w:rPr>
      </w:pPr>
      <w:r>
        <w:rPr>
          <w:lang w:val="en-US"/>
        </w:rPr>
        <w:t>5.</w:t>
      </w:r>
      <w:r>
        <w:rPr>
          <w:lang w:val="en-US"/>
        </w:rPr>
        <w:tab/>
        <w:t>The text of the Note reads:</w:t>
      </w:r>
    </w:p>
    <w:p w14:paraId="1FCBF521" w14:textId="7A83A651" w:rsidR="008C5679" w:rsidRPr="00AB5308" w:rsidRDefault="00D05637" w:rsidP="00D05637">
      <w:pPr>
        <w:pStyle w:val="SingleTxtG"/>
        <w:tabs>
          <w:tab w:val="left" w:pos="1701"/>
        </w:tabs>
        <w:ind w:left="1701"/>
        <w:rPr>
          <w:i/>
          <w:iCs/>
        </w:rPr>
      </w:pPr>
      <w:r w:rsidRPr="00D017DF">
        <w:rPr>
          <w:i/>
          <w:iCs/>
        </w:rPr>
        <w:t>“</w:t>
      </w:r>
      <w:r w:rsidR="008C5679" w:rsidRPr="00AB5308">
        <w:rPr>
          <w:b/>
          <w:bCs/>
          <w:i/>
          <w:iCs/>
        </w:rPr>
        <w:t>NOTE 1:</w:t>
      </w:r>
      <w:r w:rsidR="008C5679" w:rsidRPr="00AB5308">
        <w:rPr>
          <w:i/>
          <w:iCs/>
        </w:rPr>
        <w:tab/>
      </w:r>
      <w:r w:rsidR="008C5679" w:rsidRPr="00AB5308">
        <w:rPr>
          <w:i/>
          <w:iCs/>
          <w:lang w:val="en-US"/>
        </w:rPr>
        <w:t>Flammable</w:t>
      </w:r>
      <w:r w:rsidR="008C5679" w:rsidRPr="00AB5308">
        <w:rPr>
          <w:i/>
          <w:iCs/>
        </w:rPr>
        <w:t xml:space="preserve"> components do not cover pyrophoric, self-heating or water-reactive substances and mixtures because such components are never used as aerosol contents.</w:t>
      </w:r>
      <w:r>
        <w:rPr>
          <w:i/>
          <w:iCs/>
        </w:rPr>
        <w:t>”.</w:t>
      </w:r>
    </w:p>
    <w:p w14:paraId="6E87BE37" w14:textId="77777777" w:rsidR="008C5679" w:rsidRPr="00DB7D2F" w:rsidRDefault="008C5679" w:rsidP="008C5679">
      <w:pPr>
        <w:pStyle w:val="SingleTxtG"/>
        <w:tabs>
          <w:tab w:val="left" w:pos="1701"/>
        </w:tabs>
      </w:pPr>
      <w:r>
        <w:t>6.</w:t>
      </w:r>
      <w:r>
        <w:tab/>
      </w:r>
      <w:r w:rsidRPr="00AA66FC">
        <w:t xml:space="preserve">The Note was introduced (in the </w:t>
      </w:r>
      <w:r>
        <w:t>first</w:t>
      </w:r>
      <w:r w:rsidRPr="00AA66FC">
        <w:t xml:space="preserve"> version of the GHS) based on corresponding text in special provision 63 </w:t>
      </w:r>
      <w:r>
        <w:t>of</w:t>
      </w:r>
      <w:r w:rsidRPr="00AA66FC">
        <w:t xml:space="preserve"> the </w:t>
      </w:r>
      <w:r>
        <w:t xml:space="preserve">Model Regulations </w:t>
      </w:r>
      <w:r w:rsidRPr="00AA66FC">
        <w:t xml:space="preserve">and </w:t>
      </w:r>
      <w:r>
        <w:t xml:space="preserve">apparently </w:t>
      </w:r>
      <w:r w:rsidRPr="00AA66FC">
        <w:t>aims at clarifying what components are not “flammable components” in aerosols in the sense of section 2.3.1.2.1 in the GHS.</w:t>
      </w:r>
    </w:p>
    <w:p w14:paraId="68992BE7" w14:textId="77777777" w:rsidR="008C5679" w:rsidRDefault="008C5679" w:rsidP="008C5679">
      <w:pPr>
        <w:pStyle w:val="SingleTxtG"/>
        <w:tabs>
          <w:tab w:val="left" w:pos="1701"/>
        </w:tabs>
        <w:rPr>
          <w:lang w:val="en-US"/>
        </w:rPr>
      </w:pPr>
      <w:r>
        <w:t>7</w:t>
      </w:r>
      <w:r>
        <w:rPr>
          <w:lang w:val="en-US"/>
        </w:rPr>
        <w:t>.</w:t>
      </w:r>
      <w:r>
        <w:rPr>
          <w:lang w:val="en-US"/>
        </w:rPr>
        <w:tab/>
      </w:r>
      <w:bookmarkStart w:id="0" w:name="_Hlk107579997"/>
      <w:r>
        <w:rPr>
          <w:lang w:val="en-US"/>
        </w:rPr>
        <w:t>On combinations of the GHS physical hazard class “aerosols” with other physical hazard classes, the group has the following questions:</w:t>
      </w:r>
    </w:p>
    <w:p w14:paraId="57363AB9" w14:textId="77777777" w:rsidR="008C5679" w:rsidRPr="00AA66FC"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AA66FC">
        <w:rPr>
          <w:rFonts w:eastAsia="Times New Roman"/>
          <w:lang w:val="en-US" w:eastAsia="en-US"/>
        </w:rPr>
        <w:t>What does “do not cover” is supposed to mean? Is it simply stating that this is never done in practice? Or is it supposed to be a prohibition?</w:t>
      </w:r>
    </w:p>
    <w:p w14:paraId="5677A412" w14:textId="77777777" w:rsidR="008C5679" w:rsidRPr="00AA66FC"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AA66FC">
        <w:rPr>
          <w:rFonts w:eastAsia="Times New Roman"/>
          <w:lang w:val="en-US" w:eastAsia="en-US"/>
        </w:rPr>
        <w:t xml:space="preserve">If it is not a prohibition, how should such components (should they happen to be in an aerosol dispenser) be treated </w:t>
      </w:r>
      <w:proofErr w:type="gramStart"/>
      <w:r w:rsidRPr="00AA66FC">
        <w:rPr>
          <w:rFonts w:eastAsia="Times New Roman"/>
          <w:lang w:val="en-US" w:eastAsia="en-US"/>
        </w:rPr>
        <w:t>with regard to</w:t>
      </w:r>
      <w:proofErr w:type="gramEnd"/>
      <w:r w:rsidRPr="00AA66FC">
        <w:rPr>
          <w:rFonts w:eastAsia="Times New Roman"/>
          <w:lang w:val="en-US" w:eastAsia="en-US"/>
        </w:rPr>
        <w:t xml:space="preserve"> classification of the aerosol?</w:t>
      </w:r>
    </w:p>
    <w:p w14:paraId="46DE30B6" w14:textId="77777777" w:rsidR="008C5679"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(c)</w:t>
      </w:r>
      <w:r>
        <w:rPr>
          <w:rFonts w:eastAsia="Times New Roman"/>
          <w:lang w:val="en-US" w:eastAsia="en-US"/>
        </w:rPr>
        <w:tab/>
      </w:r>
      <w:r w:rsidRPr="00AA66FC">
        <w:rPr>
          <w:rFonts w:eastAsia="Times New Roman"/>
          <w:lang w:val="en-US" w:eastAsia="en-US"/>
        </w:rPr>
        <w:t>Why are certain hazards named (pyrophoric, self-heating, water-reactive) and others not (specifically explosives, self-</w:t>
      </w:r>
      <w:proofErr w:type="spellStart"/>
      <w:r w:rsidRPr="00AA66FC">
        <w:rPr>
          <w:rFonts w:eastAsia="Times New Roman"/>
          <w:lang w:val="en-US" w:eastAsia="en-US"/>
        </w:rPr>
        <w:t>reactives</w:t>
      </w:r>
      <w:proofErr w:type="spellEnd"/>
      <w:r w:rsidRPr="00AA66FC">
        <w:rPr>
          <w:rFonts w:eastAsia="Times New Roman"/>
          <w:lang w:val="en-US" w:eastAsia="en-US"/>
        </w:rPr>
        <w:t xml:space="preserve">, organic peroxides)? Is that supposed to mean that these other hazard classes can be contained in aerosols? And if so, how would they be considered </w:t>
      </w:r>
      <w:proofErr w:type="gramStart"/>
      <w:r w:rsidRPr="00AA66FC">
        <w:rPr>
          <w:rFonts w:eastAsia="Times New Roman"/>
          <w:lang w:val="en-US" w:eastAsia="en-US"/>
        </w:rPr>
        <w:t>with regard to</w:t>
      </w:r>
      <w:proofErr w:type="gramEnd"/>
      <w:r w:rsidRPr="00AA66FC">
        <w:rPr>
          <w:rFonts w:eastAsia="Times New Roman"/>
          <w:lang w:val="en-US" w:eastAsia="en-US"/>
        </w:rPr>
        <w:t xml:space="preserve"> classification of the aerosol?</w:t>
      </w:r>
    </w:p>
    <w:p w14:paraId="54FF9EB7" w14:textId="77777777" w:rsidR="008C5679" w:rsidRPr="0085262F"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(d)</w:t>
      </w:r>
      <w:r>
        <w:rPr>
          <w:rFonts w:eastAsia="Times New Roman"/>
          <w:lang w:val="en-US" w:eastAsia="en-US"/>
        </w:rPr>
        <w:tab/>
      </w:r>
      <w:r w:rsidRPr="0085262F">
        <w:rPr>
          <w:rFonts w:eastAsia="Times New Roman"/>
          <w:lang w:val="en-US" w:eastAsia="en-US"/>
        </w:rPr>
        <w:t xml:space="preserve">Is it justified that the wording </w:t>
      </w:r>
      <w:r>
        <w:rPr>
          <w:rFonts w:eastAsia="Times New Roman"/>
          <w:lang w:val="en-US" w:eastAsia="en-US"/>
        </w:rPr>
        <w:t xml:space="preserve">of Note 1 to Table 2.3.1 for aerosols </w:t>
      </w:r>
      <w:r w:rsidRPr="0085262F">
        <w:rPr>
          <w:rFonts w:eastAsia="Times New Roman"/>
          <w:lang w:val="en-US" w:eastAsia="en-US"/>
        </w:rPr>
        <w:t xml:space="preserve">is different from the Note for </w:t>
      </w:r>
      <w:r>
        <w:rPr>
          <w:rFonts w:eastAsia="Times New Roman"/>
          <w:lang w:val="en-US" w:eastAsia="en-US"/>
        </w:rPr>
        <w:t>chemicals under pressure</w:t>
      </w:r>
      <w:r w:rsidRPr="0085262F">
        <w:rPr>
          <w:rFonts w:eastAsia="Times New Roman"/>
          <w:lang w:val="en-US" w:eastAsia="en-US"/>
        </w:rPr>
        <w:t xml:space="preserve"> (see paragraph </w:t>
      </w:r>
      <w:r>
        <w:rPr>
          <w:rFonts w:eastAsia="Times New Roman"/>
          <w:lang w:val="en-US" w:eastAsia="en-US"/>
        </w:rPr>
        <w:t>8</w:t>
      </w:r>
      <w:r w:rsidRPr="0085262F">
        <w:rPr>
          <w:rFonts w:eastAsia="Times New Roman"/>
          <w:lang w:val="en-US" w:eastAsia="en-US"/>
        </w:rPr>
        <w:t xml:space="preserve"> </w:t>
      </w:r>
      <w:r>
        <w:rPr>
          <w:rFonts w:eastAsia="Times New Roman"/>
          <w:lang w:val="en-US" w:eastAsia="en-US"/>
        </w:rPr>
        <w:t>below</w:t>
      </w:r>
      <w:r w:rsidRPr="0085262F">
        <w:rPr>
          <w:rFonts w:eastAsia="Times New Roman"/>
          <w:lang w:val="en-US" w:eastAsia="en-US"/>
        </w:rPr>
        <w:t>)?</w:t>
      </w:r>
    </w:p>
    <w:p w14:paraId="6D78C232" w14:textId="77777777" w:rsidR="008C5679" w:rsidRDefault="008C5679" w:rsidP="00A14C50">
      <w:pPr>
        <w:pStyle w:val="Bullet1G"/>
        <w:numPr>
          <w:ilvl w:val="0"/>
          <w:numId w:val="0"/>
        </w:numPr>
        <w:ind w:left="2268" w:hanging="567"/>
        <w:rPr>
          <w:rFonts w:eastAsia="Times New Roman"/>
          <w:lang w:val="en-US" w:eastAsia="en-US"/>
        </w:rPr>
      </w:pPr>
      <w:r>
        <w:rPr>
          <w:rFonts w:eastAsia="Times New Roman"/>
          <w:lang w:val="en-US" w:eastAsia="en-US"/>
        </w:rPr>
        <w:t>(e)</w:t>
      </w:r>
      <w:r>
        <w:rPr>
          <w:rFonts w:eastAsia="Times New Roman"/>
          <w:lang w:val="en-US" w:eastAsia="en-US"/>
        </w:rPr>
        <w:tab/>
        <w:t>The TDG Sub-Committee is especially invited to explain how this is to be interpreted for transport. Specifically, the group would like to point to the prohibition for chemicals under pressure according to paragraph (d) in special provision 362 (see also below in Section II.). The IWG especially wonders whether the absence of such a prohibition in special provision 63 for aerosols is supposed to mean that substances with such classifications may be contained in aerosols for transport and that they are different from chemicals under pressure in that regard. If so, the group would like to understand what the reasoning for this difference between aerosols and chemicals under pressure is.</w:t>
      </w:r>
    </w:p>
    <w:bookmarkEnd w:id="0"/>
    <w:p w14:paraId="4CBEF1B3" w14:textId="1FC9955A" w:rsidR="008C5679" w:rsidRPr="00AA66FC" w:rsidRDefault="008C5679" w:rsidP="008C5679">
      <w:pPr>
        <w:pStyle w:val="H1G"/>
        <w:kinsoku/>
        <w:overflowPunct/>
        <w:autoSpaceDE/>
        <w:autoSpaceDN/>
        <w:adjustRightInd/>
        <w:snapToGrid/>
        <w:rPr>
          <w:rFonts w:eastAsia="Times New Roman"/>
          <w:lang w:val="en-US" w:eastAsia="en-US"/>
        </w:rPr>
      </w:pPr>
      <w:r>
        <w:rPr>
          <w:rFonts w:eastAsia="Times New Roman"/>
          <w:lang w:val="en-US" w:eastAsia="en-US"/>
        </w:rPr>
        <w:tab/>
        <w:t>II.</w:t>
      </w:r>
      <w:r>
        <w:rPr>
          <w:rFonts w:eastAsia="Times New Roman"/>
          <w:lang w:val="en-US" w:eastAsia="en-US"/>
        </w:rPr>
        <w:tab/>
        <w:t>Chemicals under pressure: Note 1 to Table 2.3.3 of the GHS</w:t>
      </w:r>
    </w:p>
    <w:p w14:paraId="544B2B7B" w14:textId="77777777" w:rsidR="008C5679" w:rsidRPr="00AB5308" w:rsidRDefault="008C5679" w:rsidP="008C5679">
      <w:pPr>
        <w:pStyle w:val="SingleTxtG"/>
        <w:tabs>
          <w:tab w:val="left" w:pos="1701"/>
        </w:tabs>
        <w:rPr>
          <w:lang w:val="en-US"/>
        </w:rPr>
      </w:pPr>
      <w:r>
        <w:rPr>
          <w:lang w:val="en-US"/>
        </w:rPr>
        <w:t>8.</w:t>
      </w:r>
      <w:r>
        <w:rPr>
          <w:lang w:val="en-US"/>
        </w:rPr>
        <w:tab/>
      </w:r>
      <w:r w:rsidRPr="00AB5308">
        <w:rPr>
          <w:lang w:val="en-US"/>
        </w:rPr>
        <w:t xml:space="preserve">The text of the Note </w:t>
      </w:r>
      <w:r>
        <w:rPr>
          <w:lang w:val="en-US"/>
        </w:rPr>
        <w:t>reads</w:t>
      </w:r>
      <w:r w:rsidRPr="00AB5308">
        <w:rPr>
          <w:lang w:val="en-US"/>
        </w:rPr>
        <w:t>:</w:t>
      </w:r>
    </w:p>
    <w:p w14:paraId="62CFE426" w14:textId="129943AD" w:rsidR="008C5679" w:rsidRPr="005F7D65" w:rsidRDefault="00C10F5B" w:rsidP="004E4AAC">
      <w:pPr>
        <w:pStyle w:val="SingleTxtG"/>
        <w:tabs>
          <w:tab w:val="left" w:pos="1701"/>
        </w:tabs>
        <w:ind w:left="1701"/>
        <w:rPr>
          <w:i/>
          <w:iCs/>
        </w:rPr>
      </w:pPr>
      <w:r>
        <w:rPr>
          <w:b/>
          <w:bCs/>
          <w:i/>
          <w:iCs/>
        </w:rPr>
        <w:t>“</w:t>
      </w:r>
      <w:r w:rsidR="008C5679" w:rsidRPr="005F7D65">
        <w:rPr>
          <w:b/>
          <w:bCs/>
          <w:i/>
          <w:iCs/>
        </w:rPr>
        <w:t>NOTE 1:</w:t>
      </w:r>
      <w:r w:rsidR="008C5679" w:rsidRPr="005F7D65">
        <w:rPr>
          <w:i/>
          <w:iCs/>
        </w:rPr>
        <w:tab/>
        <w:t>The flammable components in a chemical under pressure do not include pyrophoric, self-heating or water-reactive, substances and mixtures because such components are not allowed in chemicals under pressure in accordance with the UN Model Regulations.</w:t>
      </w:r>
      <w:r>
        <w:rPr>
          <w:i/>
          <w:iCs/>
        </w:rPr>
        <w:t>”</w:t>
      </w:r>
    </w:p>
    <w:p w14:paraId="5C70772B" w14:textId="77777777" w:rsidR="008C5679" w:rsidRPr="0085262F" w:rsidRDefault="008C5679" w:rsidP="008C5679">
      <w:pPr>
        <w:pStyle w:val="SingleTxtG"/>
        <w:tabs>
          <w:tab w:val="left" w:pos="1701"/>
        </w:tabs>
        <w:rPr>
          <w:rFonts w:eastAsia="Times New Roman"/>
          <w:lang w:val="en-US" w:eastAsia="en-US"/>
        </w:rPr>
      </w:pPr>
      <w:r>
        <w:rPr>
          <w:lang w:val="en-US"/>
        </w:rPr>
        <w:t>9.</w:t>
      </w:r>
      <w:r>
        <w:rPr>
          <w:lang w:val="en-US"/>
        </w:rPr>
        <w:tab/>
        <w:t>For the purposes of transport, special provision 362 applies. In paragraph (d) it contains the following requirements:</w:t>
      </w:r>
    </w:p>
    <w:p w14:paraId="6198A601" w14:textId="285971A7" w:rsidR="008C5679" w:rsidRPr="003039D8" w:rsidRDefault="00C10F5B" w:rsidP="004E4AAC">
      <w:pPr>
        <w:pStyle w:val="SingleTxtG"/>
        <w:keepNext/>
        <w:keepLines/>
        <w:ind w:left="2127" w:hanging="426"/>
        <w:rPr>
          <w:lang w:val="en-US"/>
        </w:rPr>
      </w:pPr>
      <w:r>
        <w:rPr>
          <w:lang w:val="en-US"/>
        </w:rPr>
        <w:lastRenderedPageBreak/>
        <w:t>“</w:t>
      </w:r>
      <w:r w:rsidR="008C5679" w:rsidRPr="003039D8">
        <w:rPr>
          <w:lang w:val="en-US"/>
        </w:rPr>
        <w:t>(d)</w:t>
      </w:r>
      <w:r w:rsidR="008C5679">
        <w:rPr>
          <w:lang w:val="en-US"/>
        </w:rPr>
        <w:tab/>
      </w:r>
      <w:r w:rsidR="008C5679" w:rsidRPr="003039D8">
        <w:rPr>
          <w:lang w:val="en-US"/>
        </w:rPr>
        <w:t>In addition, chemicals under pressure with components meeting the properties of: Class 1, explosives; Class 3, liquid desensitized explosives; Division 4.1, self</w:t>
      </w:r>
      <w:r w:rsidR="008C5679">
        <w:rPr>
          <w:lang w:val="en-US"/>
        </w:rPr>
        <w:t>-</w:t>
      </w:r>
      <w:r w:rsidR="008C5679" w:rsidRPr="003039D8">
        <w:rPr>
          <w:lang w:val="en-US"/>
        </w:rPr>
        <w:t>reactive substances and solid desensitized explosives; Division 4.2, substances liable to spontaneous combustion; Division 4.3, substances which, in contact with water, emit flammable gases; Division 5.1 oxidizing substances; Division 5.2, organic peroxides; Division 6.2, Infectious substances or Class 7, Radioactive material, shall not be used for transport under this proper shipping name;</w:t>
      </w:r>
      <w:r>
        <w:rPr>
          <w:lang w:val="en-US"/>
        </w:rPr>
        <w:t>”</w:t>
      </w:r>
    </w:p>
    <w:p w14:paraId="38255818" w14:textId="77777777" w:rsidR="008C5679" w:rsidRDefault="008C5679" w:rsidP="008C5679">
      <w:pPr>
        <w:pStyle w:val="SingleTxtG"/>
        <w:tabs>
          <w:tab w:val="left" w:pos="1701"/>
        </w:tabs>
        <w:rPr>
          <w:lang w:val="en-US"/>
        </w:rPr>
      </w:pPr>
      <w:r w:rsidRPr="00341962">
        <w:rPr>
          <w:lang w:val="en-US"/>
        </w:rPr>
        <w:t>10.</w:t>
      </w:r>
      <w:r>
        <w:rPr>
          <w:lang w:val="en-US"/>
        </w:rPr>
        <w:tab/>
        <w:t>The IWG has the following questions:</w:t>
      </w:r>
    </w:p>
    <w:p w14:paraId="0BB1617F" w14:textId="77777777" w:rsidR="008C5679" w:rsidRPr="0085262F" w:rsidRDefault="008C5679" w:rsidP="0057075A">
      <w:pPr>
        <w:pStyle w:val="Bullet1G"/>
        <w:numPr>
          <w:ilvl w:val="0"/>
          <w:numId w:val="0"/>
        </w:numPr>
        <w:ind w:left="2268" w:hanging="567"/>
        <w:rPr>
          <w:rFonts w:eastAsia="Times New Roman"/>
          <w:lang w:val="en-US" w:eastAsia="en-US"/>
        </w:rPr>
      </w:pPr>
      <w:r w:rsidRPr="0085262F">
        <w:rPr>
          <w:rFonts w:eastAsia="Times New Roman"/>
          <w:lang w:val="en-US" w:eastAsia="en-US"/>
        </w:rPr>
        <w:t>(a)</w:t>
      </w:r>
      <w:r w:rsidRPr="0085262F">
        <w:rPr>
          <w:rFonts w:eastAsia="Times New Roman"/>
          <w:lang w:val="en-US" w:eastAsia="en-US"/>
        </w:rPr>
        <w:tab/>
        <w:t xml:space="preserve">Is it justified that the wording </w:t>
      </w:r>
      <w:r>
        <w:rPr>
          <w:rFonts w:eastAsia="Times New Roman"/>
          <w:lang w:val="en-US" w:eastAsia="en-US"/>
        </w:rPr>
        <w:t xml:space="preserve">of Note 1 to Table 2.3.3 </w:t>
      </w:r>
      <w:r w:rsidRPr="0085262F">
        <w:rPr>
          <w:rFonts w:eastAsia="Times New Roman"/>
          <w:lang w:val="en-US" w:eastAsia="en-US"/>
        </w:rPr>
        <w:t xml:space="preserve">is different from the Note for aerosols (see paragraph </w:t>
      </w:r>
      <w:r>
        <w:rPr>
          <w:rFonts w:eastAsia="Times New Roman"/>
          <w:lang w:val="en-US" w:eastAsia="en-US"/>
        </w:rPr>
        <w:t>5</w:t>
      </w:r>
      <w:r w:rsidRPr="0085262F">
        <w:rPr>
          <w:rFonts w:eastAsia="Times New Roman"/>
          <w:lang w:val="en-US" w:eastAsia="en-US"/>
        </w:rPr>
        <w:t xml:space="preserve"> above)?</w:t>
      </w:r>
    </w:p>
    <w:p w14:paraId="2EF5F145" w14:textId="77777777" w:rsidR="008C5679" w:rsidRPr="0057075A" w:rsidRDefault="008C5679" w:rsidP="0057075A">
      <w:pPr>
        <w:pStyle w:val="Bullet1G"/>
        <w:numPr>
          <w:ilvl w:val="0"/>
          <w:numId w:val="0"/>
        </w:numPr>
        <w:ind w:left="2268" w:hanging="567"/>
        <w:rPr>
          <w:rFonts w:eastAsia="Times New Roman"/>
          <w:lang w:val="en-US" w:eastAsia="en-US"/>
        </w:rPr>
      </w:pPr>
      <w:r w:rsidRPr="0057075A">
        <w:rPr>
          <w:rFonts w:eastAsia="Times New Roman"/>
          <w:lang w:val="en-US" w:eastAsia="en-US"/>
        </w:rPr>
        <w:t>(b)</w:t>
      </w:r>
      <w:r w:rsidRPr="0057075A">
        <w:rPr>
          <w:rFonts w:eastAsia="Times New Roman"/>
          <w:lang w:val="en-US" w:eastAsia="en-US"/>
        </w:rPr>
        <w:tab/>
        <w:t>Furthermore, the questions in paragraph 7 above apply equivalently.</w:t>
      </w:r>
    </w:p>
    <w:p w14:paraId="2C35BD62" w14:textId="77777777" w:rsidR="008C5679" w:rsidRPr="0057075A" w:rsidRDefault="008C5679" w:rsidP="0057075A">
      <w:pPr>
        <w:pStyle w:val="Bullet1G"/>
        <w:numPr>
          <w:ilvl w:val="0"/>
          <w:numId w:val="0"/>
        </w:numPr>
        <w:ind w:left="2268" w:hanging="567"/>
        <w:rPr>
          <w:rFonts w:eastAsia="Times New Roman"/>
          <w:lang w:val="en-US" w:eastAsia="en-US"/>
        </w:rPr>
      </w:pPr>
      <w:r w:rsidRPr="0057075A">
        <w:rPr>
          <w:rFonts w:eastAsia="Times New Roman"/>
          <w:lang w:val="en-US" w:eastAsia="en-US"/>
        </w:rPr>
        <w:t>(c)</w:t>
      </w:r>
      <w:r w:rsidRPr="0057075A">
        <w:rPr>
          <w:rFonts w:eastAsia="Times New Roman"/>
          <w:lang w:val="en-US" w:eastAsia="en-US"/>
        </w:rPr>
        <w:tab/>
        <w:t xml:space="preserve">The </w:t>
      </w:r>
      <w:r w:rsidRPr="00341962">
        <w:rPr>
          <w:rFonts w:eastAsia="Times New Roman"/>
          <w:lang w:val="en-US" w:eastAsia="en-US"/>
        </w:rPr>
        <w:t>TDG</w:t>
      </w:r>
      <w:r w:rsidRPr="0057075A">
        <w:rPr>
          <w:rFonts w:eastAsia="Times New Roman"/>
          <w:lang w:val="en-US" w:eastAsia="en-US"/>
        </w:rPr>
        <w:t xml:space="preserve"> Sub-Committee is specifically invited to elaborate on the differences between special provision 63 for aerosols and special provision 362 for chemicals under pressure (see question (e) in paragraph 7 above).</w:t>
      </w:r>
    </w:p>
    <w:p w14:paraId="24AF1FDC" w14:textId="40C23958" w:rsidR="008C5679" w:rsidRPr="0010067C" w:rsidRDefault="008C5679" w:rsidP="008C5679">
      <w:pPr>
        <w:pStyle w:val="H1G"/>
        <w:kinsoku/>
        <w:overflowPunct/>
        <w:autoSpaceDE/>
        <w:autoSpaceDN/>
        <w:adjustRightInd/>
        <w:snapToGrid/>
        <w:rPr>
          <w:lang w:val="en-US"/>
        </w:rPr>
      </w:pPr>
      <w:r>
        <w:rPr>
          <w:lang w:val="en-US"/>
        </w:rPr>
        <w:tab/>
        <w:t>III.</w:t>
      </w:r>
      <w:r>
        <w:rPr>
          <w:lang w:val="en-US"/>
        </w:rPr>
        <w:tab/>
        <w:t xml:space="preserve">Test C.1 for </w:t>
      </w:r>
      <w:r>
        <w:rPr>
          <w:rFonts w:eastAsia="Times New Roman"/>
          <w:lang w:val="en-US" w:eastAsia="en-US"/>
        </w:rPr>
        <w:t>c</w:t>
      </w:r>
      <w:r w:rsidRPr="005F7D65">
        <w:rPr>
          <w:rFonts w:eastAsia="Times New Roman"/>
          <w:lang w:val="en-US" w:eastAsia="en-US"/>
        </w:rPr>
        <w:t>orrosive</w:t>
      </w:r>
      <w:r w:rsidRPr="0010067C">
        <w:rPr>
          <w:lang w:val="en-US"/>
        </w:rPr>
        <w:t xml:space="preserve"> to metals</w:t>
      </w:r>
    </w:p>
    <w:p w14:paraId="6D660ACB" w14:textId="77777777" w:rsidR="008C5679" w:rsidRPr="0010067C" w:rsidRDefault="008C5679" w:rsidP="008C5679">
      <w:pPr>
        <w:pStyle w:val="SingleTxtG"/>
        <w:tabs>
          <w:tab w:val="left" w:pos="1701"/>
        </w:tabs>
        <w:rPr>
          <w:lang w:val="en-US"/>
        </w:rPr>
      </w:pPr>
      <w:r>
        <w:rPr>
          <w:lang w:val="en-US"/>
        </w:rPr>
        <w:t>11.</w:t>
      </w:r>
      <w:r>
        <w:rPr>
          <w:lang w:val="en-US"/>
        </w:rPr>
        <w:tab/>
      </w:r>
      <w:r w:rsidRPr="0010067C">
        <w:rPr>
          <w:lang w:val="en-US"/>
        </w:rPr>
        <w:t xml:space="preserve">The group </w:t>
      </w:r>
      <w:r>
        <w:rPr>
          <w:lang w:val="en-US"/>
        </w:rPr>
        <w:t xml:space="preserve">has some fundamental questions that came up while discussing combinations with the hazard class corrosive to metals. Although not directly related to the question of combinations of physical hazards, the group would like to understand these, before assessing combinations. Specifically, the group </w:t>
      </w:r>
      <w:r w:rsidRPr="0010067C">
        <w:rPr>
          <w:lang w:val="en-US"/>
        </w:rPr>
        <w:t xml:space="preserve">wondered about the </w:t>
      </w:r>
      <w:r>
        <w:rPr>
          <w:lang w:val="en-US"/>
        </w:rPr>
        <w:t>purpose</w:t>
      </w:r>
      <w:r w:rsidRPr="0010067C">
        <w:rPr>
          <w:lang w:val="en-US"/>
        </w:rPr>
        <w:t xml:space="preserve"> of test C.1 for corrosive to metals in the context of </w:t>
      </w:r>
      <w:r>
        <w:rPr>
          <w:lang w:val="en-US"/>
        </w:rPr>
        <w:t>“</w:t>
      </w:r>
      <w:r w:rsidRPr="0010067C">
        <w:rPr>
          <w:lang w:val="en-US"/>
        </w:rPr>
        <w:t>classification</w:t>
      </w:r>
      <w:r>
        <w:rPr>
          <w:lang w:val="en-US"/>
        </w:rPr>
        <w:t>”</w:t>
      </w:r>
      <w:r w:rsidRPr="0010067C">
        <w:rPr>
          <w:lang w:val="en-US"/>
        </w:rPr>
        <w:t>.</w:t>
      </w:r>
    </w:p>
    <w:p w14:paraId="7EB8FFB5" w14:textId="77777777" w:rsidR="008C5679" w:rsidRPr="008D59B0"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8D59B0">
        <w:rPr>
          <w:rFonts w:eastAsia="Times New Roman"/>
          <w:lang w:val="en-US" w:eastAsia="en-US"/>
        </w:rPr>
        <w:t>Test C.1 does not seem to aim at determining compatibility with the packaging material because (</w:t>
      </w:r>
      <w:proofErr w:type="spellStart"/>
      <w:r w:rsidRPr="008D59B0">
        <w:rPr>
          <w:rFonts w:eastAsia="Times New Roman"/>
          <w:lang w:val="en-US" w:eastAsia="en-US"/>
        </w:rPr>
        <w:t>i</w:t>
      </w:r>
      <w:proofErr w:type="spellEnd"/>
      <w:r w:rsidRPr="008D59B0">
        <w:rPr>
          <w:rFonts w:eastAsia="Times New Roman"/>
          <w:lang w:val="en-US" w:eastAsia="en-US"/>
        </w:rPr>
        <w:t xml:space="preserve">) it uses only two specific alloys and (ii) the criterion is not suitable to determine material compatibility to be used as packaging material (too large corrosion rates). Is it </w:t>
      </w:r>
      <w:r>
        <w:rPr>
          <w:rFonts w:eastAsia="Times New Roman"/>
          <w:lang w:val="en-US" w:eastAsia="en-US"/>
        </w:rPr>
        <w:t>perhaps</w:t>
      </w:r>
      <w:r w:rsidRPr="008D59B0">
        <w:rPr>
          <w:rFonts w:eastAsia="Times New Roman"/>
          <w:lang w:val="en-US" w:eastAsia="en-US"/>
        </w:rPr>
        <w:t xml:space="preserve"> suitable only for one mode of transport (air)?</w:t>
      </w:r>
    </w:p>
    <w:p w14:paraId="1A36CD99" w14:textId="77777777" w:rsidR="008C5679" w:rsidRPr="008D59B0"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8D59B0">
        <w:rPr>
          <w:rFonts w:eastAsia="Times New Roman"/>
          <w:lang w:val="en-US" w:eastAsia="en-US"/>
        </w:rPr>
        <w:t xml:space="preserve">It can also be questioned why material compatibility should be established by way of classification and if so, why it is done for metals only (what about </w:t>
      </w:r>
      <w:proofErr w:type="gramStart"/>
      <w:r w:rsidRPr="008D59B0">
        <w:rPr>
          <w:rFonts w:eastAsia="Times New Roman"/>
          <w:lang w:val="en-US" w:eastAsia="en-US"/>
        </w:rPr>
        <w:t>e.g.</w:t>
      </w:r>
      <w:proofErr w:type="gramEnd"/>
      <w:r w:rsidRPr="008D59B0">
        <w:rPr>
          <w:rFonts w:eastAsia="Times New Roman"/>
          <w:lang w:val="en-US" w:eastAsia="en-US"/>
        </w:rPr>
        <w:t xml:space="preserve"> plastics?).</w:t>
      </w:r>
    </w:p>
    <w:p w14:paraId="437A3063" w14:textId="77777777" w:rsidR="008C5679" w:rsidRPr="008D59B0"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(c)</w:t>
      </w:r>
      <w:r>
        <w:rPr>
          <w:rFonts w:eastAsia="Times New Roman"/>
          <w:lang w:val="en-US" w:eastAsia="en-US"/>
        </w:rPr>
        <w:tab/>
      </w:r>
      <w:r w:rsidRPr="008D59B0">
        <w:rPr>
          <w:rFonts w:eastAsia="Times New Roman"/>
          <w:lang w:val="en-US" w:eastAsia="en-US"/>
        </w:rPr>
        <w:t xml:space="preserve">The group therefore would like to ask the </w:t>
      </w:r>
      <w:r>
        <w:rPr>
          <w:rFonts w:eastAsia="Times New Roman"/>
          <w:lang w:val="en-US" w:eastAsia="en-US"/>
        </w:rPr>
        <w:t>s</w:t>
      </w:r>
      <w:r w:rsidRPr="008D59B0">
        <w:rPr>
          <w:rFonts w:eastAsia="Times New Roman"/>
          <w:lang w:val="en-US" w:eastAsia="en-US"/>
        </w:rPr>
        <w:t>ub-</w:t>
      </w:r>
      <w:r>
        <w:rPr>
          <w:rFonts w:eastAsia="Times New Roman"/>
          <w:lang w:val="en-US" w:eastAsia="en-US"/>
        </w:rPr>
        <w:t>c</w:t>
      </w:r>
      <w:r w:rsidRPr="008D59B0">
        <w:rPr>
          <w:rFonts w:eastAsia="Times New Roman"/>
          <w:lang w:val="en-US" w:eastAsia="en-US"/>
        </w:rPr>
        <w:t>ommittees for what purpose that test was introduced</w:t>
      </w:r>
      <w:r>
        <w:rPr>
          <w:rFonts w:eastAsia="Times New Roman"/>
          <w:lang w:val="en-US" w:eastAsia="en-US"/>
        </w:rPr>
        <w:t>?</w:t>
      </w:r>
    </w:p>
    <w:p w14:paraId="419F1C95" w14:textId="77777777" w:rsidR="008C5679" w:rsidRDefault="008C5679" w:rsidP="008C5679">
      <w:pPr>
        <w:pStyle w:val="SingleTxtG"/>
        <w:tabs>
          <w:tab w:val="left" w:pos="1701"/>
        </w:tabs>
        <w:rPr>
          <w:lang w:val="en-US"/>
        </w:rPr>
      </w:pPr>
      <w:r>
        <w:rPr>
          <w:lang w:val="en-US"/>
        </w:rPr>
        <w:t>12.</w:t>
      </w:r>
      <w:r>
        <w:rPr>
          <w:lang w:val="en-US"/>
        </w:rPr>
        <w:tab/>
        <w:t>Furthermore, the group wonders whether and how gases would be classified as corrosive to metals. The following should be considered:</w:t>
      </w:r>
    </w:p>
    <w:p w14:paraId="10185912" w14:textId="77777777" w:rsidR="008C5679" w:rsidRPr="00FB02CE"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FB02CE">
        <w:rPr>
          <w:rFonts w:eastAsia="Times New Roman"/>
          <w:lang w:val="en-US" w:eastAsia="en-US"/>
        </w:rPr>
        <w:t xml:space="preserve">The definition in the GHS does not exclude gases; it just mentions substances and mixtures </w:t>
      </w:r>
      <w:r>
        <w:rPr>
          <w:rFonts w:eastAsia="Times New Roman"/>
          <w:lang w:val="en-US" w:eastAsia="en-US"/>
        </w:rPr>
        <w:t xml:space="preserve">– </w:t>
      </w:r>
      <w:r w:rsidRPr="00FB02CE">
        <w:rPr>
          <w:rFonts w:eastAsia="Times New Roman"/>
          <w:lang w:val="en-US" w:eastAsia="en-US"/>
        </w:rPr>
        <w:t xml:space="preserve">as opposed to </w:t>
      </w:r>
      <w:proofErr w:type="gramStart"/>
      <w:r w:rsidRPr="00FB02CE">
        <w:rPr>
          <w:rFonts w:eastAsia="Times New Roman"/>
          <w:lang w:val="en-US" w:eastAsia="en-US"/>
        </w:rPr>
        <w:t>e.g.</w:t>
      </w:r>
      <w:proofErr w:type="gramEnd"/>
      <w:r w:rsidRPr="00FB02CE">
        <w:rPr>
          <w:rFonts w:eastAsia="Times New Roman"/>
          <w:lang w:val="en-US" w:eastAsia="en-US"/>
        </w:rPr>
        <w:t xml:space="preserve"> self-</w:t>
      </w:r>
      <w:proofErr w:type="spellStart"/>
      <w:r w:rsidRPr="00FB02CE">
        <w:rPr>
          <w:rFonts w:eastAsia="Times New Roman"/>
          <w:lang w:val="en-US" w:eastAsia="en-US"/>
        </w:rPr>
        <w:t>reactives</w:t>
      </w:r>
      <w:proofErr w:type="spellEnd"/>
      <w:r w:rsidRPr="00FB02CE">
        <w:rPr>
          <w:rFonts w:eastAsia="Times New Roman"/>
          <w:lang w:val="en-US" w:eastAsia="en-US"/>
        </w:rPr>
        <w:t xml:space="preserve"> where specifically liquids and solids are mentioned.</w:t>
      </w:r>
    </w:p>
    <w:p w14:paraId="111DD252" w14:textId="77777777" w:rsidR="008C5679" w:rsidRPr="00FB02CE"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FB02CE">
        <w:rPr>
          <w:rFonts w:eastAsia="Times New Roman"/>
          <w:lang w:val="en-US" w:eastAsia="en-US"/>
        </w:rPr>
        <w:t>But test C.1 for corrosive to metals would normally be carried out with liquids and can be used for solids with adaptations (</w:t>
      </w:r>
      <w:proofErr w:type="gramStart"/>
      <w:r w:rsidRPr="00FB02CE">
        <w:rPr>
          <w:rFonts w:eastAsia="Times New Roman"/>
          <w:lang w:val="en-US" w:eastAsia="en-US"/>
        </w:rPr>
        <w:t>e.g.</w:t>
      </w:r>
      <w:proofErr w:type="gramEnd"/>
      <w:r w:rsidRPr="00FB02CE">
        <w:rPr>
          <w:rFonts w:eastAsia="Times New Roman"/>
          <w:lang w:val="en-US" w:eastAsia="en-US"/>
        </w:rPr>
        <w:t xml:space="preserve"> by dissolving the solid) but it cannot be carried out with gases.</w:t>
      </w:r>
    </w:p>
    <w:p w14:paraId="401A51E8" w14:textId="77777777" w:rsidR="008C5679" w:rsidRPr="00FB02CE"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(c)</w:t>
      </w:r>
      <w:r>
        <w:rPr>
          <w:rFonts w:eastAsia="Times New Roman"/>
          <w:lang w:val="en-US" w:eastAsia="en-US"/>
        </w:rPr>
        <w:tab/>
      </w:r>
      <w:r w:rsidRPr="00FB02CE">
        <w:rPr>
          <w:rFonts w:eastAsia="Times New Roman"/>
          <w:lang w:val="en-US" w:eastAsia="en-US"/>
        </w:rPr>
        <w:t>Additionally, it is important to note that there are gases that are corrosive to metals, specifically halogen acid forming gases.</w:t>
      </w:r>
    </w:p>
    <w:p w14:paraId="4CC4FB03" w14:textId="77777777" w:rsidR="008C5679" w:rsidRPr="0010067C" w:rsidRDefault="008C5679" w:rsidP="008C5679">
      <w:pPr>
        <w:pStyle w:val="H1G"/>
        <w:kinsoku/>
        <w:overflowPunct/>
        <w:autoSpaceDE/>
        <w:autoSpaceDN/>
        <w:adjustRightInd/>
        <w:snapToGrid/>
        <w:rPr>
          <w:lang w:val="en-US"/>
        </w:rPr>
      </w:pPr>
      <w:r>
        <w:rPr>
          <w:lang w:val="en-US"/>
        </w:rPr>
        <w:tab/>
        <w:t>IV.</w:t>
      </w:r>
      <w:r>
        <w:rPr>
          <w:lang w:val="en-US"/>
        </w:rPr>
        <w:tab/>
      </w:r>
      <w:r w:rsidRPr="0010067C">
        <w:rPr>
          <w:lang w:val="en-US"/>
        </w:rPr>
        <w:tab/>
        <w:t>Self-</w:t>
      </w:r>
      <w:proofErr w:type="spellStart"/>
      <w:r w:rsidRPr="0010067C">
        <w:rPr>
          <w:lang w:val="en-US"/>
        </w:rPr>
        <w:t>reactives</w:t>
      </w:r>
      <w:proofErr w:type="spellEnd"/>
      <w:r w:rsidRPr="0010067C">
        <w:rPr>
          <w:lang w:val="en-US"/>
        </w:rPr>
        <w:t xml:space="preserve"> and organic peroxides: Note 1 to the classification criteria</w:t>
      </w:r>
    </w:p>
    <w:p w14:paraId="3BDE71BD" w14:textId="37F86EBC" w:rsidR="008C5679" w:rsidRPr="0010067C" w:rsidRDefault="008C5679" w:rsidP="008C5679">
      <w:pPr>
        <w:pStyle w:val="SingleTxtG"/>
        <w:tabs>
          <w:tab w:val="left" w:pos="1701"/>
        </w:tabs>
        <w:rPr>
          <w:lang w:val="en-US"/>
        </w:rPr>
      </w:pPr>
      <w:r>
        <w:rPr>
          <w:lang w:val="en-US"/>
        </w:rPr>
        <w:t>13.</w:t>
      </w:r>
      <w:r>
        <w:rPr>
          <w:lang w:val="en-US"/>
        </w:rPr>
        <w:tab/>
      </w:r>
      <w:r w:rsidRPr="0010067C">
        <w:rPr>
          <w:lang w:val="en-US"/>
        </w:rPr>
        <w:t xml:space="preserve">Note 1 </w:t>
      </w:r>
      <w:r>
        <w:rPr>
          <w:lang w:val="en-US"/>
        </w:rPr>
        <w:t>in</w:t>
      </w:r>
      <w:r w:rsidRPr="0010067C">
        <w:rPr>
          <w:lang w:val="en-US"/>
        </w:rPr>
        <w:t xml:space="preserve"> 2.8.2.2 and 2.15.2.2</w:t>
      </w:r>
      <w:r>
        <w:rPr>
          <w:lang w:val="en-US"/>
        </w:rPr>
        <w:t xml:space="preserve"> of the GHS</w:t>
      </w:r>
      <w:r w:rsidRPr="0010067C">
        <w:rPr>
          <w:lang w:val="en-US"/>
        </w:rPr>
        <w:t xml:space="preserve"> </w:t>
      </w:r>
      <w:r w:rsidR="001C5D30">
        <w:rPr>
          <w:lang w:val="en-US"/>
        </w:rPr>
        <w:t>for self-</w:t>
      </w:r>
      <w:proofErr w:type="spellStart"/>
      <w:r w:rsidR="001C5D30">
        <w:rPr>
          <w:lang w:val="en-US"/>
        </w:rPr>
        <w:t>reactives</w:t>
      </w:r>
      <w:proofErr w:type="spellEnd"/>
      <w:r w:rsidR="001C5D30">
        <w:rPr>
          <w:lang w:val="en-US"/>
        </w:rPr>
        <w:t xml:space="preserve"> and organic peroxides </w:t>
      </w:r>
      <w:r w:rsidRPr="0010067C">
        <w:rPr>
          <w:lang w:val="en-US"/>
        </w:rPr>
        <w:t>respectively, reads as follows:</w:t>
      </w:r>
    </w:p>
    <w:p w14:paraId="5FBE3CB8" w14:textId="116E4948" w:rsidR="008C5679" w:rsidRPr="005F7D65" w:rsidRDefault="00FE331C" w:rsidP="004E4AAC">
      <w:pPr>
        <w:pStyle w:val="SingleTxtG"/>
        <w:tabs>
          <w:tab w:val="left" w:pos="1701"/>
        </w:tabs>
        <w:ind w:left="1701"/>
        <w:rPr>
          <w:i/>
          <w:iCs/>
        </w:rPr>
      </w:pPr>
      <w:r w:rsidRPr="005A6E81">
        <w:rPr>
          <w:i/>
          <w:iCs/>
        </w:rPr>
        <w:t>“</w:t>
      </w:r>
      <w:r w:rsidR="008C5679" w:rsidRPr="005F7D65">
        <w:rPr>
          <w:b/>
          <w:bCs/>
          <w:i/>
          <w:iCs/>
        </w:rPr>
        <w:t>NOTE 1:</w:t>
      </w:r>
      <w:r w:rsidR="008C5679" w:rsidRPr="005F7D65">
        <w:rPr>
          <w:i/>
          <w:iCs/>
        </w:rPr>
        <w:tab/>
        <w:t>Type G has no hazard communication elements assigned but should be considered for properties belonging to other hazard classes.</w:t>
      </w:r>
      <w:r>
        <w:rPr>
          <w:i/>
          <w:iCs/>
        </w:rPr>
        <w:t>”.</w:t>
      </w:r>
    </w:p>
    <w:p w14:paraId="202C4F9D" w14:textId="77777777" w:rsidR="008C5679" w:rsidRPr="0010067C" w:rsidRDefault="008C5679" w:rsidP="008C5679">
      <w:pPr>
        <w:pStyle w:val="SingleTxtG"/>
        <w:tabs>
          <w:tab w:val="left" w:pos="1701"/>
        </w:tabs>
        <w:rPr>
          <w:lang w:val="en-US"/>
        </w:rPr>
      </w:pPr>
      <w:r>
        <w:rPr>
          <w:lang w:val="en-US"/>
        </w:rPr>
        <w:lastRenderedPageBreak/>
        <w:t>14.</w:t>
      </w:r>
      <w:r>
        <w:rPr>
          <w:lang w:val="en-US"/>
        </w:rPr>
        <w:tab/>
      </w:r>
      <w:r w:rsidRPr="0010067C">
        <w:rPr>
          <w:lang w:val="en-US"/>
        </w:rPr>
        <w:t>To decide correctly which combinations of self-</w:t>
      </w:r>
      <w:proofErr w:type="spellStart"/>
      <w:r w:rsidRPr="0010067C">
        <w:rPr>
          <w:lang w:val="en-US"/>
        </w:rPr>
        <w:t>reactives</w:t>
      </w:r>
      <w:proofErr w:type="spellEnd"/>
      <w:r w:rsidRPr="0010067C">
        <w:rPr>
          <w:lang w:val="en-US"/>
        </w:rPr>
        <w:t xml:space="preserve"> and organic peroxides with other physical hazard classes are possible, the group would like to clarify the following questions:</w:t>
      </w:r>
    </w:p>
    <w:p w14:paraId="5EF6FBAC" w14:textId="77777777" w:rsidR="008C5679" w:rsidRPr="005F7D65"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(a)</w:t>
      </w:r>
      <w:r>
        <w:rPr>
          <w:rFonts w:eastAsia="Times New Roman"/>
          <w:lang w:val="en-US" w:eastAsia="en-US"/>
        </w:rPr>
        <w:tab/>
      </w:r>
      <w:r w:rsidRPr="005F7D65">
        <w:rPr>
          <w:rFonts w:eastAsia="Times New Roman"/>
          <w:lang w:val="en-US" w:eastAsia="en-US"/>
        </w:rPr>
        <w:t>Shouldn’t the Note rather refer more specifically to other physical hazard classes?</w:t>
      </w:r>
    </w:p>
    <w:p w14:paraId="4421D3D2" w14:textId="77777777" w:rsidR="008C5679" w:rsidRDefault="008C5679" w:rsidP="004E4AAC">
      <w:pPr>
        <w:pStyle w:val="Bullet1G"/>
        <w:numPr>
          <w:ilvl w:val="0"/>
          <w:numId w:val="0"/>
        </w:numPr>
        <w:ind w:left="2268" w:hanging="567"/>
        <w:rPr>
          <w:rFonts w:eastAsia="Times New Roman"/>
          <w:lang w:val="en-US" w:eastAsia="en-US"/>
        </w:rPr>
      </w:pPr>
      <w:r>
        <w:rPr>
          <w:rFonts w:eastAsia="Times New Roman"/>
          <w:lang w:val="en-US" w:eastAsia="en-US"/>
        </w:rPr>
        <w:t>(b)</w:t>
      </w:r>
      <w:r>
        <w:rPr>
          <w:rFonts w:eastAsia="Times New Roman"/>
          <w:lang w:val="en-US" w:eastAsia="en-US"/>
        </w:rPr>
        <w:tab/>
      </w:r>
      <w:r w:rsidRPr="005F7D65">
        <w:rPr>
          <w:rFonts w:eastAsia="Times New Roman"/>
          <w:lang w:val="en-US" w:eastAsia="en-US"/>
        </w:rPr>
        <w:t>Why is this Note only referring to Type G? Is that supposed to mean that the other types are not supposed to be considered for other (physical) hazard classes?</w:t>
      </w:r>
    </w:p>
    <w:p w14:paraId="70DE6D7B" w14:textId="77777777" w:rsidR="008C5679" w:rsidRPr="00A91257" w:rsidRDefault="008C5679" w:rsidP="008C5679">
      <w:pPr>
        <w:pStyle w:val="SingleTxtG"/>
        <w:tabs>
          <w:tab w:val="left" w:pos="1701"/>
        </w:tabs>
        <w:rPr>
          <w:rFonts w:eastAsia="Times New Roman"/>
          <w:lang w:val="en-US" w:eastAsia="en-US"/>
        </w:rPr>
      </w:pPr>
      <w:r>
        <w:rPr>
          <w:rFonts w:eastAsia="Times New Roman"/>
          <w:lang w:val="en-US" w:eastAsia="en-US"/>
        </w:rPr>
        <w:t>15.</w:t>
      </w:r>
      <w:r>
        <w:rPr>
          <w:rFonts w:eastAsia="Times New Roman"/>
          <w:lang w:val="en-US" w:eastAsia="en-US"/>
        </w:rPr>
        <w:tab/>
        <w:t>B</w:t>
      </w:r>
      <w:r w:rsidRPr="00A91257">
        <w:rPr>
          <w:rFonts w:eastAsia="Times New Roman"/>
          <w:lang w:val="en-US" w:eastAsia="en-US"/>
        </w:rPr>
        <w:t xml:space="preserve">ased on discussions in the IWG, </w:t>
      </w:r>
      <w:r>
        <w:rPr>
          <w:rFonts w:eastAsia="Times New Roman"/>
          <w:lang w:val="en-US" w:eastAsia="en-US"/>
        </w:rPr>
        <w:t>the group</w:t>
      </w:r>
      <w:r w:rsidRPr="00A91257">
        <w:rPr>
          <w:rFonts w:eastAsia="Times New Roman"/>
          <w:lang w:val="en-US" w:eastAsia="en-US"/>
        </w:rPr>
        <w:t xml:space="preserve"> think</w:t>
      </w:r>
      <w:r>
        <w:rPr>
          <w:rFonts w:eastAsia="Times New Roman"/>
          <w:lang w:val="en-US" w:eastAsia="en-US"/>
        </w:rPr>
        <w:t>s</w:t>
      </w:r>
      <w:r w:rsidRPr="00A91257">
        <w:rPr>
          <w:rFonts w:eastAsia="Times New Roman"/>
          <w:lang w:val="en-US" w:eastAsia="en-US"/>
        </w:rPr>
        <w:t xml:space="preserve"> that the Note specifically aims at Type G </w:t>
      </w:r>
      <w:r w:rsidRPr="00F623C2">
        <w:rPr>
          <w:rFonts w:eastAsia="Times New Roman"/>
          <w:lang w:val="en-US" w:eastAsia="en-US"/>
        </w:rPr>
        <w:t xml:space="preserve">because the other types already have hazard communication elements assigned that warn for a flammability hazard. A flammability hazard from a Type G self-reactive or organic peroxide would </w:t>
      </w:r>
      <w:r>
        <w:rPr>
          <w:rFonts w:eastAsia="Times New Roman"/>
          <w:lang w:val="en-US" w:eastAsia="en-US"/>
        </w:rPr>
        <w:t>be a “normal” flammability, often relating to the solvent or diluent used</w:t>
      </w:r>
      <w:r w:rsidRPr="00F623C2">
        <w:rPr>
          <w:rFonts w:eastAsia="Times New Roman"/>
          <w:lang w:val="en-US" w:eastAsia="en-US"/>
        </w:rPr>
        <w:t>.</w:t>
      </w:r>
      <w:r w:rsidRPr="00A91257">
        <w:rPr>
          <w:rFonts w:eastAsia="Times New Roman"/>
          <w:lang w:val="en-US" w:eastAsia="en-US"/>
        </w:rPr>
        <w:t xml:space="preserve"> </w:t>
      </w:r>
      <w:bookmarkStart w:id="1" w:name="_Hlk109909476"/>
      <w:r w:rsidRPr="00A91257">
        <w:rPr>
          <w:rFonts w:eastAsia="Times New Roman"/>
          <w:lang w:val="en-US" w:eastAsia="en-US"/>
        </w:rPr>
        <w:t xml:space="preserve">Taking this into account, the group would like to </w:t>
      </w:r>
      <w:r>
        <w:rPr>
          <w:rFonts w:eastAsia="Times New Roman"/>
          <w:lang w:val="en-US" w:eastAsia="en-US"/>
        </w:rPr>
        <w:t xml:space="preserve">facilitate the discussions by </w:t>
      </w:r>
      <w:r w:rsidRPr="00A91257">
        <w:rPr>
          <w:rFonts w:eastAsia="Times New Roman"/>
          <w:lang w:val="en-US" w:eastAsia="en-US"/>
        </w:rPr>
        <w:t>suggest</w:t>
      </w:r>
      <w:r>
        <w:rPr>
          <w:rFonts w:eastAsia="Times New Roman"/>
          <w:lang w:val="en-US" w:eastAsia="en-US"/>
        </w:rPr>
        <w:t>ing</w:t>
      </w:r>
      <w:r w:rsidRPr="00A91257">
        <w:rPr>
          <w:rFonts w:eastAsia="Times New Roman"/>
          <w:lang w:val="en-US" w:eastAsia="en-US"/>
        </w:rPr>
        <w:t xml:space="preserve"> an amended wording for the </w:t>
      </w:r>
      <w:r>
        <w:rPr>
          <w:rFonts w:eastAsia="Times New Roman"/>
          <w:lang w:val="en-US" w:eastAsia="en-US"/>
        </w:rPr>
        <w:t>n</w:t>
      </w:r>
      <w:r w:rsidRPr="00A91257">
        <w:rPr>
          <w:rFonts w:eastAsia="Times New Roman"/>
          <w:lang w:val="en-US" w:eastAsia="en-US"/>
        </w:rPr>
        <w:t>ote which hopefully is clearer and more specific:</w:t>
      </w:r>
      <w:bookmarkEnd w:id="1"/>
    </w:p>
    <w:p w14:paraId="201AEC64" w14:textId="3644E7A9" w:rsidR="008C5679" w:rsidRDefault="00282747" w:rsidP="00282747">
      <w:pPr>
        <w:pStyle w:val="SingleTxtG"/>
        <w:tabs>
          <w:tab w:val="left" w:pos="1701"/>
        </w:tabs>
        <w:ind w:left="1701"/>
        <w:rPr>
          <w:lang w:val="en-US"/>
        </w:rPr>
      </w:pPr>
      <w:r w:rsidRPr="005A6E81">
        <w:rPr>
          <w:rFonts w:eastAsia="Times New Roman"/>
          <w:i/>
          <w:iCs/>
          <w:lang w:val="en-US" w:eastAsia="en-US"/>
        </w:rPr>
        <w:t>“</w:t>
      </w:r>
      <w:r w:rsidR="008C5679">
        <w:rPr>
          <w:rFonts w:eastAsia="Times New Roman"/>
          <w:b/>
          <w:bCs/>
          <w:i/>
          <w:iCs/>
          <w:lang w:val="en-US" w:eastAsia="en-US"/>
        </w:rPr>
        <w:t>N</w:t>
      </w:r>
      <w:r>
        <w:rPr>
          <w:rFonts w:eastAsia="Times New Roman"/>
          <w:b/>
          <w:bCs/>
          <w:i/>
          <w:iCs/>
          <w:lang w:val="en-US" w:eastAsia="en-US"/>
        </w:rPr>
        <w:t>OTE</w:t>
      </w:r>
      <w:r w:rsidR="008C5679">
        <w:rPr>
          <w:rFonts w:eastAsia="Times New Roman"/>
          <w:b/>
          <w:bCs/>
          <w:i/>
          <w:iCs/>
          <w:lang w:val="en-US" w:eastAsia="en-US"/>
        </w:rPr>
        <w:t xml:space="preserve"> 1:</w:t>
      </w:r>
      <w:r w:rsidR="008C5679" w:rsidRPr="00E50C0B">
        <w:rPr>
          <w:rFonts w:eastAsia="Times New Roman"/>
          <w:i/>
          <w:iCs/>
          <w:lang w:val="en-US" w:eastAsia="en-US"/>
        </w:rPr>
        <w:tab/>
        <w:t>Self-reactive substances and mixtures t</w:t>
      </w:r>
      <w:r w:rsidR="008C5679" w:rsidRPr="003039D8">
        <w:rPr>
          <w:rFonts w:eastAsia="Times New Roman"/>
          <w:i/>
          <w:iCs/>
          <w:lang w:val="en-US" w:eastAsia="en-US"/>
        </w:rPr>
        <w:t>ype G have no hazard communication elements assigned according to this hazard class. They may, however, have flammable properties and be classified as flammable liquids (Chapter 2.6) or flammable solids (Chapter 2.7), and hence assigned the hazard communication elements associated with these hazard classes.</w:t>
      </w:r>
      <w:r>
        <w:rPr>
          <w:rFonts w:eastAsia="Times New Roman"/>
          <w:i/>
          <w:iCs/>
          <w:lang w:val="en-US" w:eastAsia="en-US"/>
        </w:rPr>
        <w:t>”.</w:t>
      </w:r>
    </w:p>
    <w:p w14:paraId="43EB7099" w14:textId="77777777" w:rsidR="008C5679" w:rsidRPr="003039D8" w:rsidRDefault="008C5679" w:rsidP="008C5679">
      <w:pPr>
        <w:pStyle w:val="SingleTxtG"/>
        <w:tabs>
          <w:tab w:val="left" w:pos="1701"/>
        </w:tabs>
        <w:rPr>
          <w:rFonts w:eastAsia="Times New Roman"/>
          <w:lang w:val="en-US" w:eastAsia="en-US"/>
        </w:rPr>
      </w:pPr>
      <w:r w:rsidRPr="003039D8">
        <w:rPr>
          <w:rFonts w:eastAsia="Times New Roman"/>
          <w:lang w:val="en-US" w:eastAsia="en-US"/>
        </w:rPr>
        <w:t>16.</w:t>
      </w:r>
      <w:r w:rsidRPr="003039D8">
        <w:rPr>
          <w:rFonts w:eastAsia="Times New Roman"/>
          <w:lang w:val="en-US" w:eastAsia="en-US"/>
        </w:rPr>
        <w:tab/>
        <w:t xml:space="preserve">The equivalent note for organic peroxides should </w:t>
      </w:r>
      <w:r>
        <w:rPr>
          <w:rFonts w:eastAsia="Times New Roman"/>
          <w:lang w:val="en-US" w:eastAsia="en-US"/>
        </w:rPr>
        <w:t xml:space="preserve">consequently </w:t>
      </w:r>
      <w:r w:rsidRPr="003039D8">
        <w:rPr>
          <w:rFonts w:eastAsia="Times New Roman"/>
          <w:lang w:val="en-US" w:eastAsia="en-US"/>
        </w:rPr>
        <w:t xml:space="preserve">be amended </w:t>
      </w:r>
      <w:r>
        <w:rPr>
          <w:rFonts w:eastAsia="Times New Roman"/>
          <w:lang w:val="en-US" w:eastAsia="en-US"/>
        </w:rPr>
        <w:t>in the same way to read:</w:t>
      </w:r>
    </w:p>
    <w:p w14:paraId="3A4B873B" w14:textId="3A284752" w:rsidR="008C5679" w:rsidRDefault="00282747" w:rsidP="00282747">
      <w:pPr>
        <w:pStyle w:val="SingleTxtG"/>
        <w:tabs>
          <w:tab w:val="left" w:pos="1701"/>
        </w:tabs>
        <w:ind w:left="1701"/>
        <w:rPr>
          <w:lang w:val="en-US"/>
        </w:rPr>
      </w:pPr>
      <w:r w:rsidRPr="005A6E81">
        <w:rPr>
          <w:rFonts w:eastAsia="Times New Roman"/>
          <w:i/>
          <w:iCs/>
          <w:lang w:val="en-US" w:eastAsia="en-US"/>
        </w:rPr>
        <w:t>“</w:t>
      </w:r>
      <w:r>
        <w:rPr>
          <w:rFonts w:eastAsia="Times New Roman"/>
          <w:b/>
          <w:bCs/>
          <w:i/>
          <w:iCs/>
          <w:lang w:val="en-US" w:eastAsia="en-US"/>
        </w:rPr>
        <w:t>NOTE</w:t>
      </w:r>
      <w:r w:rsidR="008C5679">
        <w:rPr>
          <w:rFonts w:eastAsia="Times New Roman"/>
          <w:b/>
          <w:bCs/>
          <w:i/>
          <w:iCs/>
          <w:lang w:val="en-US" w:eastAsia="en-US"/>
        </w:rPr>
        <w:t xml:space="preserve"> 1:</w:t>
      </w:r>
      <w:r w:rsidR="008C5679" w:rsidRPr="00E50C0B">
        <w:rPr>
          <w:rFonts w:eastAsia="Times New Roman"/>
          <w:i/>
          <w:iCs/>
          <w:lang w:val="en-US" w:eastAsia="en-US"/>
        </w:rPr>
        <w:tab/>
      </w:r>
      <w:r w:rsidR="008C5679">
        <w:rPr>
          <w:rFonts w:eastAsia="Times New Roman"/>
          <w:i/>
          <w:iCs/>
          <w:lang w:val="en-US" w:eastAsia="en-US"/>
        </w:rPr>
        <w:t>Organic peroxides</w:t>
      </w:r>
      <w:r w:rsidR="008C5679" w:rsidRPr="00E50C0B">
        <w:rPr>
          <w:rFonts w:eastAsia="Times New Roman"/>
          <w:i/>
          <w:iCs/>
          <w:lang w:val="en-US" w:eastAsia="en-US"/>
        </w:rPr>
        <w:t xml:space="preserve"> t</w:t>
      </w:r>
      <w:r w:rsidR="008C5679" w:rsidRPr="003039D8">
        <w:rPr>
          <w:rFonts w:eastAsia="Times New Roman"/>
          <w:i/>
          <w:iCs/>
          <w:lang w:val="en-US" w:eastAsia="en-US"/>
        </w:rPr>
        <w:t>ype G have no hazard communication elements assigned according to this hazard class. They may, however, have flammable properties and be classified as flammable liquids (Chapter 2.6) or flammable solids (Chapter 2.7), and hence assigned the hazard communication elements associated with these hazard classes.</w:t>
      </w:r>
      <w:r>
        <w:rPr>
          <w:rFonts w:eastAsia="Times New Roman"/>
          <w:i/>
          <w:iCs/>
          <w:lang w:val="en-US" w:eastAsia="en-US"/>
        </w:rPr>
        <w:t>”.</w:t>
      </w:r>
    </w:p>
    <w:p w14:paraId="0218340A" w14:textId="36081CE9" w:rsidR="00AF5DE1" w:rsidRPr="008C5679" w:rsidRDefault="008C5679" w:rsidP="008C5679">
      <w:pPr>
        <w:spacing w:before="240"/>
        <w:jc w:val="center"/>
        <w:rPr>
          <w:u w:val="single"/>
        </w:rPr>
      </w:pPr>
      <w:r>
        <w:rPr>
          <w:u w:val="single"/>
        </w:rPr>
        <w:tab/>
      </w:r>
      <w:r>
        <w:rPr>
          <w:u w:val="single"/>
        </w:rPr>
        <w:tab/>
      </w:r>
      <w:r>
        <w:rPr>
          <w:u w:val="single"/>
        </w:rPr>
        <w:tab/>
      </w:r>
    </w:p>
    <w:sectPr w:rsidR="00AF5DE1" w:rsidRPr="008C5679" w:rsidSect="008C5679">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D292" w14:textId="77777777" w:rsidR="0087328F" w:rsidRPr="00C47B2E" w:rsidRDefault="0087328F" w:rsidP="00C47B2E">
      <w:pPr>
        <w:pStyle w:val="Footer"/>
      </w:pPr>
    </w:p>
  </w:endnote>
  <w:endnote w:type="continuationSeparator" w:id="0">
    <w:p w14:paraId="6FDEB3C8" w14:textId="77777777" w:rsidR="0087328F" w:rsidRPr="00C47B2E" w:rsidRDefault="0087328F" w:rsidP="00C47B2E">
      <w:pPr>
        <w:pStyle w:val="Footer"/>
      </w:pPr>
    </w:p>
  </w:endnote>
  <w:endnote w:type="continuationNotice" w:id="1">
    <w:p w14:paraId="2525E8EB" w14:textId="77777777" w:rsidR="0087328F" w:rsidRPr="00C47B2E" w:rsidRDefault="0087328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E077" w14:textId="06F5DF51" w:rsidR="00D94B05" w:rsidRPr="008C5679" w:rsidRDefault="008C5679" w:rsidP="008C5679">
    <w:pPr>
      <w:pStyle w:val="Footer"/>
      <w:tabs>
        <w:tab w:val="right" w:pos="9598"/>
        <w:tab w:val="right" w:pos="9638"/>
      </w:tabs>
      <w:rPr>
        <w:sz w:val="18"/>
      </w:rPr>
    </w:pPr>
    <w:r w:rsidRPr="008C5679">
      <w:rPr>
        <w:b/>
        <w:sz w:val="18"/>
      </w:rPr>
      <w:fldChar w:fldCharType="begin"/>
    </w:r>
    <w:r w:rsidRPr="008C5679">
      <w:rPr>
        <w:b/>
        <w:sz w:val="18"/>
      </w:rPr>
      <w:instrText xml:space="preserve"> PAGE  \* MERGEFORMAT </w:instrText>
    </w:r>
    <w:r w:rsidRPr="008C5679">
      <w:rPr>
        <w:b/>
        <w:sz w:val="18"/>
      </w:rPr>
      <w:fldChar w:fldCharType="separate"/>
    </w:r>
    <w:r w:rsidRPr="008C5679">
      <w:rPr>
        <w:b/>
        <w:noProof/>
        <w:sz w:val="18"/>
      </w:rPr>
      <w:t>2</w:t>
    </w:r>
    <w:r w:rsidRPr="008C567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6F82" w14:textId="5A6595FB" w:rsidR="00D94B05" w:rsidRPr="008C5679" w:rsidRDefault="008C5679" w:rsidP="008C5679">
    <w:pPr>
      <w:pStyle w:val="Footer"/>
      <w:tabs>
        <w:tab w:val="left" w:pos="5775"/>
        <w:tab w:val="right" w:pos="9598"/>
        <w:tab w:val="right" w:pos="9638"/>
      </w:tabs>
      <w:jc w:val="right"/>
      <w:rPr>
        <w:sz w:val="18"/>
      </w:rPr>
    </w:pPr>
    <w:r>
      <w:rPr>
        <w:b/>
        <w:sz w:val="18"/>
      </w:rPr>
      <w:tab/>
    </w:r>
    <w:r w:rsidRPr="008C5679">
      <w:rPr>
        <w:sz w:val="18"/>
      </w:rPr>
      <w:fldChar w:fldCharType="begin"/>
    </w:r>
    <w:r w:rsidRPr="008C5679">
      <w:rPr>
        <w:sz w:val="18"/>
      </w:rPr>
      <w:instrText xml:space="preserve"> PAGE  \* MERGEFORMAT </w:instrText>
    </w:r>
    <w:r w:rsidRPr="008C5679">
      <w:rPr>
        <w:sz w:val="18"/>
      </w:rPr>
      <w:fldChar w:fldCharType="separate"/>
    </w:r>
    <w:r w:rsidRPr="008C5679">
      <w:rPr>
        <w:noProof/>
        <w:sz w:val="18"/>
      </w:rPr>
      <w:t>3</w:t>
    </w:r>
    <w:r w:rsidRPr="008C5679">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A513" w14:textId="77777777" w:rsidR="00D94B05" w:rsidRPr="008C567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FCC67F0" wp14:editId="0FBC59E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C35E" w14:textId="77777777" w:rsidR="0087328F" w:rsidRPr="00C47B2E" w:rsidRDefault="0087328F" w:rsidP="00C47B2E">
      <w:pPr>
        <w:tabs>
          <w:tab w:val="right" w:pos="2155"/>
        </w:tabs>
        <w:spacing w:after="80" w:line="240" w:lineRule="auto"/>
        <w:ind w:left="680"/>
      </w:pPr>
      <w:r>
        <w:rPr>
          <w:u w:val="single"/>
        </w:rPr>
        <w:tab/>
      </w:r>
    </w:p>
  </w:footnote>
  <w:footnote w:type="continuationSeparator" w:id="0">
    <w:p w14:paraId="2102E097" w14:textId="77777777" w:rsidR="0087328F" w:rsidRPr="00C47B2E" w:rsidRDefault="0087328F" w:rsidP="005E716E">
      <w:pPr>
        <w:tabs>
          <w:tab w:val="right" w:pos="2155"/>
        </w:tabs>
        <w:spacing w:after="80" w:line="240" w:lineRule="auto"/>
        <w:ind w:left="680"/>
      </w:pPr>
      <w:r>
        <w:rPr>
          <w:u w:val="single"/>
        </w:rPr>
        <w:tab/>
      </w:r>
    </w:p>
  </w:footnote>
  <w:footnote w:type="continuationNotice" w:id="1">
    <w:p w14:paraId="5FAA16D1" w14:textId="77777777" w:rsidR="0087328F" w:rsidRPr="00C47B2E" w:rsidRDefault="0087328F" w:rsidP="00C47B2E">
      <w:pPr>
        <w:pStyle w:val="Footer"/>
      </w:pPr>
    </w:p>
  </w:footnote>
  <w:footnote w:id="2">
    <w:p w14:paraId="0EB0D81C" w14:textId="38A35A1C" w:rsidR="008C5679" w:rsidRPr="008C5679" w:rsidRDefault="008C5679" w:rsidP="008C5679">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B5C7" w14:textId="20CB21C8" w:rsidR="008C5679" w:rsidRPr="008C5679" w:rsidRDefault="00E8642E">
    <w:pPr>
      <w:pStyle w:val="Header"/>
    </w:pPr>
    <w:r>
      <w:fldChar w:fldCharType="begin"/>
    </w:r>
    <w:r>
      <w:instrText xml:space="preserve"> TITLE  \* MERGEFORMAT </w:instrText>
    </w:r>
    <w:r>
      <w:fldChar w:fldCharType="separate"/>
    </w:r>
    <w:r w:rsidR="004D5ADE">
      <w:t>ST/SG/AC.10/C.3/2022/48</w:t>
    </w:r>
    <w:r>
      <w:fldChar w:fldCharType="end"/>
    </w:r>
    <w:r w:rsidR="008C5679">
      <w:br/>
    </w:r>
    <w:r>
      <w:fldChar w:fldCharType="begin"/>
    </w:r>
    <w:r>
      <w:instrText xml:space="preserve"> KEYWORDS  \* MERGEFORMAT </w:instrText>
    </w:r>
    <w:r>
      <w:fldChar w:fldCharType="separate"/>
    </w:r>
    <w:r w:rsidR="004D5ADE">
      <w:t>ST/SG/AC.10/C.4/2022/9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1C0" w14:textId="5EFE5200" w:rsidR="00D94B05" w:rsidRPr="008C5679" w:rsidRDefault="00E8642E" w:rsidP="008C5679">
    <w:pPr>
      <w:pStyle w:val="Header"/>
      <w:jc w:val="right"/>
    </w:pPr>
    <w:r>
      <w:fldChar w:fldCharType="begin"/>
    </w:r>
    <w:r>
      <w:instrText xml:space="preserve"> TITLE  \* MERGEFORMAT </w:instrText>
    </w:r>
    <w:r>
      <w:fldChar w:fldCharType="separate"/>
    </w:r>
    <w:r w:rsidR="004D5ADE">
      <w:t>ST/SG/AC.10/C.3/2022/48</w:t>
    </w:r>
    <w:r>
      <w:fldChar w:fldCharType="end"/>
    </w:r>
    <w:r w:rsidR="008C5679">
      <w:br/>
    </w:r>
    <w:r>
      <w:fldChar w:fldCharType="begin"/>
    </w:r>
    <w:r>
      <w:instrText xml:space="preserve"> KEYWORDS  \* MERGEFORMAT </w:instrText>
    </w:r>
    <w:r>
      <w:fldChar w:fldCharType="separate"/>
    </w:r>
    <w:r w:rsidR="004D5ADE">
      <w:t>ST/SG/AC.10/C.4/2022/9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1E6C" w14:textId="77777777" w:rsidR="008C5679" w:rsidRDefault="008C5679" w:rsidP="008C567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9"/>
    <w:rsid w:val="00046E92"/>
    <w:rsid w:val="00063C90"/>
    <w:rsid w:val="000B309F"/>
    <w:rsid w:val="000F0091"/>
    <w:rsid w:val="00101B98"/>
    <w:rsid w:val="001514D1"/>
    <w:rsid w:val="001C4C7C"/>
    <w:rsid w:val="001C5D30"/>
    <w:rsid w:val="002379B5"/>
    <w:rsid w:val="00247E2C"/>
    <w:rsid w:val="00282747"/>
    <w:rsid w:val="002A32CB"/>
    <w:rsid w:val="002D5B2C"/>
    <w:rsid w:val="002D6C53"/>
    <w:rsid w:val="002F5595"/>
    <w:rsid w:val="00314A02"/>
    <w:rsid w:val="00325E11"/>
    <w:rsid w:val="00334F6A"/>
    <w:rsid w:val="00342AC8"/>
    <w:rsid w:val="00343302"/>
    <w:rsid w:val="003979DE"/>
    <w:rsid w:val="003B4550"/>
    <w:rsid w:val="003D2A18"/>
    <w:rsid w:val="003D345F"/>
    <w:rsid w:val="003E0154"/>
    <w:rsid w:val="00413386"/>
    <w:rsid w:val="00461253"/>
    <w:rsid w:val="004858F5"/>
    <w:rsid w:val="004A21BC"/>
    <w:rsid w:val="004A2814"/>
    <w:rsid w:val="004B4972"/>
    <w:rsid w:val="004C0622"/>
    <w:rsid w:val="004D5ADE"/>
    <w:rsid w:val="004E4AAC"/>
    <w:rsid w:val="005042C2"/>
    <w:rsid w:val="0057075A"/>
    <w:rsid w:val="005A6E81"/>
    <w:rsid w:val="005E716E"/>
    <w:rsid w:val="006476E1"/>
    <w:rsid w:val="006604DF"/>
    <w:rsid w:val="00671529"/>
    <w:rsid w:val="006B6AE2"/>
    <w:rsid w:val="0070489D"/>
    <w:rsid w:val="007268F9"/>
    <w:rsid w:val="00750282"/>
    <w:rsid w:val="00764440"/>
    <w:rsid w:val="0077101B"/>
    <w:rsid w:val="007840FA"/>
    <w:rsid w:val="007B7928"/>
    <w:rsid w:val="007C52B0"/>
    <w:rsid w:val="007C6033"/>
    <w:rsid w:val="007D637A"/>
    <w:rsid w:val="008147C8"/>
    <w:rsid w:val="0081753A"/>
    <w:rsid w:val="008334A6"/>
    <w:rsid w:val="00857D23"/>
    <w:rsid w:val="0087328F"/>
    <w:rsid w:val="008C5679"/>
    <w:rsid w:val="009411B4"/>
    <w:rsid w:val="00946F1D"/>
    <w:rsid w:val="009D0139"/>
    <w:rsid w:val="009D717D"/>
    <w:rsid w:val="009F5CDC"/>
    <w:rsid w:val="00A072D7"/>
    <w:rsid w:val="00A14C50"/>
    <w:rsid w:val="00A35C7E"/>
    <w:rsid w:val="00A655A0"/>
    <w:rsid w:val="00A775CF"/>
    <w:rsid w:val="00AD1A9C"/>
    <w:rsid w:val="00AF5DE1"/>
    <w:rsid w:val="00B06045"/>
    <w:rsid w:val="00B206DD"/>
    <w:rsid w:val="00B52EF4"/>
    <w:rsid w:val="00B777AD"/>
    <w:rsid w:val="00C03015"/>
    <w:rsid w:val="00C0358D"/>
    <w:rsid w:val="00C10F5B"/>
    <w:rsid w:val="00C35A27"/>
    <w:rsid w:val="00C47B2E"/>
    <w:rsid w:val="00C976F9"/>
    <w:rsid w:val="00D017DF"/>
    <w:rsid w:val="00D05637"/>
    <w:rsid w:val="00D4362F"/>
    <w:rsid w:val="00D63CD2"/>
    <w:rsid w:val="00D66A47"/>
    <w:rsid w:val="00D87DC2"/>
    <w:rsid w:val="00D94B05"/>
    <w:rsid w:val="00DD6C5A"/>
    <w:rsid w:val="00E02C2B"/>
    <w:rsid w:val="00E21C27"/>
    <w:rsid w:val="00E26BCF"/>
    <w:rsid w:val="00E52109"/>
    <w:rsid w:val="00E75317"/>
    <w:rsid w:val="00E8642E"/>
    <w:rsid w:val="00EC0CE6"/>
    <w:rsid w:val="00EC7C1D"/>
    <w:rsid w:val="00ED6C48"/>
    <w:rsid w:val="00EE3045"/>
    <w:rsid w:val="00F65F5D"/>
    <w:rsid w:val="00F86A3A"/>
    <w:rsid w:val="00FE331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EA37C"/>
  <w15:docId w15:val="{E66F3D41-24E5-45B1-A28E-3472F3C4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C5679"/>
    <w:rPr>
      <w:b/>
      <w:sz w:val="28"/>
    </w:rPr>
  </w:style>
  <w:style w:type="character" w:customStyle="1" w:styleId="H1GChar">
    <w:name w:val="_ H_1_G Char"/>
    <w:link w:val="H1G"/>
    <w:locked/>
    <w:rsid w:val="008C5679"/>
    <w:rPr>
      <w:b/>
      <w:sz w:val="24"/>
    </w:rPr>
  </w:style>
  <w:style w:type="character" w:customStyle="1" w:styleId="SingleTxtGChar">
    <w:name w:val="_ Single Txt_G Char"/>
    <w:link w:val="SingleTxtG"/>
    <w:qFormat/>
    <w:rsid w:val="008C5679"/>
  </w:style>
  <w:style w:type="character" w:styleId="CommentReference">
    <w:name w:val="annotation reference"/>
    <w:basedOn w:val="DefaultParagraphFont"/>
    <w:uiPriority w:val="99"/>
    <w:semiHidden/>
    <w:unhideWhenUsed/>
    <w:rsid w:val="007D637A"/>
    <w:rPr>
      <w:sz w:val="16"/>
      <w:szCs w:val="16"/>
    </w:rPr>
  </w:style>
  <w:style w:type="paragraph" w:styleId="CommentText">
    <w:name w:val="annotation text"/>
    <w:basedOn w:val="Normal"/>
    <w:link w:val="CommentTextChar"/>
    <w:uiPriority w:val="99"/>
    <w:semiHidden/>
    <w:unhideWhenUsed/>
    <w:rsid w:val="007D637A"/>
    <w:pPr>
      <w:spacing w:line="240" w:lineRule="auto"/>
    </w:pPr>
  </w:style>
  <w:style w:type="character" w:customStyle="1" w:styleId="CommentTextChar">
    <w:name w:val="Comment Text Char"/>
    <w:basedOn w:val="DefaultParagraphFont"/>
    <w:link w:val="CommentText"/>
    <w:uiPriority w:val="99"/>
    <w:semiHidden/>
    <w:rsid w:val="007D637A"/>
  </w:style>
  <w:style w:type="paragraph" w:styleId="CommentSubject">
    <w:name w:val="annotation subject"/>
    <w:basedOn w:val="CommentText"/>
    <w:next w:val="CommentText"/>
    <w:link w:val="CommentSubjectChar"/>
    <w:uiPriority w:val="99"/>
    <w:semiHidden/>
    <w:unhideWhenUsed/>
    <w:rsid w:val="007D637A"/>
    <w:rPr>
      <w:b/>
      <w:bCs/>
    </w:rPr>
  </w:style>
  <w:style w:type="character" w:customStyle="1" w:styleId="CommentSubjectChar">
    <w:name w:val="Comment Subject Char"/>
    <w:basedOn w:val="CommentTextChar"/>
    <w:link w:val="CommentSubject"/>
    <w:uiPriority w:val="99"/>
    <w:semiHidden/>
    <w:rsid w:val="007D6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313ED-8014-4E9D-BABC-F478B8C6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FC545D04-2C1F-4905-AC0C-BED74536D486}">
  <ds:schemaRefs>
    <ds:schemaRef ds:uri="http://schemas.microsoft.com/office/2006/metadata/properties"/>
    <ds:schemaRef ds:uri="http://schemas.microsoft.com/office/2006/documentManagement/types"/>
    <ds:schemaRef ds:uri="4b4a1c0d-4a69-4996-a84a-fc699b9f49de"/>
    <ds:schemaRef ds:uri="http://purl.org/dc/elements/1.1/"/>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www.w3.org/XML/1998/namespace"/>
    <ds:schemaRef ds:uri="http://purl.org/dc/terms/"/>
  </ds:schemaRefs>
</ds:datastoreItem>
</file>

<file path=customXml/itemProps4.xml><?xml version="1.0" encoding="utf-8"?>
<ds:datastoreItem xmlns:ds="http://schemas.openxmlformats.org/officeDocument/2006/customXml" ds:itemID="{6E9565E2-6494-4105-9F42-98D2EEFB1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44</TotalTime>
  <Pages>4</Pages>
  <Words>1591</Words>
  <Characters>8669</Characters>
  <Application>Microsoft Office Word</Application>
  <DocSecurity>0</DocSecurity>
  <Lines>170</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ST/SG/AC.10/C.3/2022/48</dc:title>
  <dc:subject/>
  <dc:creator>Laurence BERTHET</dc:creator>
  <cp:keywords>ST/SG/AC.10/C.4/2022/9</cp:keywords>
  <cp:lastModifiedBy>Laurence Berthet</cp:lastModifiedBy>
  <cp:revision>33</cp:revision>
  <cp:lastPrinted>2022-09-09T14:15:00Z</cp:lastPrinted>
  <dcterms:created xsi:type="dcterms:W3CDTF">2022-09-05T06:40:00Z</dcterms:created>
  <dcterms:modified xsi:type="dcterms:W3CDTF">2022-09-09T14:27:00Z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MediaServiceImageTags">
    <vt:lpwstr/>
  </property>
  <property fmtid="{D5CDD505-2E9C-101B-9397-08002B2CF9AE}" pid="4" name="Office_x0020_of_x0020_Origin">
    <vt:lpwstr/>
  </property>
  <property fmtid="{D5CDD505-2E9C-101B-9397-08002B2CF9AE}" pid="5" name="ContentTypeId">
    <vt:lpwstr>0x0101003B8422D08C252547BB1CFA7F78E2CB83</vt:lpwstr>
  </property>
  <property fmtid="{D5CDD505-2E9C-101B-9397-08002B2CF9AE}" pid="6" name="gba66df640194346a5267c50f24d4797">
    <vt:lpwstr/>
  </property>
</Properties>
</file>