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D0124" w14:paraId="4E023B8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81DF7" w14:textId="77777777" w:rsidR="006D0124" w:rsidRPr="006D0124" w:rsidRDefault="006D0124" w:rsidP="006D0124">
            <w:pPr>
              <w:jc w:val="right"/>
              <w:rPr>
                <w:lang w:val="en-US"/>
              </w:rPr>
            </w:pPr>
            <w:r w:rsidRPr="006D0124">
              <w:rPr>
                <w:sz w:val="40"/>
                <w:lang w:val="en-US"/>
              </w:rPr>
              <w:t>E</w:t>
            </w:r>
            <w:r w:rsidRPr="006D0124">
              <w:rPr>
                <w:lang w:val="en-US"/>
              </w:rPr>
              <w:t>/ECE/324/Rev.2/Add.12H/Rev.4/Amend.2−</w:t>
            </w:r>
            <w:r w:rsidRPr="006D0124">
              <w:rPr>
                <w:sz w:val="40"/>
                <w:lang w:val="en-US"/>
              </w:rPr>
              <w:t>E</w:t>
            </w:r>
            <w:r w:rsidRPr="006D0124">
              <w:rPr>
                <w:lang w:val="en-US"/>
              </w:rPr>
              <w:t>/ECE/TRANS/505/Rev.2/Add.12H/Rev.4/Amend.2</w:t>
            </w:r>
          </w:p>
        </w:tc>
      </w:tr>
      <w:tr w:rsidR="00421A10" w:rsidRPr="00DB58B5" w14:paraId="7B247BA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B3B3F1" w14:textId="77777777" w:rsidR="00421A10" w:rsidRPr="006D012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0AF9F7" w14:textId="6FF4BFC4" w:rsidR="00421A10" w:rsidRPr="00DB58B5" w:rsidRDefault="006D0124" w:rsidP="00A27C92">
            <w:pPr>
              <w:spacing w:before="480" w:line="240" w:lineRule="exact"/>
            </w:pPr>
            <w:r>
              <w:t>25 novembre 2021</w:t>
            </w:r>
          </w:p>
        </w:tc>
      </w:tr>
    </w:tbl>
    <w:p w14:paraId="41A7B5E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9FAB789" w14:textId="5270D37C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6D0124" w:rsidRPr="00645CC1">
        <w:rPr>
          <w:lang w:val="fr-FR"/>
        </w:rPr>
        <w:t>l</w:t>
      </w:r>
      <w:r w:rsidR="006D0124">
        <w:rPr>
          <w:b w:val="0"/>
          <w:lang w:val="fr-FR"/>
        </w:rPr>
        <w:t>’</w:t>
      </w:r>
      <w:r w:rsidR="006D0124" w:rsidRPr="00645CC1">
        <w:rPr>
          <w:lang w:val="fr-FR"/>
        </w:rPr>
        <w:t>adoption de Règlements techniques harmonisés de l</w:t>
      </w:r>
      <w:r w:rsidR="006D0124">
        <w:rPr>
          <w:b w:val="0"/>
          <w:lang w:val="fr-FR"/>
        </w:rPr>
        <w:t>’</w:t>
      </w:r>
      <w:r w:rsidR="006D0124" w:rsidRPr="00645CC1">
        <w:rPr>
          <w:lang w:val="fr-FR"/>
        </w:rPr>
        <w:t xml:space="preserve">ONU </w:t>
      </w:r>
      <w:r w:rsidR="006D0124" w:rsidRPr="00E115FD">
        <w:rPr>
          <w:spacing w:val="4"/>
          <w:lang w:val="fr-FR"/>
        </w:rPr>
        <w:t>applicables aux véhicules à roues et aux équipements et pièces</w:t>
      </w:r>
      <w:r w:rsidR="006D0124" w:rsidRPr="00645CC1">
        <w:rPr>
          <w:lang w:val="fr-FR"/>
        </w:rPr>
        <w:t xml:space="preserve"> </w:t>
      </w:r>
      <w:r w:rsidR="006D0124" w:rsidRPr="00E115FD">
        <w:rPr>
          <w:spacing w:val="-2"/>
          <w:lang w:val="fr-FR"/>
        </w:rPr>
        <w:t>susceptibles d</w:t>
      </w:r>
      <w:r w:rsidR="006D0124" w:rsidRPr="00E115FD">
        <w:rPr>
          <w:b w:val="0"/>
          <w:spacing w:val="-2"/>
          <w:lang w:val="fr-FR"/>
        </w:rPr>
        <w:t>’</w:t>
      </w:r>
      <w:r w:rsidR="006D0124" w:rsidRPr="00E115FD">
        <w:rPr>
          <w:spacing w:val="-2"/>
          <w:lang w:val="fr-FR"/>
        </w:rPr>
        <w:t>être montés ou utilisés sur les véhicules à roues et les conditions de reconnaissance réciproque des homologations délivrées</w:t>
      </w:r>
      <w:r w:rsidR="006D0124" w:rsidRPr="00645CC1">
        <w:rPr>
          <w:lang w:val="fr-FR"/>
        </w:rPr>
        <w:t xml:space="preserve"> conformément à ces Règlements</w:t>
      </w:r>
      <w:r w:rsidR="006D0124" w:rsidRPr="006D012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25FE155" w14:textId="1AE0201A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6D0124">
        <w:t> </w:t>
      </w:r>
      <w:r w:rsidR="006D0124" w:rsidRPr="00645CC1">
        <w:rPr>
          <w:lang w:val="fr-FR"/>
        </w:rPr>
        <w:t>3, comprenant les amendements entrés en vigueur le 14</w:t>
      </w:r>
      <w:r w:rsidR="006D0124">
        <w:rPr>
          <w:lang w:val="fr-FR"/>
        </w:rPr>
        <w:t> </w:t>
      </w:r>
      <w:r w:rsidR="006D0124" w:rsidRPr="00645CC1">
        <w:rPr>
          <w:lang w:val="fr-FR"/>
        </w:rPr>
        <w:t>septembre 2017</w:t>
      </w:r>
      <w:r w:rsidRPr="006549FF">
        <w:t>)</w:t>
      </w:r>
    </w:p>
    <w:p w14:paraId="33543633" w14:textId="77777777" w:rsidR="00421A10" w:rsidRPr="006549FF" w:rsidRDefault="0029791D" w:rsidP="0029791D">
      <w:pPr>
        <w:jc w:val="center"/>
      </w:pPr>
      <w:r>
        <w:t>_______________</w:t>
      </w:r>
    </w:p>
    <w:p w14:paraId="40AFFE79" w14:textId="33118DEB" w:rsidR="00421A10" w:rsidRPr="006D0124" w:rsidRDefault="0029791D" w:rsidP="0029791D">
      <w:pPr>
        <w:pStyle w:val="HChG"/>
      </w:pPr>
      <w:r>
        <w:tab/>
      </w:r>
      <w:r>
        <w:tab/>
      </w:r>
      <w:r w:rsidR="00421A10" w:rsidRPr="006D0124">
        <w:t>Additif</w:t>
      </w:r>
      <w:r w:rsidR="006D0124" w:rsidRPr="006D0124">
        <w:t xml:space="preserve"> 12H </w:t>
      </w:r>
      <w:r w:rsidR="00421A10" w:rsidRPr="006D0124">
        <w:t xml:space="preserve">: Règlement </w:t>
      </w:r>
      <w:r w:rsidR="001E7643" w:rsidRPr="006D0124">
        <w:t xml:space="preserve">ONU </w:t>
      </w:r>
      <w:r w:rsidR="00421A10" w:rsidRPr="006D0124">
        <w:t>n</w:t>
      </w:r>
      <w:r w:rsidR="00421A10" w:rsidRPr="006D0124">
        <w:rPr>
          <w:vertAlign w:val="superscript"/>
        </w:rPr>
        <w:t>o</w:t>
      </w:r>
      <w:r w:rsidR="00421A10" w:rsidRPr="006D0124">
        <w:t> </w:t>
      </w:r>
      <w:r w:rsidR="006D0124" w:rsidRPr="006D0124">
        <w:t>13H</w:t>
      </w:r>
    </w:p>
    <w:p w14:paraId="3AC23E6D" w14:textId="52BCBF47" w:rsidR="00421A10" w:rsidRPr="006549FF" w:rsidRDefault="0029791D" w:rsidP="0029791D">
      <w:pPr>
        <w:pStyle w:val="H1G"/>
      </w:pPr>
      <w:r w:rsidRPr="006D0124">
        <w:tab/>
      </w:r>
      <w:r w:rsidRPr="006D0124">
        <w:tab/>
      </w:r>
      <w:r w:rsidR="00421A10" w:rsidRPr="006549FF">
        <w:t>Révision</w:t>
      </w:r>
      <w:r w:rsidR="006D0124">
        <w:t> 4 − Amendement 2</w:t>
      </w:r>
    </w:p>
    <w:p w14:paraId="48E1A69A" w14:textId="5EB751FE" w:rsidR="00421A10" w:rsidRPr="006D0124" w:rsidRDefault="00421A10" w:rsidP="0029791D">
      <w:pPr>
        <w:pStyle w:val="SingleTxtG"/>
        <w:spacing w:after="0"/>
        <w:rPr>
          <w:lang w:val="fr-FR"/>
        </w:rPr>
      </w:pPr>
      <w:r w:rsidRPr="004A7E44">
        <w:t>Comp</w:t>
      </w:r>
      <w:r w:rsidR="006D0124">
        <w:t>lément </w:t>
      </w:r>
      <w:r w:rsidR="006D0124" w:rsidRPr="00173D30">
        <w:rPr>
          <w:spacing w:val="-2"/>
          <w:lang w:val="fr-FR"/>
        </w:rPr>
        <w:t xml:space="preserve">2 </w:t>
      </w:r>
      <w:r w:rsidR="006D0124" w:rsidRPr="00645CC1">
        <w:rPr>
          <w:spacing w:val="-2"/>
          <w:lang w:val="fr-FR"/>
        </w:rPr>
        <w:t>à la série</w:t>
      </w:r>
      <w:r w:rsidR="006D0124">
        <w:rPr>
          <w:spacing w:val="-2"/>
          <w:lang w:val="fr-FR"/>
        </w:rPr>
        <w:t> </w:t>
      </w:r>
      <w:r w:rsidR="006D0124" w:rsidRPr="00173D30">
        <w:rPr>
          <w:spacing w:val="-2"/>
          <w:lang w:val="fr-FR"/>
        </w:rPr>
        <w:t xml:space="preserve">01 </w:t>
      </w:r>
      <w:r w:rsidR="006D0124" w:rsidRPr="00645CC1">
        <w:rPr>
          <w:spacing w:val="-2"/>
          <w:lang w:val="fr-FR"/>
        </w:rPr>
        <w:t>d</w:t>
      </w:r>
      <w:r w:rsidR="006D0124">
        <w:rPr>
          <w:spacing w:val="-2"/>
          <w:lang w:val="fr-FR"/>
        </w:rPr>
        <w:t>’</w:t>
      </w:r>
      <w:r w:rsidR="006D0124" w:rsidRPr="00173D30">
        <w:rPr>
          <w:spacing w:val="-2"/>
          <w:lang w:val="fr-FR"/>
        </w:rPr>
        <w:t>amend</w:t>
      </w:r>
      <w:r w:rsidR="006D0124" w:rsidRPr="00645CC1">
        <w:rPr>
          <w:spacing w:val="-2"/>
          <w:lang w:val="fr-FR"/>
        </w:rPr>
        <w:t>e</w:t>
      </w:r>
      <w:r w:rsidR="006D0124" w:rsidRPr="00173D30">
        <w:rPr>
          <w:spacing w:val="-2"/>
          <w:lang w:val="fr-FR"/>
        </w:rPr>
        <w:t xml:space="preserve">ments </w:t>
      </w:r>
      <w:r w:rsidR="006D0124">
        <w:rPr>
          <w:spacing w:val="-2"/>
          <w:lang w:val="fr-FR"/>
        </w:rPr>
        <w:t>−</w:t>
      </w:r>
      <w:r w:rsidR="006D0124" w:rsidRPr="00173D30">
        <w:rPr>
          <w:spacing w:val="-2"/>
          <w:lang w:val="fr-FR"/>
        </w:rPr>
        <w:t xml:space="preserve"> </w:t>
      </w:r>
      <w:r w:rsidR="006D0124" w:rsidRPr="00645CC1">
        <w:rPr>
          <w:spacing w:val="-2"/>
          <w:lang w:val="fr-FR"/>
        </w:rPr>
        <w:t>Date d</w:t>
      </w:r>
      <w:r w:rsidR="006D0124">
        <w:rPr>
          <w:spacing w:val="-2"/>
          <w:lang w:val="fr-FR"/>
        </w:rPr>
        <w:t>’</w:t>
      </w:r>
      <w:r w:rsidR="006D0124" w:rsidRPr="00645CC1">
        <w:rPr>
          <w:spacing w:val="-2"/>
          <w:lang w:val="fr-FR"/>
        </w:rPr>
        <w:t>entrée en vigueur</w:t>
      </w:r>
      <w:r w:rsidR="006D0124">
        <w:rPr>
          <w:spacing w:val="-2"/>
          <w:lang w:val="fr-FR"/>
        </w:rPr>
        <w:t> </w:t>
      </w:r>
      <w:r w:rsidR="006D0124" w:rsidRPr="00173D30">
        <w:rPr>
          <w:spacing w:val="-2"/>
          <w:lang w:val="fr-FR"/>
        </w:rPr>
        <w:t xml:space="preserve">: </w:t>
      </w:r>
      <w:r w:rsidR="006D0124" w:rsidRPr="00173D30">
        <w:rPr>
          <w:lang w:val="fr-FR"/>
        </w:rPr>
        <w:t>30</w:t>
      </w:r>
      <w:r w:rsidR="006D0124">
        <w:rPr>
          <w:lang w:val="fr-FR"/>
        </w:rPr>
        <w:t> </w:t>
      </w:r>
      <w:r w:rsidR="006D0124" w:rsidRPr="00645CC1">
        <w:rPr>
          <w:lang w:val="fr-FR"/>
        </w:rPr>
        <w:t>septembre</w:t>
      </w:r>
      <w:r w:rsidR="006D0124" w:rsidRPr="00173D30">
        <w:rPr>
          <w:lang w:val="fr-FR"/>
        </w:rPr>
        <w:t xml:space="preserve"> 2021</w:t>
      </w:r>
    </w:p>
    <w:p w14:paraId="5D607ED0" w14:textId="39D8AB8A" w:rsidR="006D0124" w:rsidRPr="00173D30" w:rsidRDefault="0029791D" w:rsidP="006D0124">
      <w:pPr>
        <w:pStyle w:val="H1G"/>
        <w:rPr>
          <w:lang w:val="fr-FR"/>
        </w:rPr>
      </w:pPr>
      <w:r>
        <w:tab/>
      </w:r>
      <w:r>
        <w:tab/>
      </w:r>
      <w:r w:rsidR="00421A10" w:rsidRPr="006D0124">
        <w:t>Prescriptions</w:t>
      </w:r>
      <w:r w:rsidR="00421A10" w:rsidRPr="006D0124">
        <w:rPr>
          <w:lang w:val="fr-FR"/>
        </w:rPr>
        <w:t xml:space="preserve"> uniformes relatives</w:t>
      </w:r>
      <w:r w:rsidR="00421A10" w:rsidRPr="006D0124">
        <w:t xml:space="preserve"> </w:t>
      </w:r>
      <w:r w:rsidR="006D0124" w:rsidRPr="006D0124">
        <w:rPr>
          <w:lang w:val="fr-FR"/>
        </w:rPr>
        <w:t>à l’homologation</w:t>
      </w:r>
      <w:r w:rsidR="006D0124" w:rsidRPr="00645CC1">
        <w:rPr>
          <w:lang w:val="fr-FR"/>
        </w:rPr>
        <w:t xml:space="preserve"> des voitures particulières en ce qui concerne le freinage</w:t>
      </w:r>
    </w:p>
    <w:p w14:paraId="3632EC3A" w14:textId="5404AFA1" w:rsidR="005F0207" w:rsidRDefault="006D0124" w:rsidP="006D0124">
      <w:pPr>
        <w:pStyle w:val="SingleTxtG"/>
        <w:rPr>
          <w:spacing w:val="-6"/>
          <w:lang w:val="fr-FR" w:eastAsia="en-GB"/>
        </w:rPr>
      </w:pPr>
      <w:r w:rsidRPr="00645CC1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645CC1">
        <w:rPr>
          <w:lang w:val="fr-FR" w:eastAsia="en-GB"/>
        </w:rPr>
        <w:t>information. Le texte authentique, juridiquement contraignant, est celui du document</w:t>
      </w:r>
      <w:r w:rsidRPr="00173D30">
        <w:rPr>
          <w:lang w:val="fr-FR" w:eastAsia="en-GB"/>
        </w:rPr>
        <w:t xml:space="preserve"> </w:t>
      </w:r>
      <w:r w:rsidRPr="00173D30">
        <w:rPr>
          <w:spacing w:val="-6"/>
          <w:lang w:val="fr-FR" w:eastAsia="en-GB"/>
        </w:rPr>
        <w:t>ECE/TRANS/WP.29/2021/13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D2DF5" wp14:editId="5AF8F56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4E3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6D7410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28FAAD2" wp14:editId="3C99284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E7168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D2DF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D454E3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6D7410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28FAAD2" wp14:editId="3C99284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E7168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val="fr-FR" w:eastAsia="en-GB"/>
        </w:rPr>
        <w:t>.</w:t>
      </w:r>
    </w:p>
    <w:p w14:paraId="52D2866F" w14:textId="43DA79E3" w:rsidR="006D0124" w:rsidRDefault="006D0124" w:rsidP="006D0124">
      <w:pPr>
        <w:pStyle w:val="SingleTxtG"/>
        <w:rPr>
          <w:spacing w:val="-6"/>
          <w:lang w:val="fr-FR" w:eastAsia="en-GB"/>
        </w:rPr>
      </w:pPr>
      <w:r>
        <w:rPr>
          <w:spacing w:val="-6"/>
          <w:lang w:val="fr-FR" w:eastAsia="en-GB"/>
        </w:rPr>
        <w:br w:type="page"/>
      </w:r>
    </w:p>
    <w:p w14:paraId="00F1F394" w14:textId="77777777" w:rsidR="006D0124" w:rsidRPr="006D0124" w:rsidRDefault="006D0124" w:rsidP="006D0124">
      <w:pPr>
        <w:pStyle w:val="SingleTxtG"/>
        <w:rPr>
          <w:i/>
          <w:iCs/>
          <w:lang w:val="fr-FR"/>
        </w:rPr>
      </w:pPr>
      <w:r w:rsidRPr="006D0124">
        <w:rPr>
          <w:i/>
          <w:iCs/>
          <w:lang w:val="fr-FR"/>
        </w:rPr>
        <w:lastRenderedPageBreak/>
        <w:t>Annexe 3</w:t>
      </w:r>
    </w:p>
    <w:p w14:paraId="5D1A2EC2" w14:textId="77777777" w:rsidR="006D0124" w:rsidRPr="009B6A64" w:rsidRDefault="006D0124" w:rsidP="006D0124">
      <w:pPr>
        <w:pStyle w:val="SingleTxtG"/>
        <w:rPr>
          <w:rFonts w:asciiTheme="majorBidi" w:hAnsiTheme="majorBidi" w:cstheme="majorBidi"/>
        </w:rPr>
      </w:pPr>
      <w:r w:rsidRPr="006D0124">
        <w:rPr>
          <w:i/>
          <w:iCs/>
          <w:lang w:val="fr-FR"/>
        </w:rPr>
        <w:t>Paragraphe 1.5.3.1</w:t>
      </w:r>
      <w:r w:rsidRPr="00BD3CFE">
        <w:rPr>
          <w:lang w:val="fr-FR"/>
        </w:rPr>
        <w:t>, lire</w:t>
      </w:r>
      <w:r>
        <w:rPr>
          <w:lang w:val="fr-FR"/>
        </w:rPr>
        <w:t> </w:t>
      </w:r>
      <w:r w:rsidRPr="00BD3CFE">
        <w:rPr>
          <w:lang w:val="fr-FR"/>
        </w:rPr>
        <w:t>:</w:t>
      </w:r>
    </w:p>
    <w:p w14:paraId="2F82CBAA" w14:textId="5DFCC02E" w:rsidR="006D0124" w:rsidRDefault="006D0124" w:rsidP="006D0124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BD3CFE">
        <w:rPr>
          <w:lang w:val="fr-FR"/>
        </w:rPr>
        <w:t>1.5.3.1</w:t>
      </w:r>
      <w:r w:rsidRPr="00BD3CFE">
        <w:rPr>
          <w:lang w:val="fr-FR"/>
        </w:rPr>
        <w:tab/>
        <w:t>Pour les véhicules équipés d</w:t>
      </w:r>
      <w:r>
        <w:rPr>
          <w:lang w:val="fr-FR"/>
        </w:rPr>
        <w:t>’</w:t>
      </w:r>
      <w:r w:rsidRPr="00BD3CFE">
        <w:rPr>
          <w:lang w:val="fr-FR"/>
        </w:rPr>
        <w:t>un système de freinage électrique à récupération de la catégorie</w:t>
      </w:r>
      <w:r>
        <w:rPr>
          <w:lang w:val="fr-FR"/>
        </w:rPr>
        <w:t> </w:t>
      </w:r>
      <w:r w:rsidRPr="00BD3CFE">
        <w:rPr>
          <w:lang w:val="fr-FR"/>
        </w:rPr>
        <w:t>B, les batteries peuvent être rechargées ou remplacées par un jeu chargé</w:t>
      </w:r>
      <w:r w:rsidRPr="00AA3C20">
        <w:rPr>
          <w:bCs/>
          <w:lang w:val="fr-FR"/>
        </w:rPr>
        <w:t>. Dans ce cas, il faut procéder au reconditionnement des garnitures</w:t>
      </w:r>
      <w:r w:rsidRPr="00BD3CFE">
        <w:rPr>
          <w:lang w:val="fr-FR"/>
        </w:rPr>
        <w:t xml:space="preserve"> afin de mener à bien le processus de récupération.</w:t>
      </w:r>
      <w:r>
        <w:rPr>
          <w:lang w:val="fr-FR"/>
        </w:rPr>
        <w:t> ».</w:t>
      </w:r>
    </w:p>
    <w:p w14:paraId="446583DF" w14:textId="39AD60D2" w:rsidR="006D0124" w:rsidRPr="006D0124" w:rsidRDefault="006D0124" w:rsidP="006D01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0124" w:rsidRPr="006D0124" w:rsidSect="006D01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34B9" w14:textId="77777777" w:rsidR="006B511A" w:rsidRDefault="006B511A"/>
  </w:endnote>
  <w:endnote w:type="continuationSeparator" w:id="0">
    <w:p w14:paraId="2F28EB8B" w14:textId="77777777" w:rsidR="006B511A" w:rsidRDefault="006B511A">
      <w:pPr>
        <w:pStyle w:val="Pieddepage"/>
      </w:pPr>
    </w:p>
  </w:endnote>
  <w:endnote w:type="continuationNotice" w:id="1">
    <w:p w14:paraId="050C0D79" w14:textId="77777777" w:rsidR="006B511A" w:rsidRPr="00C451B9" w:rsidRDefault="006B511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BE0A" w14:textId="77777777" w:rsidR="006D0124" w:rsidRPr="006D0124" w:rsidRDefault="006D0124" w:rsidP="006D0124">
    <w:pPr>
      <w:pStyle w:val="Pieddepage"/>
      <w:tabs>
        <w:tab w:val="right" w:pos="9638"/>
      </w:tabs>
    </w:pPr>
    <w:r w:rsidRPr="006D0124">
      <w:rPr>
        <w:b/>
        <w:sz w:val="18"/>
      </w:rPr>
      <w:fldChar w:fldCharType="begin"/>
    </w:r>
    <w:r w:rsidRPr="006D0124">
      <w:rPr>
        <w:b/>
        <w:sz w:val="18"/>
      </w:rPr>
      <w:instrText xml:space="preserve"> PAGE  \* MERGEFORMAT </w:instrText>
    </w:r>
    <w:r w:rsidRPr="006D0124">
      <w:rPr>
        <w:b/>
        <w:sz w:val="18"/>
      </w:rPr>
      <w:fldChar w:fldCharType="separate"/>
    </w:r>
    <w:r w:rsidRPr="006D0124">
      <w:rPr>
        <w:b/>
        <w:noProof/>
        <w:sz w:val="18"/>
      </w:rPr>
      <w:t>2</w:t>
    </w:r>
    <w:r w:rsidRPr="006D0124">
      <w:rPr>
        <w:b/>
        <w:sz w:val="18"/>
      </w:rPr>
      <w:fldChar w:fldCharType="end"/>
    </w:r>
    <w:r>
      <w:rPr>
        <w:b/>
        <w:sz w:val="18"/>
      </w:rPr>
      <w:tab/>
    </w:r>
    <w:r>
      <w:t>GE.21-17353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DD6" w14:textId="77777777" w:rsidR="006D0124" w:rsidRPr="006D0124" w:rsidRDefault="006D0124" w:rsidP="006D0124">
    <w:pPr>
      <w:pStyle w:val="Pieddepage"/>
      <w:tabs>
        <w:tab w:val="right" w:pos="9638"/>
      </w:tabs>
      <w:rPr>
        <w:b/>
        <w:sz w:val="18"/>
      </w:rPr>
    </w:pPr>
    <w:r>
      <w:t>GE.21-17353</w:t>
    </w:r>
    <w:r>
      <w:tab/>
    </w:r>
    <w:r w:rsidRPr="006D0124">
      <w:rPr>
        <w:b/>
        <w:sz w:val="18"/>
      </w:rPr>
      <w:fldChar w:fldCharType="begin"/>
    </w:r>
    <w:r w:rsidRPr="006D0124">
      <w:rPr>
        <w:b/>
        <w:sz w:val="18"/>
      </w:rPr>
      <w:instrText xml:space="preserve"> PAGE  \* MERGEFORMAT </w:instrText>
    </w:r>
    <w:r w:rsidRPr="006D0124">
      <w:rPr>
        <w:b/>
        <w:sz w:val="18"/>
      </w:rPr>
      <w:fldChar w:fldCharType="separate"/>
    </w:r>
    <w:r w:rsidRPr="006D0124">
      <w:rPr>
        <w:b/>
        <w:noProof/>
        <w:sz w:val="18"/>
      </w:rPr>
      <w:t>3</w:t>
    </w:r>
    <w:r w:rsidRPr="006D01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EEC0" w14:textId="392F7AEA" w:rsidR="00467F2C" w:rsidRPr="006D0124" w:rsidRDefault="006D0124" w:rsidP="006D0124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8057FD4" wp14:editId="260599F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21-17353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B1F1C7" wp14:editId="1E9526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160322    160322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5703" w14:textId="77777777" w:rsidR="006B511A" w:rsidRPr="00D27D5E" w:rsidRDefault="006B511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B27EFC" w14:textId="77777777" w:rsidR="006B511A" w:rsidRPr="00D171D4" w:rsidRDefault="006B511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93C7B7D" w14:textId="77777777" w:rsidR="006B511A" w:rsidRPr="00C451B9" w:rsidRDefault="006B511A" w:rsidP="00C451B9">
      <w:pPr>
        <w:spacing w:line="240" w:lineRule="auto"/>
        <w:rPr>
          <w:sz w:val="2"/>
          <w:szCs w:val="2"/>
        </w:rPr>
      </w:pPr>
    </w:p>
  </w:footnote>
  <w:footnote w:id="2">
    <w:p w14:paraId="1812AA3F" w14:textId="5ACA8B9A" w:rsidR="006D0124" w:rsidRPr="006D0124" w:rsidRDefault="006D0124" w:rsidP="006D0124">
      <w:pPr>
        <w:rPr>
          <w:sz w:val="18"/>
          <w:lang w:val="fr-FR"/>
        </w:rPr>
      </w:pPr>
      <w:r>
        <w:rPr>
          <w:rStyle w:val="Appelnotedebasdep"/>
        </w:rPr>
        <w:tab/>
      </w:r>
      <w:r w:rsidRPr="006D012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D0124">
        <w:rPr>
          <w:sz w:val="18"/>
          <w:lang w:val="fr-FR"/>
        </w:rPr>
        <w:t>Anciens titres de l’Accord</w:t>
      </w:r>
      <w:r>
        <w:rPr>
          <w:sz w:val="18"/>
          <w:lang w:val="fr-FR"/>
        </w:rPr>
        <w:t> </w:t>
      </w:r>
      <w:r w:rsidRPr="006D0124">
        <w:rPr>
          <w:sz w:val="18"/>
          <w:lang w:val="fr-FR"/>
        </w:rPr>
        <w:t>:</w:t>
      </w:r>
    </w:p>
    <w:p w14:paraId="1F19DEA6" w14:textId="1F9BE73C" w:rsidR="006D0124" w:rsidRPr="00645CC1" w:rsidRDefault="006D0124" w:rsidP="006D0124">
      <w:pPr>
        <w:pStyle w:val="Notedebasdepage"/>
        <w:rPr>
          <w:lang w:val="fr-FR"/>
        </w:rPr>
      </w:pPr>
      <w:r w:rsidRPr="00645CC1">
        <w:rPr>
          <w:lang w:val="fr-FR"/>
        </w:rPr>
        <w:tab/>
      </w:r>
      <w:r w:rsidRPr="00645CC1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>
        <w:rPr>
          <w:lang w:val="fr-FR"/>
        </w:rPr>
        <w:t> </w:t>
      </w:r>
      <w:r w:rsidRPr="00645CC1">
        <w:rPr>
          <w:lang w:val="fr-FR"/>
        </w:rPr>
        <w:t>20</w:t>
      </w:r>
      <w:r>
        <w:rPr>
          <w:lang w:val="fr-FR"/>
        </w:rPr>
        <w:t> </w:t>
      </w:r>
      <w:r w:rsidRPr="00645CC1">
        <w:rPr>
          <w:lang w:val="fr-FR"/>
        </w:rPr>
        <w:t>mars 1958 (version originale)</w:t>
      </w:r>
      <w:r>
        <w:rPr>
          <w:lang w:val="fr-FR"/>
        </w:rPr>
        <w:t> </w:t>
      </w:r>
      <w:r w:rsidRPr="00645CC1">
        <w:rPr>
          <w:lang w:val="fr-FR"/>
        </w:rPr>
        <w:t>;</w:t>
      </w:r>
    </w:p>
    <w:p w14:paraId="4D6E1D14" w14:textId="6606DCAC" w:rsidR="006D0124" w:rsidRPr="006D0124" w:rsidRDefault="006D0124" w:rsidP="006D0124">
      <w:pPr>
        <w:pStyle w:val="Notedebasdepage"/>
      </w:pPr>
      <w:r w:rsidRPr="00645CC1">
        <w:rPr>
          <w:lang w:val="fr-FR"/>
        </w:rPr>
        <w:tab/>
      </w:r>
      <w:r w:rsidRPr="00645CC1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>
        <w:rPr>
          <w:lang w:val="fr-FR"/>
        </w:rPr>
        <w:t> </w:t>
      </w:r>
      <w:r w:rsidRPr="00645CC1">
        <w:rPr>
          <w:lang w:val="fr-FR"/>
        </w:rPr>
        <w:t>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645CC1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3CCF" w14:textId="77777777" w:rsidR="006D0124" w:rsidRPr="006D0124" w:rsidRDefault="006D0124">
    <w:pPr>
      <w:pStyle w:val="En-tte"/>
      <w:rPr>
        <w:lang w:val="en-US"/>
      </w:rPr>
    </w:pPr>
    <w:r>
      <w:fldChar w:fldCharType="begin"/>
    </w:r>
    <w:r w:rsidRPr="006D0124">
      <w:rPr>
        <w:lang w:val="en-US"/>
      </w:rPr>
      <w:instrText xml:space="preserve"> TITLE  \* MERGEFORMAT </w:instrText>
    </w:r>
    <w:r>
      <w:fldChar w:fldCharType="separate"/>
    </w:r>
    <w:r w:rsidRPr="006D0124">
      <w:rPr>
        <w:lang w:val="en-US"/>
      </w:rPr>
      <w:t>E/ECE/324/Rev.2/Add.12H/Rev.4/Amend.2</w:t>
    </w:r>
    <w:r>
      <w:fldChar w:fldCharType="end"/>
    </w:r>
    <w:r w:rsidRPr="006D0124">
      <w:rPr>
        <w:lang w:val="en-US"/>
      </w:rPr>
      <w:br/>
    </w:r>
    <w:r>
      <w:fldChar w:fldCharType="begin"/>
    </w:r>
    <w:r w:rsidRPr="006D0124">
      <w:rPr>
        <w:lang w:val="en-US"/>
      </w:rPr>
      <w:instrText xml:space="preserve"> KEYWORDS  \* MERGEFORMAT </w:instrText>
    </w:r>
    <w:r>
      <w:fldChar w:fldCharType="separate"/>
    </w:r>
    <w:r w:rsidRPr="006D0124">
      <w:rPr>
        <w:lang w:val="en-US"/>
      </w:rPr>
      <w:t>E/ECE/TRANS/505/Rev.2/Add.12H/Rev.4/Amend.2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B072" w14:textId="77777777" w:rsidR="006D0124" w:rsidRPr="006D0124" w:rsidRDefault="006D0124" w:rsidP="006D0124">
    <w:pPr>
      <w:pStyle w:val="En-tte"/>
      <w:jc w:val="right"/>
      <w:rPr>
        <w:lang w:val="en-US"/>
      </w:rPr>
    </w:pPr>
    <w:r>
      <w:fldChar w:fldCharType="begin"/>
    </w:r>
    <w:r w:rsidRPr="006D0124">
      <w:rPr>
        <w:lang w:val="en-US"/>
      </w:rPr>
      <w:instrText xml:space="preserve"> TITLE  \* MERGEFORMAT </w:instrText>
    </w:r>
    <w:r>
      <w:fldChar w:fldCharType="separate"/>
    </w:r>
    <w:r w:rsidRPr="006D0124">
      <w:rPr>
        <w:lang w:val="en-US"/>
      </w:rPr>
      <w:t>E/ECE/324/Rev.2/Add.12H/Rev.4/Amend.2</w:t>
    </w:r>
    <w:r>
      <w:fldChar w:fldCharType="end"/>
    </w:r>
    <w:r w:rsidRPr="006D0124">
      <w:rPr>
        <w:lang w:val="en-US"/>
      </w:rPr>
      <w:br/>
    </w:r>
    <w:r>
      <w:fldChar w:fldCharType="begin"/>
    </w:r>
    <w:r w:rsidRPr="006D0124">
      <w:rPr>
        <w:lang w:val="en-US"/>
      </w:rPr>
      <w:instrText xml:space="preserve"> KEYWORDS  \* MERGEFORMAT </w:instrText>
    </w:r>
    <w:r>
      <w:fldChar w:fldCharType="separate"/>
    </w:r>
    <w:r w:rsidRPr="006D0124">
      <w:rPr>
        <w:lang w:val="en-US"/>
      </w:rPr>
      <w:t>E/ECE/TRANS/505/Rev.2/Add.12H/Rev.4/Amend.2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511A"/>
    <w:rsid w:val="006C340C"/>
    <w:rsid w:val="006D0124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115E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15FD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F18508"/>
  <w15:docId w15:val="{5C413876-F9F8-4657-9C35-00E9476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2D9D9-FB7E-495F-83ED-61A9F87FBD41}"/>
</file>

<file path=customXml/itemProps2.xml><?xml version="1.0" encoding="utf-8"?>
<ds:datastoreItem xmlns:ds="http://schemas.openxmlformats.org/officeDocument/2006/customXml" ds:itemID="{829B8362-B0B9-4816-87BA-BCC7229808E2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174</Words>
  <Characters>1087</Characters>
  <Application>Microsoft Office Word</Application>
  <DocSecurity>0</DocSecurity>
  <Lines>26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E/ECE/324/Rev.2/Add.12H/Rev.4/Amend.2</dc:title>
  <dc:creator>Marie DESCHAMPS</dc:creator>
  <cp:keywords>E/ECE/TRANS/505/Rev.2/Add.12H/Rev.4/Amend.2</cp:keywords>
  <cp:lastModifiedBy>Marie Deschamps</cp:lastModifiedBy>
  <cp:revision>2</cp:revision>
  <cp:lastPrinted>2008-11-04T15:54:00Z</cp:lastPrinted>
  <dcterms:created xsi:type="dcterms:W3CDTF">2022-03-16T11:06:00Z</dcterms:created>
  <dcterms:modified xsi:type="dcterms:W3CDTF">2022-03-16T11:06:00Z</dcterms:modified>
</cp:coreProperties>
</file>