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F52C" w14:textId="5C386638" w:rsidR="00DA2690" w:rsidRPr="00405791" w:rsidRDefault="009914B5" w:rsidP="00BF79DD">
      <w:pPr>
        <w:pStyle w:val="HChG"/>
        <w:spacing w:before="0"/>
        <w:ind w:firstLine="0"/>
        <w:jc w:val="center"/>
        <w:rPr>
          <w:lang w:val="en-GB"/>
        </w:rPr>
      </w:pPr>
      <w:r w:rsidRPr="00405791">
        <w:rPr>
          <w:lang w:val="en-GB"/>
        </w:rPr>
        <w:t>1958 Agreement</w:t>
      </w:r>
    </w:p>
    <w:p w14:paraId="509FB613" w14:textId="617A8975" w:rsidR="009914B5" w:rsidRPr="000355BF" w:rsidRDefault="009914B5" w:rsidP="00BF79DD">
      <w:pPr>
        <w:pStyle w:val="HChG"/>
        <w:spacing w:before="0"/>
        <w:ind w:firstLine="0"/>
        <w:jc w:val="center"/>
      </w:pPr>
      <w:r w:rsidRPr="000355BF">
        <w:t>Unique Identifier</w:t>
      </w:r>
      <w:r w:rsidR="00B941F3" w:rsidRPr="000355BF">
        <w:t xml:space="preserve"> and UN Regulations under the purview of the Working Party GRVA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6B22869F" w:rsidR="009914B5" w:rsidRPr="002D785E" w:rsidRDefault="00B941F3" w:rsidP="002D785E">
      <w:pPr>
        <w:pStyle w:val="SingleTxtG"/>
      </w:pPr>
      <w:r>
        <w:t>1.</w:t>
      </w:r>
      <w:r>
        <w:tab/>
      </w:r>
      <w:r w:rsidR="002D785E" w:rsidRPr="002D785E">
        <w:t xml:space="preserve">1958 Agreement (XI.B.16), Schedule 5, para. 3 reads: </w:t>
      </w:r>
    </w:p>
    <w:p w14:paraId="1D7636DC" w14:textId="05E3E593" w:rsidR="002D785E" w:rsidRPr="00B941F3" w:rsidRDefault="002D785E" w:rsidP="00B941F3">
      <w:pPr>
        <w:pStyle w:val="SingleTxtG"/>
        <w:ind w:left="1701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may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5EB44937" w:rsidR="00B941F3" w:rsidRDefault="00B941F3" w:rsidP="00B941F3">
      <w:pPr>
        <w:pStyle w:val="SingleTxtG"/>
      </w:pPr>
      <w:r>
        <w:t>2.</w:t>
      </w:r>
      <w:r>
        <w:tab/>
        <w:t>The UI feature is being developed. The IWG on DETA is consulting the subsidiary bodies of WP.29 concerning the proposed “summary document</w:t>
      </w:r>
      <w:r w:rsidR="00B47345">
        <w:t>s</w:t>
      </w:r>
      <w:r>
        <w:t>” aimed at storing information associated with a Unique Identifier.</w:t>
      </w:r>
    </w:p>
    <w:p w14:paraId="6DB1BAA0" w14:textId="67D671CF" w:rsidR="00B941F3" w:rsidRDefault="00B941F3" w:rsidP="00B941F3">
      <w:pPr>
        <w:pStyle w:val="SingleTxtG"/>
      </w:pPr>
      <w:r>
        <w:t>3.</w:t>
      </w:r>
      <w:r>
        <w:tab/>
        <w:t xml:space="preserve"> Following a presentation </w:t>
      </w:r>
      <w:r w:rsidR="00CC6CBD">
        <w:t xml:space="preserve">(GRVA-11-11) at </w:t>
      </w:r>
      <w:r w:rsidR="00B47345">
        <w:t>its</w:t>
      </w:r>
      <w:r w:rsidR="00CC6CBD">
        <w:t xml:space="preserve"> September 2021 session, GRVA requested the secretariat to review the list of </w:t>
      </w:r>
      <w:r w:rsidR="000355BF">
        <w:t>UN R</w:t>
      </w:r>
      <w:r w:rsidR="00CC6CBD">
        <w:t xml:space="preserve">egulation under the purview of GRVA (Decision 23 of the list of decisions and ECE/TRANS/WP.29/GRVA/11, para. 110) </w:t>
      </w:r>
    </w:p>
    <w:p w14:paraId="08E6E12B" w14:textId="05226EB8" w:rsidR="00CC6CBD" w:rsidRDefault="000355BF" w:rsidP="00B941F3">
      <w:pPr>
        <w:pStyle w:val="SingleTxtG"/>
      </w:pPr>
      <w:r>
        <w:t>Note:</w:t>
      </w:r>
      <w:r w:rsidR="00CC6CBD">
        <w:tab/>
        <w:t>The secretariat consulted the expert from OICA via email.</w:t>
      </w:r>
    </w:p>
    <w:p w14:paraId="3C44F84C" w14:textId="20ADA844" w:rsidR="00CC6CBD" w:rsidRDefault="00CC6CBD" w:rsidP="00CC6CBD">
      <w:pPr>
        <w:pStyle w:val="H1G"/>
      </w:pPr>
      <w:r>
        <w:tab/>
        <w:t>II.</w:t>
      </w:r>
      <w:r>
        <w:tab/>
        <w:t>List of UN Regulations and the use of UI</w:t>
      </w:r>
    </w:p>
    <w:p w14:paraId="411CFCE3" w14:textId="5A432458" w:rsidR="00CC6CBD" w:rsidRDefault="000355BF" w:rsidP="00CC6CBD">
      <w:pPr>
        <w:pStyle w:val="SingleTxtG"/>
      </w:pPr>
      <w:r>
        <w:t>4</w:t>
      </w:r>
      <w:r w:rsidR="00CC6CBD">
        <w:t>.</w:t>
      </w:r>
      <w:r w:rsidR="00CC6CBD">
        <w:tab/>
        <w:t>The secretariat referred to the list of regulations annexed to the 1958 Agreement contained in the ECE/TRANS/WP.29/</w:t>
      </w:r>
      <w:r w:rsidR="00CC6CBD" w:rsidRPr="00CC6CBD">
        <w:rPr>
          <w:b/>
          <w:bCs/>
        </w:rPr>
        <w:t>343</w:t>
      </w:r>
      <w:r w:rsidR="00CC6CBD">
        <w:t>/Rev.</w:t>
      </w:r>
      <w:r w:rsidR="00A12AA4">
        <w:t>30</w:t>
      </w:r>
      <w:r w:rsidR="00613D53">
        <w:t xml:space="preserve"> and proposes the following initial assessment. </w:t>
      </w:r>
    </w:p>
    <w:p w14:paraId="4BE22022" w14:textId="0B29F704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GRVA</w:t>
      </w:r>
      <w:r>
        <w:rPr>
          <w:b/>
          <w:bCs/>
        </w:rPr>
        <w:t xml:space="preserve"> with regards to UI</w:t>
      </w:r>
    </w:p>
    <w:tbl>
      <w:tblPr>
        <w:tblStyle w:val="TableGrid"/>
        <w:tblW w:w="7463" w:type="dxa"/>
        <w:tblInd w:w="1134" w:type="dxa"/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92"/>
      </w:tblGrid>
      <w:tr w:rsidR="00CC6CBD" w:rsidRPr="00613D53" w14:paraId="679E3F1F" w14:textId="77777777" w:rsidTr="00BF79DD"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</w:tcPr>
          <w:p w14:paraId="225109BF" w14:textId="539E59CE" w:rsidR="00CC6CBD" w:rsidRPr="00613D53" w:rsidRDefault="00CC6CBD" w:rsidP="00613D53">
            <w:pPr>
              <w:pStyle w:val="Roman8pt"/>
              <w:spacing w:before="10" w:after="10"/>
              <w:jc w:val="center"/>
              <w:rPr>
                <w:i/>
              </w:rPr>
            </w:pPr>
            <w:r w:rsidRPr="00613D53">
              <w:rPr>
                <w:i/>
              </w:rPr>
              <w:t>UN Regulation</w:t>
            </w:r>
            <w:r w:rsidR="00613D53">
              <w:rPr>
                <w:i/>
              </w:rPr>
              <w:t>s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</w:tcPr>
          <w:p w14:paraId="19EFAD4B" w14:textId="49777EA8" w:rsidR="00CC6CBD" w:rsidRPr="00613D53" w:rsidRDefault="00CC6CBD" w:rsidP="00613D53">
            <w:pPr>
              <w:pStyle w:val="Roman8pt"/>
              <w:spacing w:before="10" w:after="10"/>
              <w:jc w:val="center"/>
              <w:rPr>
                <w:i/>
              </w:rPr>
            </w:pPr>
            <w:r w:rsidRPr="00613D53">
              <w:rPr>
                <w:i/>
              </w:rPr>
              <w:t>Use of UI shall be prohibited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D7E5F9" w14:textId="4690A4FB" w:rsidR="00CC6CBD" w:rsidRPr="00613D53" w:rsidRDefault="00CC6CBD" w:rsidP="00613D53">
            <w:pPr>
              <w:pStyle w:val="Roman8pt"/>
              <w:spacing w:before="10" w:after="10"/>
              <w:jc w:val="center"/>
              <w:rPr>
                <w:i/>
              </w:rPr>
            </w:pPr>
            <w:r w:rsidRPr="00613D53">
              <w:rPr>
                <w:i/>
              </w:rPr>
              <w:t>Remark</w:t>
            </w:r>
          </w:p>
        </w:tc>
      </w:tr>
      <w:tr w:rsidR="00613D53" w:rsidRPr="00613D53" w14:paraId="629C1900" w14:textId="77777777" w:rsidTr="00BF79DD"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E874E9" w14:textId="5F18B9A3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D9D0A8" w14:textId="3FCC6A98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No*</w:t>
            </w:r>
            <w:r w:rsidR="00A607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2697D9" w14:textId="23D52204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5EA4CB3C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058C" w14:textId="5296814C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13-H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797898" w14:textId="584BCC42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No*</w:t>
            </w:r>
            <w:r w:rsidR="00A607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60732" w:rsidRPr="00A6073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(relevant to the 00 series)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238E" w14:textId="4286CB6B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258BA99E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B607" w14:textId="72EB2DB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F526B4" w14:textId="5E2304A7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No*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A7A1E" w14:textId="4836AB27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3C5DF36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C845" w14:textId="43453E36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6DEFE9" w14:textId="5AFB9E3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98667" w14:textId="7450C47E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4500AC35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BA29" w14:textId="5270862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C2A2CA" w14:textId="4F698CCF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C0ECD" w14:textId="598F00FF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4441A733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5002" w14:textId="41D6FBD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994601" w14:textId="0A03006E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F4FB5" w14:textId="5E260DC7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826CC3A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1E34" w14:textId="57C8F4AC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color w:val="000000"/>
                <w:sz w:val="20"/>
                <w:szCs w:val="20"/>
              </w:rPr>
              <w:t>UN R 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6B8018" w14:textId="3283BB8A" w:rsidR="00613D53" w:rsidRPr="00A12AA4" w:rsidRDefault="000355BF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-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DCBF8" w14:textId="22C40971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GRVA may wish to consult GRSG</w:t>
            </w:r>
          </w:p>
        </w:tc>
      </w:tr>
      <w:tr w:rsidR="00613D53" w:rsidRPr="00613D53" w14:paraId="3D1389D0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E1ED" w14:textId="6F87CB4E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60FC71" w14:textId="02567B70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4F7F" w14:textId="74EB6EA5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EE42AD3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BFC3" w14:textId="478F60A1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BB7575" w14:textId="020A9317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="00A60732" w:rsidRPr="00A6073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5C645" w14:textId="0700AA9A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3FE6A5C6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8763" w14:textId="627ACC8A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95DDA6" w14:textId="6EE7EA26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E65F" w14:textId="3F9D96C2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3DF0AE30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27FEA" w14:textId="1C05B1FC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A1E576" w14:textId="77BE00F2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CB536" w14:textId="1BAD6EE4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10F31F30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2B8C" w14:textId="43DCFB92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color w:val="000000"/>
                <w:sz w:val="20"/>
                <w:szCs w:val="20"/>
              </w:rPr>
              <w:t>UN R 147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2E77F9" w14:textId="5E4BF29F" w:rsidR="00613D53" w:rsidRPr="00A12AA4" w:rsidRDefault="000355BF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-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D4453" w14:textId="1CED84C3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GRVA may wish to consult GRSG</w:t>
            </w:r>
          </w:p>
        </w:tc>
      </w:tr>
      <w:tr w:rsidR="00613D53" w:rsidRPr="00613D53" w14:paraId="48942DEF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31CD" w14:textId="418779EF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837C9C" w14:textId="53016443" w:rsidR="00613D53" w:rsidRPr="00613D53" w:rsidRDefault="00BF79DD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No*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03F2B" w14:textId="6783CF35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6B5F9331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1771" w14:textId="055D8D62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97404A" w14:textId="26D8F1E2" w:rsidR="00613D53" w:rsidRPr="00613D53" w:rsidRDefault="00BF79DD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22A3" w14:textId="46B10ECD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7A8E01AF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33C1" w14:textId="7105ADFC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144D7A" w14:textId="6122FF6A" w:rsidR="00613D53" w:rsidRPr="00613D53" w:rsidRDefault="00BF79DD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D1D68" w14:textId="1191B38E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28F0770C" w14:textId="77777777" w:rsidTr="00BF79DD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E38DC9" w14:textId="01F07E08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C33190" w14:textId="1F671DFA" w:rsidR="00613D53" w:rsidRPr="00613D53" w:rsidRDefault="00F16EC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r w:rsidR="00BF79DD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="001E30B1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]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1171D" w14:textId="1DA20356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5FDA25B" w14:textId="77777777" w:rsidTr="00BF79DD">
        <w:trPr>
          <w:gridAfter w:val="1"/>
          <w:wAfter w:w="92" w:type="dxa"/>
          <w:trHeight w:val="418"/>
        </w:trPr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BC39AE" w14:textId="1219111A" w:rsidR="00613D53" w:rsidRPr="00613D53" w:rsidRDefault="00BF79DD" w:rsidP="00BF79DD">
            <w:pPr>
              <w:pStyle w:val="Roman8pt"/>
              <w:spacing w:before="10" w:after="10"/>
              <w:rPr>
                <w:i/>
              </w:rPr>
            </w:pPr>
            <w:r w:rsidRPr="00BF79DD">
              <w:rPr>
                <w:i/>
                <w:sz w:val="20"/>
                <w:szCs w:val="32"/>
              </w:rPr>
              <w:t xml:space="preserve"> </w:t>
            </w:r>
            <w:r>
              <w:rPr>
                <w:i/>
                <w:sz w:val="20"/>
                <w:szCs w:val="32"/>
              </w:rPr>
              <w:t>The “*” identifies UN Regulations for which the use of UI should not be prohibited on the long term. Nevertheless, t</w:t>
            </w:r>
            <w:r w:rsidRPr="00BF79DD">
              <w:rPr>
                <w:i/>
                <w:sz w:val="20"/>
                <w:szCs w:val="32"/>
              </w:rPr>
              <w:t xml:space="preserve">he secretariat </w:t>
            </w:r>
            <w:r>
              <w:rPr>
                <w:i/>
                <w:sz w:val="20"/>
                <w:szCs w:val="32"/>
              </w:rPr>
              <w:t xml:space="preserve">suggests </w:t>
            </w:r>
            <w:r w:rsidR="000355BF">
              <w:rPr>
                <w:i/>
                <w:sz w:val="20"/>
                <w:szCs w:val="32"/>
              </w:rPr>
              <w:t xml:space="preserve">considering a temporary use </w:t>
            </w:r>
            <w:r>
              <w:rPr>
                <w:i/>
                <w:sz w:val="20"/>
                <w:szCs w:val="32"/>
              </w:rPr>
              <w:t>prohibiti</w:t>
            </w:r>
            <w:r w:rsidR="000355BF">
              <w:rPr>
                <w:i/>
                <w:sz w:val="20"/>
                <w:szCs w:val="32"/>
              </w:rPr>
              <w:t>on</w:t>
            </w:r>
            <w:r>
              <w:rPr>
                <w:i/>
                <w:sz w:val="20"/>
                <w:szCs w:val="32"/>
              </w:rPr>
              <w:t xml:space="preserve"> of UI </w:t>
            </w:r>
            <w:proofErr w:type="gramStart"/>
            <w:r w:rsidR="00A60732" w:rsidRPr="00A60732">
              <w:rPr>
                <w:i/>
                <w:color w:val="FF0000"/>
                <w:sz w:val="20"/>
                <w:szCs w:val="32"/>
              </w:rPr>
              <w:t>e.g.</w:t>
            </w:r>
            <w:proofErr w:type="gramEnd"/>
            <w:r w:rsidR="00A60732">
              <w:rPr>
                <w:i/>
                <w:sz w:val="20"/>
                <w:szCs w:val="32"/>
              </w:rPr>
              <w:t xml:space="preserve"> </w:t>
            </w:r>
            <w:r>
              <w:rPr>
                <w:i/>
                <w:sz w:val="20"/>
                <w:szCs w:val="32"/>
              </w:rPr>
              <w:t xml:space="preserve">for UN Regulations </w:t>
            </w:r>
            <w:r w:rsidR="000355BF">
              <w:rPr>
                <w:i/>
                <w:sz w:val="20"/>
                <w:szCs w:val="32"/>
              </w:rPr>
              <w:t>with</w:t>
            </w:r>
            <w:r>
              <w:rPr>
                <w:i/>
                <w:sz w:val="20"/>
                <w:szCs w:val="32"/>
              </w:rPr>
              <w:t xml:space="preserve"> different levels of stringency identified with specific markings, until the UI functions in DETA and the processes associated with the “summary documents” are well known and established.</w:t>
            </w:r>
          </w:p>
        </w:tc>
      </w:tr>
    </w:tbl>
    <w:p w14:paraId="0C219CF5" w14:textId="1DCDAA5D" w:rsidR="00B941F3" w:rsidRPr="00BF79DD" w:rsidRDefault="00BF79DD" w:rsidP="00BF79DD">
      <w:pPr>
        <w:pStyle w:val="SingleTxtG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41F3" w:rsidRPr="00BF79DD" w:rsidSect="00BF79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88AD" w14:textId="77777777" w:rsidR="0060132D" w:rsidRDefault="0060132D"/>
  </w:endnote>
  <w:endnote w:type="continuationSeparator" w:id="0">
    <w:p w14:paraId="5333110D" w14:textId="77777777" w:rsidR="0060132D" w:rsidRDefault="0060132D"/>
  </w:endnote>
  <w:endnote w:type="continuationNotice" w:id="1">
    <w:p w14:paraId="5675C63C" w14:textId="77777777" w:rsidR="0060132D" w:rsidRDefault="00601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3" name="Picture 3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342F" w14:textId="77777777" w:rsidR="0060132D" w:rsidRPr="000B175B" w:rsidRDefault="0060132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84FBAD" w14:textId="77777777" w:rsidR="0060132D" w:rsidRPr="00FC68B7" w:rsidRDefault="0060132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2614FC4" w14:textId="77777777" w:rsidR="0060132D" w:rsidRDefault="00601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882B34" w14:paraId="57BA8FB1" w14:textId="77777777" w:rsidTr="00A60732">
      <w:tc>
        <w:tcPr>
          <w:tcW w:w="4814" w:type="dxa"/>
        </w:tcPr>
        <w:p w14:paraId="5B98146A" w14:textId="1ABF4672" w:rsidR="00882B34" w:rsidRPr="00882B34" w:rsidRDefault="00882B34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882B34">
            <w:rPr>
              <w:b w:val="0"/>
              <w:bCs/>
            </w:rPr>
            <w:t>Note by the secretariat</w:t>
          </w:r>
        </w:p>
      </w:tc>
      <w:tc>
        <w:tcPr>
          <w:tcW w:w="5251" w:type="dxa"/>
        </w:tcPr>
        <w:p w14:paraId="7054760C" w14:textId="0B05CF14" w:rsidR="00882B34" w:rsidRPr="00882B34" w:rsidRDefault="00882B34" w:rsidP="00882B34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882B34">
            <w:rPr>
              <w:b w:val="0"/>
              <w:bCs/>
              <w:u w:val="single"/>
            </w:rPr>
            <w:t>Informal document</w:t>
          </w:r>
          <w:r>
            <w:t xml:space="preserve"> GRVA-1</w:t>
          </w:r>
          <w:r w:rsidR="00405791">
            <w:t>4</w:t>
          </w:r>
          <w:r>
            <w:t>-</w:t>
          </w:r>
          <w:r w:rsidR="00326649">
            <w:t>05</w:t>
          </w:r>
          <w:r w:rsidR="00A60732">
            <w:t>/Rev.1</w:t>
          </w:r>
          <w:r>
            <w:br/>
          </w:r>
          <w:r w:rsidRPr="00882B34">
            <w:rPr>
              <w:b w:val="0"/>
              <w:bCs/>
            </w:rPr>
            <w:t>1</w:t>
          </w:r>
          <w:r w:rsidR="00405791">
            <w:rPr>
              <w:b w:val="0"/>
              <w:bCs/>
            </w:rPr>
            <w:t>4</w:t>
          </w:r>
          <w:r w:rsidRPr="00882B34">
            <w:rPr>
              <w:b w:val="0"/>
              <w:bCs/>
              <w:vertAlign w:val="superscript"/>
            </w:rPr>
            <w:t>th</w:t>
          </w:r>
          <w:r w:rsidRPr="00882B34">
            <w:rPr>
              <w:b w:val="0"/>
              <w:bCs/>
            </w:rPr>
            <w:t xml:space="preserve"> GRVA, </w:t>
          </w:r>
          <w:r w:rsidR="00B06904">
            <w:rPr>
              <w:b w:val="0"/>
              <w:bCs/>
            </w:rPr>
            <w:t>26-30</w:t>
          </w:r>
          <w:r w:rsidRPr="00882B34">
            <w:rPr>
              <w:b w:val="0"/>
              <w:bCs/>
            </w:rPr>
            <w:t xml:space="preserve"> </w:t>
          </w:r>
          <w:r w:rsidR="00405791">
            <w:rPr>
              <w:b w:val="0"/>
              <w:bCs/>
            </w:rPr>
            <w:t>September</w:t>
          </w:r>
          <w:r w:rsidRPr="00882B34">
            <w:rPr>
              <w:b w:val="0"/>
              <w:bCs/>
            </w:rPr>
            <w:t xml:space="preserve"> 2022</w:t>
          </w:r>
        </w:p>
        <w:p w14:paraId="74540E6E" w14:textId="79966CBA" w:rsidR="00882B34" w:rsidRDefault="00A60732" w:rsidP="00882B34">
          <w:pPr>
            <w:pStyle w:val="Header"/>
            <w:pBdr>
              <w:bottom w:val="none" w:sz="0" w:space="0" w:color="auto"/>
            </w:pBdr>
            <w:ind w:left="2131"/>
          </w:pPr>
          <w:r>
            <w:rPr>
              <w:b w:val="0"/>
              <w:bCs/>
            </w:rPr>
            <w:t>A</w:t>
          </w:r>
          <w:r w:rsidR="00882B34" w:rsidRPr="00882B34">
            <w:rPr>
              <w:b w:val="0"/>
              <w:bCs/>
            </w:rPr>
            <w:t xml:space="preserve">genda item </w:t>
          </w:r>
          <w:r w:rsidR="000355BF">
            <w:rPr>
              <w:b w:val="0"/>
              <w:bCs/>
            </w:rPr>
            <w:t>12(a)</w:t>
          </w:r>
        </w:p>
      </w:tc>
    </w:tr>
  </w:tbl>
  <w:p w14:paraId="7A99AB05" w14:textId="77777777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79B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FCF"/>
    <w:rsid w:val="003C16CA"/>
    <w:rsid w:val="003C2CC4"/>
    <w:rsid w:val="003C3530"/>
    <w:rsid w:val="003D2080"/>
    <w:rsid w:val="003D4B23"/>
    <w:rsid w:val="003D5CD7"/>
    <w:rsid w:val="003E1120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40A07"/>
    <w:rsid w:val="00441082"/>
    <w:rsid w:val="00441A5E"/>
    <w:rsid w:val="00443DC4"/>
    <w:rsid w:val="00451912"/>
    <w:rsid w:val="004530E5"/>
    <w:rsid w:val="00460328"/>
    <w:rsid w:val="00462880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3BEA"/>
    <w:rsid w:val="00510903"/>
    <w:rsid w:val="00511F2B"/>
    <w:rsid w:val="005140A4"/>
    <w:rsid w:val="00517328"/>
    <w:rsid w:val="00522ECC"/>
    <w:rsid w:val="00533616"/>
    <w:rsid w:val="00535ABA"/>
    <w:rsid w:val="0053768B"/>
    <w:rsid w:val="0054096B"/>
    <w:rsid w:val="005420F2"/>
    <w:rsid w:val="0054285C"/>
    <w:rsid w:val="00542B47"/>
    <w:rsid w:val="00544400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4173"/>
    <w:rsid w:val="00595520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79CB"/>
    <w:rsid w:val="00890FC0"/>
    <w:rsid w:val="008963EE"/>
    <w:rsid w:val="008979B1"/>
    <w:rsid w:val="008A097F"/>
    <w:rsid w:val="008A6B25"/>
    <w:rsid w:val="008A6C4F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26BB"/>
    <w:rsid w:val="009329EE"/>
    <w:rsid w:val="009348A7"/>
    <w:rsid w:val="009369F0"/>
    <w:rsid w:val="00940A9D"/>
    <w:rsid w:val="00943FFC"/>
    <w:rsid w:val="00947162"/>
    <w:rsid w:val="00951F43"/>
    <w:rsid w:val="009529FA"/>
    <w:rsid w:val="009544BF"/>
    <w:rsid w:val="00954CCB"/>
    <w:rsid w:val="009560C1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47345"/>
    <w:rsid w:val="00B53AD4"/>
    <w:rsid w:val="00B5445D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599F"/>
    <w:rsid w:val="00EC5C0B"/>
    <w:rsid w:val="00EC6D60"/>
    <w:rsid w:val="00ED18DC"/>
    <w:rsid w:val="00ED22F2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1858</Characters>
  <Application>Microsoft Office Word</Application>
  <DocSecurity>0</DocSecurity>
  <Lines>185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ECE/TRANS/WP.29/GRVA/2021/1</vt:lpstr>
      <vt:lpstr/>
    </vt:vector>
  </TitlesOfParts>
  <Company>CSD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UNECE</cp:lastModifiedBy>
  <cp:revision>9</cp:revision>
  <cp:lastPrinted>2021-11-03T14:42:00Z</cp:lastPrinted>
  <dcterms:created xsi:type="dcterms:W3CDTF">2022-06-27T15:08:00Z</dcterms:created>
  <dcterms:modified xsi:type="dcterms:W3CDTF">2022-09-30T08:06:00Z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