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709ED5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23B3C53" w14:textId="77777777" w:rsidR="00F35BAF" w:rsidRPr="00DB58B5" w:rsidRDefault="00F35BAF" w:rsidP="00C970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585DE7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BB482C7" w14:textId="07FECA42" w:rsidR="00F35BAF" w:rsidRPr="00DB58B5" w:rsidRDefault="00AE20E7" w:rsidP="00AE20E7">
            <w:pPr>
              <w:jc w:val="right"/>
            </w:pPr>
            <w:r w:rsidRPr="00AE20E7">
              <w:rPr>
                <w:sz w:val="40"/>
              </w:rPr>
              <w:t>ECE</w:t>
            </w:r>
            <w:r>
              <w:t>/TRANS/WP.29/2022/119</w:t>
            </w:r>
          </w:p>
        </w:tc>
      </w:tr>
      <w:tr w:rsidR="00F35BAF" w:rsidRPr="00DB58B5" w14:paraId="5FDDF21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2E26BA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3290966" wp14:editId="185A569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49ECF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5C720F2" w14:textId="77777777" w:rsidR="00F35BAF" w:rsidRDefault="00AE20E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0080928" w14:textId="77777777" w:rsidR="00AE20E7" w:rsidRDefault="00AE20E7" w:rsidP="00AE20E7">
            <w:pPr>
              <w:spacing w:line="240" w:lineRule="exact"/>
            </w:pPr>
            <w:r>
              <w:t>24 août 2022</w:t>
            </w:r>
          </w:p>
          <w:p w14:paraId="0DFD2DCA" w14:textId="77777777" w:rsidR="00AE20E7" w:rsidRDefault="00AE20E7" w:rsidP="00AE20E7">
            <w:pPr>
              <w:spacing w:line="240" w:lineRule="exact"/>
            </w:pPr>
            <w:r>
              <w:t>Français</w:t>
            </w:r>
          </w:p>
          <w:p w14:paraId="2613C79F" w14:textId="56F98FCB" w:rsidR="00AE20E7" w:rsidRPr="00DB58B5" w:rsidRDefault="00AE20E7" w:rsidP="00AE20E7">
            <w:pPr>
              <w:spacing w:line="240" w:lineRule="exact"/>
            </w:pPr>
            <w:r>
              <w:t>Original : anglais</w:t>
            </w:r>
          </w:p>
        </w:tc>
      </w:tr>
    </w:tbl>
    <w:p w14:paraId="609CE8D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E9E734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497F143" w14:textId="2CEE5B83" w:rsidR="00AE20E7" w:rsidRPr="0052639D" w:rsidRDefault="00AE20E7" w:rsidP="00AE20E7">
      <w:pPr>
        <w:spacing w:before="120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52639D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 w:rsidR="0052639D">
        <w:rPr>
          <w:b/>
          <w:bCs/>
          <w:sz w:val="24"/>
          <w:szCs w:val="24"/>
          <w:lang w:val="fr-FR"/>
        </w:rPr>
        <w:br/>
      </w:r>
      <w:r w:rsidRPr="0052639D">
        <w:rPr>
          <w:b/>
          <w:bCs/>
          <w:sz w:val="24"/>
          <w:szCs w:val="24"/>
          <w:lang w:val="fr-FR"/>
        </w:rPr>
        <w:t>concernant les véhicules</w:t>
      </w:r>
    </w:p>
    <w:p w14:paraId="440F7620" w14:textId="77777777" w:rsidR="00AE20E7" w:rsidRPr="00C16886" w:rsidRDefault="00AE20E7" w:rsidP="00AE20E7">
      <w:pPr>
        <w:tabs>
          <w:tab w:val="center" w:pos="4819"/>
        </w:tabs>
        <w:spacing w:before="120"/>
        <w:rPr>
          <w:b/>
          <w:lang w:val="fr-FR"/>
        </w:rPr>
      </w:pPr>
      <w:r w:rsidRPr="00C16886">
        <w:rPr>
          <w:b/>
          <w:bCs/>
          <w:lang w:val="fr-FR"/>
        </w:rPr>
        <w:t>188</w:t>
      </w:r>
      <w:r w:rsidRPr="00C16886">
        <w:rPr>
          <w:b/>
          <w:bCs/>
          <w:vertAlign w:val="superscript"/>
          <w:lang w:val="fr-FR"/>
        </w:rPr>
        <w:t>e</w:t>
      </w:r>
      <w:r w:rsidRPr="00C16886">
        <w:rPr>
          <w:b/>
          <w:bCs/>
          <w:lang w:val="fr-FR"/>
        </w:rPr>
        <w:t xml:space="preserve"> session</w:t>
      </w:r>
    </w:p>
    <w:p w14:paraId="20337AD9" w14:textId="77777777" w:rsidR="00AE20E7" w:rsidRPr="00C16886" w:rsidRDefault="00AE20E7" w:rsidP="00AE20E7">
      <w:pPr>
        <w:rPr>
          <w:lang w:val="fr-FR"/>
        </w:rPr>
      </w:pPr>
      <w:r w:rsidRPr="00C16886">
        <w:rPr>
          <w:lang w:val="fr-FR"/>
        </w:rPr>
        <w:t>Genève, 14-16 novembre 2022</w:t>
      </w:r>
    </w:p>
    <w:p w14:paraId="71FCACC6" w14:textId="77777777" w:rsidR="00AE20E7" w:rsidRPr="00C16886" w:rsidRDefault="00AE20E7" w:rsidP="00AE20E7">
      <w:pPr>
        <w:rPr>
          <w:lang w:val="fr-FR"/>
        </w:rPr>
      </w:pPr>
      <w:r w:rsidRPr="00C16886">
        <w:rPr>
          <w:lang w:val="fr-FR"/>
        </w:rPr>
        <w:t>Point 4.7.4 de l</w:t>
      </w:r>
      <w:r>
        <w:rPr>
          <w:lang w:val="fr-FR"/>
        </w:rPr>
        <w:t>’</w:t>
      </w:r>
      <w:r w:rsidRPr="00C16886">
        <w:rPr>
          <w:lang w:val="fr-FR"/>
        </w:rPr>
        <w:t>ordre du jour provisoire</w:t>
      </w:r>
    </w:p>
    <w:p w14:paraId="057D0EE3" w14:textId="77307C31" w:rsidR="00AE20E7" w:rsidRPr="00C16886" w:rsidRDefault="00AE20E7" w:rsidP="00AE20E7">
      <w:pPr>
        <w:rPr>
          <w:b/>
          <w:bCs/>
          <w:lang w:val="fr-FR"/>
        </w:rPr>
      </w:pPr>
      <w:r w:rsidRPr="00C16886">
        <w:rPr>
          <w:b/>
          <w:bCs/>
          <w:lang w:val="fr-FR"/>
        </w:rPr>
        <w:t>Accord de 1958</w:t>
      </w:r>
      <w:r w:rsidR="00084A90">
        <w:rPr>
          <w:b/>
          <w:bCs/>
          <w:lang w:val="fr-FR"/>
        </w:rPr>
        <w:t> </w:t>
      </w:r>
      <w:r w:rsidRPr="00C16886">
        <w:rPr>
          <w:b/>
          <w:bCs/>
          <w:lang w:val="fr-FR"/>
        </w:rPr>
        <w:t xml:space="preserve">: </w:t>
      </w:r>
    </w:p>
    <w:p w14:paraId="29B0BDC2" w14:textId="1A196E32" w:rsidR="00AE20E7" w:rsidRPr="00C16886" w:rsidRDefault="00AE20E7" w:rsidP="00AE20E7">
      <w:pPr>
        <w:rPr>
          <w:b/>
          <w:bCs/>
          <w:lang w:val="fr-FR"/>
        </w:rPr>
      </w:pPr>
      <w:r w:rsidRPr="00C16886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C16886">
        <w:rPr>
          <w:b/>
          <w:bCs/>
          <w:lang w:val="fr-FR"/>
        </w:rPr>
        <w:t xml:space="preserve">amendements à des Règlements ONU existants, </w:t>
      </w:r>
      <w:r w:rsidR="00084A90">
        <w:rPr>
          <w:b/>
          <w:bCs/>
          <w:lang w:val="fr-FR"/>
        </w:rPr>
        <w:br/>
      </w:r>
      <w:r w:rsidRPr="00C16886">
        <w:rPr>
          <w:b/>
          <w:bCs/>
          <w:lang w:val="fr-FR"/>
        </w:rPr>
        <w:t>soumis par le GRSG</w:t>
      </w:r>
    </w:p>
    <w:p w14:paraId="7C6C8427" w14:textId="7CECD6A5" w:rsidR="00AE20E7" w:rsidRPr="00C16886" w:rsidRDefault="00AE20E7" w:rsidP="00084A90">
      <w:pPr>
        <w:pStyle w:val="HChG"/>
        <w:rPr>
          <w:lang w:val="fr-FR" w:eastAsia="fr-FR"/>
        </w:rPr>
      </w:pPr>
      <w:r w:rsidRPr="00C16886">
        <w:rPr>
          <w:lang w:val="fr-FR" w:eastAsia="fr-FR"/>
        </w:rPr>
        <w:tab/>
      </w:r>
      <w:r w:rsidRPr="00C16886">
        <w:rPr>
          <w:lang w:val="fr-FR" w:eastAsia="fr-FR"/>
        </w:rPr>
        <w:tab/>
      </w:r>
      <w:r w:rsidRPr="00C16886">
        <w:rPr>
          <w:lang w:val="fr-FR" w:eastAsia="fr-FR"/>
        </w:rPr>
        <w:tab/>
        <w:t>Proposition de complément 2 à la série 03 d</w:t>
      </w:r>
      <w:r>
        <w:rPr>
          <w:lang w:val="fr-FR" w:eastAsia="fr-FR"/>
        </w:rPr>
        <w:t>’</w:t>
      </w:r>
      <w:r w:rsidRPr="00C16886">
        <w:rPr>
          <w:lang w:val="fr-FR" w:eastAsia="fr-FR"/>
        </w:rPr>
        <w:t xml:space="preserve">amendements </w:t>
      </w:r>
      <w:r w:rsidR="00084A90">
        <w:rPr>
          <w:lang w:val="fr-FR" w:eastAsia="fr-FR"/>
        </w:rPr>
        <w:br/>
      </w:r>
      <w:r w:rsidRPr="00C16886">
        <w:rPr>
          <w:lang w:val="fr-FR" w:eastAsia="fr-FR"/>
        </w:rPr>
        <w:t xml:space="preserve">au Règlement ONU </w:t>
      </w:r>
      <w:r w:rsidRPr="00C16886">
        <w:rPr>
          <w:bCs/>
          <w:lang w:val="fr-FR" w:eastAsia="fr-FR"/>
        </w:rPr>
        <w:t>n</w:t>
      </w:r>
      <w:r w:rsidRPr="00C16886">
        <w:rPr>
          <w:bCs/>
          <w:vertAlign w:val="superscript"/>
          <w:lang w:val="fr-FR" w:eastAsia="fr-FR"/>
        </w:rPr>
        <w:t>o</w:t>
      </w:r>
      <w:r w:rsidRPr="00C16886">
        <w:rPr>
          <w:bCs/>
          <w:lang w:val="fr-FR" w:eastAsia="fr-FR"/>
        </w:rPr>
        <w:t xml:space="preserve"> 67 (Véhicules alimentés au GPL) </w:t>
      </w:r>
    </w:p>
    <w:p w14:paraId="6A16D3B6" w14:textId="2AE46D0A" w:rsidR="00AE20E7" w:rsidRPr="00C16886" w:rsidRDefault="00AE20E7" w:rsidP="00084A90">
      <w:pPr>
        <w:pStyle w:val="H1G"/>
        <w:rPr>
          <w:lang w:val="fr-FR"/>
        </w:rPr>
      </w:pPr>
      <w:r w:rsidRPr="00C16886">
        <w:rPr>
          <w:lang w:val="fr-FR"/>
        </w:rPr>
        <w:tab/>
      </w:r>
      <w:r w:rsidRPr="00C16886">
        <w:rPr>
          <w:lang w:val="fr-FR"/>
        </w:rPr>
        <w:tab/>
        <w:t xml:space="preserve">Communication du Groupe de travail des dispositions générales </w:t>
      </w:r>
      <w:r w:rsidR="00084A90">
        <w:rPr>
          <w:lang w:val="fr-FR"/>
        </w:rPr>
        <w:br/>
      </w:r>
      <w:r w:rsidRPr="00C16886">
        <w:rPr>
          <w:lang w:val="fr-FR"/>
        </w:rPr>
        <w:t>de sécurité</w:t>
      </w:r>
      <w:r w:rsidRPr="00084A90">
        <w:rPr>
          <w:b w:val="0"/>
          <w:bCs/>
          <w:sz w:val="20"/>
          <w:lang w:val="fr-FR"/>
        </w:rPr>
        <w:footnoteReference w:customMarkFollows="1" w:id="2"/>
        <w:t>*</w:t>
      </w:r>
      <w:r w:rsidRPr="00C16886">
        <w:rPr>
          <w:lang w:val="fr-FR"/>
        </w:rPr>
        <w:t xml:space="preserve"> </w:t>
      </w:r>
    </w:p>
    <w:p w14:paraId="08C4DD97" w14:textId="636164B5" w:rsidR="00AE20E7" w:rsidRDefault="00AE20E7" w:rsidP="00084A90">
      <w:pPr>
        <w:pStyle w:val="SingleTxtG"/>
        <w:ind w:firstLine="567"/>
        <w:rPr>
          <w:lang w:val="fr-FR"/>
        </w:rPr>
      </w:pPr>
      <w:r w:rsidRPr="00C16886">
        <w:rPr>
          <w:lang w:val="fr-FR"/>
        </w:rPr>
        <w:t>Le texte ci-après a été adopté par le Groupe de travail des dispositions générales de sécurité (GRSG) à sa 123</w:t>
      </w:r>
      <w:r w:rsidRPr="00C16886">
        <w:rPr>
          <w:vertAlign w:val="superscript"/>
          <w:lang w:val="fr-FR"/>
        </w:rPr>
        <w:t>e</w:t>
      </w:r>
      <w:r w:rsidR="00CD3B55">
        <w:rPr>
          <w:lang w:val="fr-FR"/>
        </w:rPr>
        <w:t> </w:t>
      </w:r>
      <w:r w:rsidRPr="00C16886">
        <w:rPr>
          <w:lang w:val="fr-FR"/>
        </w:rPr>
        <w:t>session (ECE/TRANS/WP.29/GRSG/102, par.</w:t>
      </w:r>
      <w:r w:rsidR="00CD3B55">
        <w:rPr>
          <w:lang w:val="fr-FR"/>
        </w:rPr>
        <w:t> </w:t>
      </w:r>
      <w:r w:rsidRPr="00C16886">
        <w:rPr>
          <w:lang w:val="fr-FR"/>
        </w:rPr>
        <w:t xml:space="preserve">35). Il est fondé sur le document ECE/TRANS/WP.29/GRSG/2022/11, </w:t>
      </w:r>
      <w:r>
        <w:rPr>
          <w:lang w:val="fr-FR"/>
        </w:rPr>
        <w:t>qui n’a pas été</w:t>
      </w:r>
      <w:r w:rsidRPr="00C16886">
        <w:rPr>
          <w:lang w:val="fr-FR"/>
        </w:rPr>
        <w:t xml:space="preserve"> modifié. Il est soumis au Forum mondial de l</w:t>
      </w:r>
      <w:r>
        <w:rPr>
          <w:lang w:val="fr-FR"/>
        </w:rPr>
        <w:t>’</w:t>
      </w:r>
      <w:r w:rsidRPr="00C16886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C16886">
        <w:rPr>
          <w:lang w:val="fr-FR"/>
        </w:rPr>
        <w:t>administration de l</w:t>
      </w:r>
      <w:r>
        <w:rPr>
          <w:lang w:val="fr-FR"/>
        </w:rPr>
        <w:t>’</w:t>
      </w:r>
      <w:r w:rsidRPr="00C16886">
        <w:rPr>
          <w:lang w:val="fr-FR"/>
        </w:rPr>
        <w:t>Accord de 1958 (AC.1) pour examen à leurs sessions de novembre 2022.</w:t>
      </w:r>
    </w:p>
    <w:p w14:paraId="03758FA0" w14:textId="2A6154B6" w:rsidR="00CD3B55" w:rsidRDefault="00CD3B55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347534D2" w14:textId="7DF39093" w:rsidR="00AE20E7" w:rsidRPr="00C16886" w:rsidRDefault="00AE20E7" w:rsidP="00D519B3">
      <w:pPr>
        <w:pStyle w:val="SingleTxtG"/>
        <w:rPr>
          <w:lang w:val="fr-FR"/>
        </w:rPr>
      </w:pPr>
      <w:r w:rsidRPr="00D519B3">
        <w:rPr>
          <w:i/>
          <w:iCs/>
          <w:lang w:val="fr-FR"/>
        </w:rPr>
        <w:lastRenderedPageBreak/>
        <w:t>Paragraphe 6.3.6</w:t>
      </w:r>
      <w:r w:rsidRPr="00C16886">
        <w:rPr>
          <w:lang w:val="fr-FR"/>
        </w:rPr>
        <w:t>, lire</w:t>
      </w:r>
      <w:r w:rsidR="00D519B3">
        <w:rPr>
          <w:lang w:val="fr-FR"/>
        </w:rPr>
        <w:t> :</w:t>
      </w:r>
    </w:p>
    <w:p w14:paraId="0F781949" w14:textId="77777777" w:rsidR="00AE20E7" w:rsidRPr="00C16886" w:rsidRDefault="00AE20E7" w:rsidP="005A093B">
      <w:pPr>
        <w:pStyle w:val="SingleTxtG"/>
        <w:ind w:left="2268" w:hanging="1134"/>
        <w:rPr>
          <w:lang w:val="fr-FR"/>
        </w:rPr>
      </w:pPr>
      <w:r w:rsidRPr="00C16886">
        <w:rPr>
          <w:lang w:val="fr-FR"/>
        </w:rPr>
        <w:t>« 6.3.6</w:t>
      </w:r>
      <w:r w:rsidRPr="00C16886">
        <w:rPr>
          <w:lang w:val="fr-FR"/>
        </w:rPr>
        <w:tab/>
        <w:t>...</w:t>
      </w:r>
    </w:p>
    <w:p w14:paraId="0D6EB374" w14:textId="77777777" w:rsidR="00AE20E7" w:rsidRPr="00C16886" w:rsidRDefault="00AE20E7" w:rsidP="005A093B">
      <w:pPr>
        <w:pStyle w:val="SingleTxtG"/>
        <w:ind w:left="2835" w:hanging="567"/>
        <w:rPr>
          <w:lang w:val="fr-FR"/>
        </w:rPr>
      </w:pPr>
      <w:r w:rsidRPr="00C16886">
        <w:rPr>
          <w:lang w:val="fr-FR"/>
        </w:rPr>
        <w:t>b)</w:t>
      </w:r>
      <w:r w:rsidRPr="00C16886">
        <w:rPr>
          <w:lang w:val="fr-FR"/>
        </w:rPr>
        <w:tab/>
        <w:t>Une soupape de surpression, à condition qu</w:t>
      </w:r>
      <w:r>
        <w:rPr>
          <w:lang w:val="fr-FR"/>
        </w:rPr>
        <w:t>’</w:t>
      </w:r>
      <w:r w:rsidRPr="00C16886">
        <w:rPr>
          <w:lang w:val="fr-FR"/>
        </w:rPr>
        <w:t xml:space="preserve">elle soit conforme aux prescriptions du paragraphe 6.17.8.3 ci-dessous, ou </w:t>
      </w:r>
    </w:p>
    <w:p w14:paraId="6AE729E0" w14:textId="77777777" w:rsidR="00AE20E7" w:rsidRPr="00C16886" w:rsidRDefault="00AE20E7" w:rsidP="00AE20E7">
      <w:pPr>
        <w:pStyle w:val="SingleTxtG"/>
        <w:ind w:left="2268"/>
        <w:rPr>
          <w:lang w:val="fr-FR"/>
        </w:rPr>
      </w:pPr>
      <w:r w:rsidRPr="00C16886">
        <w:rPr>
          <w:lang w:val="fr-FR"/>
        </w:rPr>
        <w:t>... ».</w:t>
      </w:r>
    </w:p>
    <w:p w14:paraId="413E742E" w14:textId="77777777" w:rsidR="00AE20E7" w:rsidRPr="00C16886" w:rsidRDefault="00AE20E7" w:rsidP="005A093B">
      <w:pPr>
        <w:pStyle w:val="SingleTxtG"/>
        <w:rPr>
          <w:lang w:val="fr-FR"/>
        </w:rPr>
      </w:pPr>
      <w:r w:rsidRPr="00C16886">
        <w:rPr>
          <w:i/>
          <w:iCs/>
          <w:lang w:val="fr-FR"/>
        </w:rPr>
        <w:t>Le paragraphe 6.17.10.8</w:t>
      </w:r>
      <w:r w:rsidRPr="00C16886">
        <w:rPr>
          <w:lang w:val="fr-FR"/>
        </w:rPr>
        <w:t xml:space="preserve"> devient le paragraphe 6.17.10.9.</w:t>
      </w:r>
    </w:p>
    <w:p w14:paraId="13FBE1A7" w14:textId="77777777" w:rsidR="00AE20E7" w:rsidRPr="00C16886" w:rsidRDefault="00AE20E7" w:rsidP="005A093B">
      <w:pPr>
        <w:pStyle w:val="SingleTxtG"/>
        <w:rPr>
          <w:lang w:val="fr-FR"/>
        </w:rPr>
      </w:pPr>
      <w:r w:rsidRPr="00C16886">
        <w:rPr>
          <w:i/>
          <w:iCs/>
          <w:lang w:val="fr-FR"/>
        </w:rPr>
        <w:t>Annexe 3 à annexe 13</w:t>
      </w:r>
      <w:r w:rsidRPr="00C16886">
        <w:rPr>
          <w:lang w:val="fr-FR"/>
        </w:rPr>
        <w:t>, modifier les références au paragraphe 6.15 (et alinéas) en références au paragraphe 6.17 (et alinéas) (50 occurrences).</w:t>
      </w:r>
    </w:p>
    <w:p w14:paraId="410C8E72" w14:textId="70A2AAEB" w:rsidR="00AE20E7" w:rsidRPr="00C16886" w:rsidRDefault="00AE20E7" w:rsidP="005A093B">
      <w:pPr>
        <w:pStyle w:val="SingleTxtG"/>
        <w:keepNext/>
        <w:rPr>
          <w:lang w:val="fr-FR"/>
        </w:rPr>
      </w:pPr>
      <w:r w:rsidRPr="00C16886">
        <w:rPr>
          <w:i/>
          <w:iCs/>
          <w:lang w:val="fr-FR"/>
        </w:rPr>
        <w:t>Annexe 16, paragraphes 18.3.1 et 18.3.2</w:t>
      </w:r>
      <w:r w:rsidRPr="00C16886">
        <w:rPr>
          <w:lang w:val="fr-FR"/>
        </w:rPr>
        <w:t>, lire</w:t>
      </w:r>
      <w:r w:rsidR="005A093B">
        <w:rPr>
          <w:lang w:val="fr-FR"/>
        </w:rPr>
        <w:t> </w:t>
      </w:r>
      <w:r w:rsidRPr="00C16886">
        <w:rPr>
          <w:lang w:val="fr-FR"/>
        </w:rPr>
        <w:t>:</w:t>
      </w:r>
    </w:p>
    <w:p w14:paraId="19C18FE5" w14:textId="630057C5" w:rsidR="00AE20E7" w:rsidRPr="00C16886" w:rsidRDefault="00AE20E7" w:rsidP="005A093B">
      <w:pPr>
        <w:pStyle w:val="SingleTxtG"/>
        <w:ind w:left="2268" w:hanging="1134"/>
        <w:rPr>
          <w:lang w:val="fr-FR"/>
        </w:rPr>
      </w:pPr>
      <w:r w:rsidRPr="00C16886">
        <w:rPr>
          <w:lang w:val="fr-FR"/>
        </w:rPr>
        <w:t>« 18.3.1</w:t>
      </w:r>
      <w:r w:rsidRPr="00C16886">
        <w:rPr>
          <w:lang w:val="fr-FR"/>
        </w:rPr>
        <w:tab/>
        <w:t>Effectuer pour les deux échantillons l</w:t>
      </w:r>
      <w:r>
        <w:rPr>
          <w:lang w:val="fr-FR"/>
        </w:rPr>
        <w:t>’</w:t>
      </w:r>
      <w:r w:rsidRPr="00C16886">
        <w:rPr>
          <w:lang w:val="fr-FR"/>
        </w:rPr>
        <w:t>essai de débit conformément au paragraphe</w:t>
      </w:r>
      <w:r w:rsidR="0058479A">
        <w:rPr>
          <w:lang w:val="fr-FR"/>
        </w:rPr>
        <w:t> </w:t>
      </w:r>
      <w:r w:rsidRPr="00C16886">
        <w:rPr>
          <w:lang w:val="fr-FR"/>
        </w:rPr>
        <w:t>6.17.8.3 du présent Règlement.</w:t>
      </w:r>
    </w:p>
    <w:p w14:paraId="31BA0DEC" w14:textId="2C9DC577" w:rsidR="00AE20E7" w:rsidRPr="00C16886" w:rsidRDefault="00AE20E7" w:rsidP="0058479A">
      <w:pPr>
        <w:pStyle w:val="SingleTxtG"/>
        <w:keepNext/>
        <w:ind w:left="2268" w:hanging="1134"/>
        <w:jc w:val="left"/>
        <w:rPr>
          <w:lang w:val="fr-FR"/>
        </w:rPr>
      </w:pPr>
      <w:r w:rsidRPr="00C16886">
        <w:rPr>
          <w:lang w:val="fr-FR"/>
        </w:rPr>
        <w:t>18.3.2</w:t>
      </w:r>
      <w:r w:rsidRPr="00C16886">
        <w:rPr>
          <w:lang w:val="fr-FR"/>
        </w:rPr>
        <w:tab/>
        <w:t>Prescriptions</w:t>
      </w:r>
    </w:p>
    <w:p w14:paraId="49B4E662" w14:textId="4D85456E" w:rsidR="00AE20E7" w:rsidRPr="00C16886" w:rsidRDefault="00AE20E7" w:rsidP="005A093B">
      <w:pPr>
        <w:pStyle w:val="SingleTxtG"/>
        <w:ind w:left="2268"/>
        <w:rPr>
          <w:lang w:val="fr-FR"/>
        </w:rPr>
      </w:pPr>
      <w:r w:rsidRPr="00C16886">
        <w:rPr>
          <w:lang w:val="fr-FR"/>
        </w:rPr>
        <w:t xml:space="preserve">Les échantillons “a” et </w:t>
      </w:r>
      <w:r w:rsidR="0058479A">
        <w:rPr>
          <w:lang w:val="fr-FR"/>
        </w:rPr>
        <w:t>“</w:t>
      </w:r>
      <w:r w:rsidRPr="00C16886">
        <w:rPr>
          <w:lang w:val="fr-FR"/>
        </w:rPr>
        <w:t>b” vieillis et non vieillis doivent satisfaire aux prescriptions en matière de débit énoncées au paragraphe</w:t>
      </w:r>
      <w:r w:rsidR="0058479A">
        <w:rPr>
          <w:lang w:val="fr-FR"/>
        </w:rPr>
        <w:t> </w:t>
      </w:r>
      <w:r w:rsidRPr="00C16886">
        <w:rPr>
          <w:lang w:val="fr-FR"/>
        </w:rPr>
        <w:t>6.17.8.3 du présent Règlement ONU.</w:t>
      </w:r>
    </w:p>
    <w:p w14:paraId="57D7B04A" w14:textId="6B86F7A2" w:rsidR="00F9573C" w:rsidRDefault="00AE20E7" w:rsidP="0058479A">
      <w:pPr>
        <w:pStyle w:val="SingleTxtG"/>
        <w:ind w:left="2268"/>
        <w:rPr>
          <w:lang w:val="fr-FR"/>
        </w:rPr>
      </w:pPr>
      <w:r w:rsidRPr="00C16886">
        <w:rPr>
          <w:lang w:val="fr-FR"/>
        </w:rPr>
        <w:t>Le matériau non métallique des échantillons “a” et “b” ne doit présenter aucune fissure ou déformation ni aucun dommage visuel. ».</w:t>
      </w:r>
    </w:p>
    <w:p w14:paraId="33D6FD7C" w14:textId="4DDA0447" w:rsidR="001B5CC0" w:rsidRPr="001B5CC0" w:rsidRDefault="001B5CC0" w:rsidP="001B5CC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B5CC0" w:rsidRPr="001B5CC0" w:rsidSect="00AE20E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54F5" w14:textId="77777777" w:rsidR="000A4FA8" w:rsidRDefault="000A4FA8" w:rsidP="00F95C08">
      <w:pPr>
        <w:spacing w:line="240" w:lineRule="auto"/>
      </w:pPr>
    </w:p>
  </w:endnote>
  <w:endnote w:type="continuationSeparator" w:id="0">
    <w:p w14:paraId="443485AC" w14:textId="77777777" w:rsidR="000A4FA8" w:rsidRPr="00AC3823" w:rsidRDefault="000A4FA8" w:rsidP="00AC3823">
      <w:pPr>
        <w:pStyle w:val="Pieddepage"/>
      </w:pPr>
    </w:p>
  </w:endnote>
  <w:endnote w:type="continuationNotice" w:id="1">
    <w:p w14:paraId="430F6629" w14:textId="77777777" w:rsidR="000A4FA8" w:rsidRDefault="000A4F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8C39" w14:textId="7881FADA" w:rsidR="00AE20E7" w:rsidRPr="00AE20E7" w:rsidRDefault="00AE20E7" w:rsidP="00AE20E7">
    <w:pPr>
      <w:pStyle w:val="Pieddepage"/>
      <w:tabs>
        <w:tab w:val="right" w:pos="9638"/>
      </w:tabs>
    </w:pPr>
    <w:r w:rsidRPr="00AE20E7">
      <w:rPr>
        <w:b/>
        <w:sz w:val="18"/>
      </w:rPr>
      <w:fldChar w:fldCharType="begin"/>
    </w:r>
    <w:r w:rsidRPr="00AE20E7">
      <w:rPr>
        <w:b/>
        <w:sz w:val="18"/>
      </w:rPr>
      <w:instrText xml:space="preserve"> PAGE  \* MERGEFORMAT </w:instrText>
    </w:r>
    <w:r w:rsidRPr="00AE20E7">
      <w:rPr>
        <w:b/>
        <w:sz w:val="18"/>
      </w:rPr>
      <w:fldChar w:fldCharType="separate"/>
    </w:r>
    <w:r w:rsidRPr="00AE20E7">
      <w:rPr>
        <w:b/>
        <w:noProof/>
        <w:sz w:val="18"/>
      </w:rPr>
      <w:t>2</w:t>
    </w:r>
    <w:r w:rsidRPr="00AE20E7">
      <w:rPr>
        <w:b/>
        <w:sz w:val="18"/>
      </w:rPr>
      <w:fldChar w:fldCharType="end"/>
    </w:r>
    <w:r>
      <w:rPr>
        <w:b/>
        <w:sz w:val="18"/>
      </w:rPr>
      <w:tab/>
    </w:r>
    <w:r>
      <w:t>GE.22-13146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0399" w14:textId="036A2760" w:rsidR="00AE20E7" w:rsidRPr="00AE20E7" w:rsidRDefault="00AE20E7" w:rsidP="00AE20E7">
    <w:pPr>
      <w:pStyle w:val="Pieddepage"/>
      <w:tabs>
        <w:tab w:val="right" w:pos="9638"/>
      </w:tabs>
      <w:rPr>
        <w:b/>
        <w:sz w:val="18"/>
      </w:rPr>
    </w:pPr>
    <w:r>
      <w:t>GE.22-13146</w:t>
    </w:r>
    <w:r>
      <w:tab/>
    </w:r>
    <w:r w:rsidRPr="00AE20E7">
      <w:rPr>
        <w:b/>
        <w:sz w:val="18"/>
      </w:rPr>
      <w:fldChar w:fldCharType="begin"/>
    </w:r>
    <w:r w:rsidRPr="00AE20E7">
      <w:rPr>
        <w:b/>
        <w:sz w:val="18"/>
      </w:rPr>
      <w:instrText xml:space="preserve"> PAGE  \* MERGEFORMAT </w:instrText>
    </w:r>
    <w:r w:rsidRPr="00AE20E7">
      <w:rPr>
        <w:b/>
        <w:sz w:val="18"/>
      </w:rPr>
      <w:fldChar w:fldCharType="separate"/>
    </w:r>
    <w:r w:rsidRPr="00AE20E7">
      <w:rPr>
        <w:b/>
        <w:noProof/>
        <w:sz w:val="18"/>
      </w:rPr>
      <w:t>3</w:t>
    </w:r>
    <w:r w:rsidRPr="00AE20E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C7CE" w14:textId="51033A14" w:rsidR="007F20FA" w:rsidRPr="00AE20E7" w:rsidRDefault="00AE20E7" w:rsidP="00AE20E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7C353B4" wp14:editId="60D4CB0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22-13146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DA30B0C" wp14:editId="138FFBD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150922    150922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8BBC" w14:textId="77777777" w:rsidR="000A4FA8" w:rsidRPr="00AC3823" w:rsidRDefault="000A4FA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FECC3C" w14:textId="77777777" w:rsidR="000A4FA8" w:rsidRPr="00AC3823" w:rsidRDefault="000A4FA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BB9F09F" w14:textId="77777777" w:rsidR="000A4FA8" w:rsidRPr="00AC3823" w:rsidRDefault="000A4FA8">
      <w:pPr>
        <w:spacing w:line="240" w:lineRule="auto"/>
        <w:rPr>
          <w:sz w:val="2"/>
          <w:szCs w:val="2"/>
        </w:rPr>
      </w:pPr>
    </w:p>
  </w:footnote>
  <w:footnote w:id="2">
    <w:p w14:paraId="11C6B62A" w14:textId="77777777" w:rsidR="00AE20E7" w:rsidRPr="00080E51" w:rsidRDefault="00AE20E7" w:rsidP="00AE20E7">
      <w:pPr>
        <w:pStyle w:val="Notedebasdepage"/>
      </w:pPr>
      <w:r>
        <w:rPr>
          <w:lang w:val="fr-FR"/>
        </w:rPr>
        <w:tab/>
      </w:r>
      <w:r w:rsidRPr="00CD3B55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C5FC" w14:textId="34738B1C" w:rsidR="00AE20E7" w:rsidRPr="00AE20E7" w:rsidRDefault="00AE20E7">
    <w:pPr>
      <w:pStyle w:val="En-tte"/>
    </w:pPr>
    <w:fldSimple w:instr=" TITLE  \* MERGEFORMAT ">
      <w:r>
        <w:t>ECE/TRANS/WP.29/2022/119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02BC" w14:textId="23FA2B77" w:rsidR="00AE20E7" w:rsidRPr="00AE20E7" w:rsidRDefault="00AE20E7" w:rsidP="00AE20E7">
    <w:pPr>
      <w:pStyle w:val="En-tte"/>
      <w:jc w:val="right"/>
    </w:pPr>
    <w:fldSimple w:instr=" TITLE  \* MERGEFORMAT ">
      <w:r>
        <w:t>ECE/TRANS/WP.29/2022/119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A8"/>
    <w:rsid w:val="00017F94"/>
    <w:rsid w:val="00023842"/>
    <w:rsid w:val="000334F9"/>
    <w:rsid w:val="00045FEB"/>
    <w:rsid w:val="0007796D"/>
    <w:rsid w:val="00084A90"/>
    <w:rsid w:val="000A4FA8"/>
    <w:rsid w:val="000B7790"/>
    <w:rsid w:val="00111F2F"/>
    <w:rsid w:val="0014365E"/>
    <w:rsid w:val="00143C66"/>
    <w:rsid w:val="00176178"/>
    <w:rsid w:val="001B5CC0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2639D"/>
    <w:rsid w:val="005505B7"/>
    <w:rsid w:val="00573BE5"/>
    <w:rsid w:val="0058479A"/>
    <w:rsid w:val="00586ED3"/>
    <w:rsid w:val="00596AA9"/>
    <w:rsid w:val="005A093B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17C23"/>
    <w:rsid w:val="00A3029F"/>
    <w:rsid w:val="00A30353"/>
    <w:rsid w:val="00AC3823"/>
    <w:rsid w:val="00AE20E7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D3B55"/>
    <w:rsid w:val="00D3439C"/>
    <w:rsid w:val="00D519B3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4CF60F"/>
  <w15:docId w15:val="{E5B397BC-D69C-47D7-BCBA-23F76CB5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AE20E7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A8E0B-E476-49D6-B8B6-76B5269D7083}"/>
</file>

<file path=customXml/itemProps2.xml><?xml version="1.0" encoding="utf-8"?>
<ds:datastoreItem xmlns:ds="http://schemas.openxmlformats.org/officeDocument/2006/customXml" ds:itemID="{4A411811-69D3-4941-A5A6-4A9384DC6689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244</Words>
  <Characters>1710</Characters>
  <Application>Microsoft Office Word</Application>
  <DocSecurity>0</DocSecurity>
  <Lines>142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ECE/TRANS/WP.29/2022/119</vt:lpstr>
    </vt:vector>
  </TitlesOfParts>
  <Company>DCM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ECE/TRANS/WP.29/2022/119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2022-09-15T11:32:00Z</dcterms:created>
  <dcterms:modified xsi:type="dcterms:W3CDTF">2022-09-15T11:32:00Z</dcterms:modified>
</cp:coreProperties>
</file>