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6F52E5" w14:textId="77777777" w:rsidTr="00C97039">
        <w:trPr>
          <w:trHeight w:hRule="exact" w:val="851"/>
        </w:trPr>
        <w:tc>
          <w:tcPr>
            <w:tcW w:w="1276" w:type="dxa"/>
            <w:tcBorders>
              <w:bottom w:val="single" w:sz="4" w:space="0" w:color="auto"/>
            </w:tcBorders>
          </w:tcPr>
          <w:p w14:paraId="0C4AA6D8" w14:textId="77777777" w:rsidR="00F35BAF" w:rsidRPr="00DB58B5" w:rsidRDefault="00F35BAF" w:rsidP="001F01E4"/>
        </w:tc>
        <w:tc>
          <w:tcPr>
            <w:tcW w:w="2268" w:type="dxa"/>
            <w:tcBorders>
              <w:bottom w:val="single" w:sz="4" w:space="0" w:color="auto"/>
            </w:tcBorders>
            <w:vAlign w:val="bottom"/>
          </w:tcPr>
          <w:p w14:paraId="26EF570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EA87FA" w14:textId="649E38FE" w:rsidR="00F35BAF" w:rsidRPr="00DB58B5" w:rsidRDefault="001F01E4" w:rsidP="001F01E4">
            <w:pPr>
              <w:jc w:val="right"/>
            </w:pPr>
            <w:r w:rsidRPr="001F01E4">
              <w:rPr>
                <w:sz w:val="40"/>
              </w:rPr>
              <w:t>ECE</w:t>
            </w:r>
            <w:r>
              <w:t>/TRANS/WP.29/2022/111</w:t>
            </w:r>
          </w:p>
        </w:tc>
      </w:tr>
      <w:tr w:rsidR="00F35BAF" w:rsidRPr="00DB58B5" w14:paraId="713CB47F" w14:textId="77777777" w:rsidTr="00C97039">
        <w:trPr>
          <w:trHeight w:hRule="exact" w:val="2835"/>
        </w:trPr>
        <w:tc>
          <w:tcPr>
            <w:tcW w:w="1276" w:type="dxa"/>
            <w:tcBorders>
              <w:top w:val="single" w:sz="4" w:space="0" w:color="auto"/>
              <w:bottom w:val="single" w:sz="12" w:space="0" w:color="auto"/>
            </w:tcBorders>
          </w:tcPr>
          <w:p w14:paraId="7FCBE332" w14:textId="77777777" w:rsidR="00F35BAF" w:rsidRPr="00DB58B5" w:rsidRDefault="00F35BAF" w:rsidP="00C97039">
            <w:pPr>
              <w:spacing w:before="120"/>
              <w:jc w:val="center"/>
            </w:pPr>
            <w:r>
              <w:rPr>
                <w:noProof/>
                <w:lang w:eastAsia="fr-CH"/>
              </w:rPr>
              <w:drawing>
                <wp:inline distT="0" distB="0" distL="0" distR="0" wp14:anchorId="37FC6541" wp14:editId="68C54A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D7E45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0E206E" w14:textId="77777777" w:rsidR="00F35BAF" w:rsidRDefault="001F01E4" w:rsidP="00C97039">
            <w:pPr>
              <w:spacing w:before="240"/>
            </w:pPr>
            <w:proofErr w:type="spellStart"/>
            <w:r>
              <w:t>Distr</w:t>
            </w:r>
            <w:proofErr w:type="spellEnd"/>
            <w:r>
              <w:t>. générale</w:t>
            </w:r>
          </w:p>
          <w:p w14:paraId="4409E72E" w14:textId="77777777" w:rsidR="001F01E4" w:rsidRDefault="001F01E4" w:rsidP="001F01E4">
            <w:pPr>
              <w:spacing w:line="240" w:lineRule="exact"/>
            </w:pPr>
            <w:r>
              <w:t>1</w:t>
            </w:r>
            <w:r w:rsidRPr="001F01E4">
              <w:rPr>
                <w:vertAlign w:val="superscript"/>
              </w:rPr>
              <w:t>er</w:t>
            </w:r>
            <w:r>
              <w:t xml:space="preserve"> septembre 2022</w:t>
            </w:r>
          </w:p>
          <w:p w14:paraId="2B21D12F" w14:textId="77777777" w:rsidR="001F01E4" w:rsidRDefault="001F01E4" w:rsidP="001F01E4">
            <w:pPr>
              <w:spacing w:line="240" w:lineRule="exact"/>
            </w:pPr>
            <w:r>
              <w:t>Français</w:t>
            </w:r>
          </w:p>
          <w:p w14:paraId="3460662E" w14:textId="244D8708" w:rsidR="001F01E4" w:rsidRPr="00DB58B5" w:rsidRDefault="001F01E4" w:rsidP="001F01E4">
            <w:pPr>
              <w:spacing w:line="240" w:lineRule="exact"/>
            </w:pPr>
            <w:r>
              <w:t>Original : anglais</w:t>
            </w:r>
          </w:p>
        </w:tc>
      </w:tr>
    </w:tbl>
    <w:p w14:paraId="40E55869" w14:textId="77777777" w:rsidR="007F20FA" w:rsidRPr="000312C0" w:rsidRDefault="007F20FA" w:rsidP="007F20FA">
      <w:pPr>
        <w:spacing w:before="120"/>
        <w:rPr>
          <w:b/>
          <w:sz w:val="28"/>
          <w:szCs w:val="28"/>
        </w:rPr>
      </w:pPr>
      <w:r w:rsidRPr="000312C0">
        <w:rPr>
          <w:b/>
          <w:sz w:val="28"/>
          <w:szCs w:val="28"/>
        </w:rPr>
        <w:t>Commission économique pour l’Europe</w:t>
      </w:r>
    </w:p>
    <w:p w14:paraId="397D79C1" w14:textId="77777777" w:rsidR="007F20FA" w:rsidRDefault="007F20FA" w:rsidP="007F20FA">
      <w:pPr>
        <w:spacing w:before="120"/>
        <w:rPr>
          <w:sz w:val="28"/>
          <w:szCs w:val="28"/>
        </w:rPr>
      </w:pPr>
      <w:r w:rsidRPr="00685843">
        <w:rPr>
          <w:sz w:val="28"/>
          <w:szCs w:val="28"/>
        </w:rPr>
        <w:t>Comité des transports intérieurs</w:t>
      </w:r>
    </w:p>
    <w:p w14:paraId="3EE944C4" w14:textId="16DC64A3" w:rsidR="001F01E4" w:rsidRPr="00A7434A" w:rsidRDefault="001F01E4" w:rsidP="001F01E4">
      <w:pPr>
        <w:spacing w:before="120"/>
        <w:rPr>
          <w:rFonts w:asciiTheme="majorBidi" w:hAnsiTheme="majorBidi" w:cstheme="majorBidi"/>
          <w:b/>
          <w:sz w:val="24"/>
          <w:szCs w:val="24"/>
        </w:rPr>
      </w:pPr>
      <w:r w:rsidRPr="00A7434A">
        <w:rPr>
          <w:rFonts w:asciiTheme="majorBidi" w:hAnsiTheme="majorBidi" w:cstheme="majorBidi"/>
          <w:b/>
          <w:bCs/>
          <w:sz w:val="24"/>
          <w:szCs w:val="24"/>
          <w:lang w:val="fr-FR"/>
        </w:rPr>
        <w:t>Forum mondial de l</w:t>
      </w:r>
      <w:r>
        <w:rPr>
          <w:rFonts w:asciiTheme="majorBidi" w:hAnsiTheme="majorBidi" w:cstheme="majorBidi"/>
          <w:b/>
          <w:bCs/>
          <w:sz w:val="24"/>
          <w:szCs w:val="24"/>
          <w:lang w:val="fr-FR"/>
        </w:rPr>
        <w:t>’</w:t>
      </w:r>
      <w:r w:rsidRPr="00A7434A">
        <w:rPr>
          <w:rFonts w:asciiTheme="majorBidi" w:hAnsiTheme="majorBidi" w:cstheme="majorBidi"/>
          <w:b/>
          <w:bCs/>
          <w:sz w:val="24"/>
          <w:szCs w:val="24"/>
          <w:lang w:val="fr-FR"/>
        </w:rPr>
        <w:t>harmonisation</w:t>
      </w:r>
      <w:r>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br/>
      </w:r>
      <w:r w:rsidRPr="00A7434A">
        <w:rPr>
          <w:rFonts w:asciiTheme="majorBidi" w:hAnsiTheme="majorBidi" w:cstheme="majorBidi"/>
          <w:b/>
          <w:bCs/>
          <w:sz w:val="24"/>
          <w:szCs w:val="24"/>
          <w:lang w:val="fr-FR"/>
        </w:rPr>
        <w:t>des Règlements concernant les véhicules</w:t>
      </w:r>
    </w:p>
    <w:p w14:paraId="15FFE9E6" w14:textId="77777777" w:rsidR="001F01E4" w:rsidRPr="001F01E4" w:rsidRDefault="001F01E4" w:rsidP="001F01E4">
      <w:pPr>
        <w:tabs>
          <w:tab w:val="center" w:pos="4819"/>
        </w:tabs>
        <w:spacing w:before="120"/>
        <w:rPr>
          <w:rFonts w:asciiTheme="majorBidi" w:hAnsiTheme="majorBidi" w:cstheme="majorBidi"/>
          <w:b/>
        </w:rPr>
      </w:pPr>
      <w:r w:rsidRPr="001F01E4">
        <w:rPr>
          <w:rFonts w:asciiTheme="majorBidi" w:hAnsiTheme="majorBidi" w:cstheme="majorBidi"/>
          <w:b/>
          <w:bCs/>
          <w:lang w:val="fr-FR"/>
        </w:rPr>
        <w:t>188</w:t>
      </w:r>
      <w:r w:rsidRPr="001F01E4">
        <w:rPr>
          <w:rFonts w:asciiTheme="majorBidi" w:hAnsiTheme="majorBidi" w:cstheme="majorBidi"/>
          <w:b/>
          <w:bCs/>
          <w:vertAlign w:val="superscript"/>
          <w:lang w:val="fr-FR"/>
        </w:rPr>
        <w:t>e</w:t>
      </w:r>
      <w:r w:rsidRPr="001F01E4">
        <w:rPr>
          <w:rFonts w:asciiTheme="majorBidi" w:hAnsiTheme="majorBidi" w:cstheme="majorBidi"/>
          <w:b/>
          <w:bCs/>
          <w:lang w:val="fr-FR"/>
        </w:rPr>
        <w:t xml:space="preserve"> session</w:t>
      </w:r>
    </w:p>
    <w:p w14:paraId="15BCD61A" w14:textId="77777777" w:rsidR="001F01E4" w:rsidRPr="001F01E4" w:rsidRDefault="001F01E4" w:rsidP="001F01E4">
      <w:pPr>
        <w:rPr>
          <w:rFonts w:asciiTheme="majorBidi" w:hAnsiTheme="majorBidi" w:cstheme="majorBidi"/>
        </w:rPr>
      </w:pPr>
      <w:r w:rsidRPr="001F01E4">
        <w:rPr>
          <w:rFonts w:asciiTheme="majorBidi" w:hAnsiTheme="majorBidi" w:cstheme="majorBidi"/>
          <w:lang w:val="fr-FR"/>
        </w:rPr>
        <w:t>Genève, 14-16 novembre 2022</w:t>
      </w:r>
    </w:p>
    <w:p w14:paraId="086E6A1B" w14:textId="77777777" w:rsidR="001F01E4" w:rsidRPr="001F01E4" w:rsidRDefault="001F01E4" w:rsidP="001F01E4">
      <w:pPr>
        <w:rPr>
          <w:rFonts w:asciiTheme="majorBidi" w:hAnsiTheme="majorBidi" w:cstheme="majorBidi"/>
        </w:rPr>
      </w:pPr>
      <w:r w:rsidRPr="001F01E4">
        <w:rPr>
          <w:rFonts w:asciiTheme="majorBidi" w:hAnsiTheme="majorBidi" w:cstheme="majorBidi"/>
          <w:lang w:val="fr-FR"/>
        </w:rPr>
        <w:t>Point 4.3.1 de l’ordre du jour provisoire</w:t>
      </w:r>
    </w:p>
    <w:p w14:paraId="0EE94C4D" w14:textId="112B3631" w:rsidR="001F01E4" w:rsidRPr="001F01E4" w:rsidRDefault="001F01E4" w:rsidP="001F01E4">
      <w:pPr>
        <w:rPr>
          <w:rFonts w:asciiTheme="majorBidi" w:hAnsiTheme="majorBidi" w:cstheme="majorBidi"/>
          <w:b/>
        </w:rPr>
      </w:pPr>
      <w:r w:rsidRPr="001F01E4">
        <w:rPr>
          <w:rFonts w:asciiTheme="majorBidi" w:hAnsiTheme="majorBidi" w:cstheme="majorBidi"/>
          <w:b/>
          <w:bCs/>
          <w:lang w:val="fr-FR"/>
        </w:rPr>
        <w:t>Accord de 1958</w:t>
      </w:r>
      <w:r>
        <w:rPr>
          <w:rFonts w:asciiTheme="majorBidi" w:hAnsiTheme="majorBidi" w:cstheme="majorBidi"/>
          <w:b/>
          <w:bCs/>
          <w:lang w:val="fr-FR"/>
        </w:rPr>
        <w:t> </w:t>
      </w:r>
      <w:r w:rsidRPr="001F01E4">
        <w:rPr>
          <w:rFonts w:asciiTheme="majorBidi" w:hAnsiTheme="majorBidi" w:cstheme="majorBidi"/>
          <w:b/>
          <w:bCs/>
          <w:lang w:val="fr-FR"/>
        </w:rPr>
        <w:t>:</w:t>
      </w:r>
    </w:p>
    <w:p w14:paraId="2720EC2F" w14:textId="5EEA8541" w:rsidR="001F01E4" w:rsidRPr="001F01E4" w:rsidRDefault="001F01E4" w:rsidP="001F01E4">
      <w:pPr>
        <w:rPr>
          <w:rFonts w:asciiTheme="majorBidi" w:hAnsiTheme="majorBidi" w:cstheme="majorBidi"/>
          <w:b/>
          <w:bCs/>
        </w:rPr>
      </w:pPr>
      <w:r w:rsidRPr="001F01E4">
        <w:rPr>
          <w:rFonts w:asciiTheme="majorBidi" w:hAnsiTheme="majorBidi" w:cstheme="majorBidi"/>
          <w:b/>
          <w:bCs/>
          <w:lang w:val="fr-FR"/>
        </w:rPr>
        <w:t xml:space="preserve">Mise au point d’une homologation de type </w:t>
      </w:r>
      <w:r>
        <w:rPr>
          <w:rFonts w:asciiTheme="majorBidi" w:hAnsiTheme="majorBidi" w:cstheme="majorBidi"/>
          <w:b/>
          <w:bCs/>
          <w:lang w:val="fr-FR"/>
        </w:rPr>
        <w:br/>
      </w:r>
      <w:r w:rsidRPr="001F01E4">
        <w:rPr>
          <w:rFonts w:asciiTheme="majorBidi" w:hAnsiTheme="majorBidi" w:cstheme="majorBidi"/>
          <w:b/>
          <w:bCs/>
          <w:lang w:val="fr-FR"/>
        </w:rPr>
        <w:t>internationale de l’ensemble du véhicule (IWVTA)</w:t>
      </w:r>
    </w:p>
    <w:p w14:paraId="3511821E" w14:textId="342CE380" w:rsidR="001F01E4" w:rsidRPr="00A7434A" w:rsidRDefault="001F01E4" w:rsidP="001F01E4">
      <w:pPr>
        <w:pStyle w:val="HChG"/>
      </w:pPr>
      <w:r w:rsidRPr="00A7434A">
        <w:rPr>
          <w:sz w:val="24"/>
          <w:szCs w:val="24"/>
          <w:lang w:val="fr-FR"/>
        </w:rPr>
        <w:tab/>
      </w:r>
      <w:r w:rsidRPr="00A7434A">
        <w:rPr>
          <w:sz w:val="24"/>
          <w:szCs w:val="24"/>
          <w:lang w:val="fr-FR"/>
        </w:rPr>
        <w:tab/>
      </w:r>
      <w:r w:rsidRPr="00A7434A">
        <w:rPr>
          <w:lang w:val="fr-FR"/>
        </w:rPr>
        <w:t>Proposition de série 05 d</w:t>
      </w:r>
      <w:r>
        <w:rPr>
          <w:lang w:val="fr-FR"/>
        </w:rPr>
        <w:t>’</w:t>
      </w:r>
      <w:r w:rsidRPr="00A7434A">
        <w:rPr>
          <w:lang w:val="fr-FR"/>
        </w:rPr>
        <w:t>amendements au Règlement ONU n</w:t>
      </w:r>
      <w:r w:rsidRPr="00A7434A">
        <w:rPr>
          <w:vertAlign w:val="superscript"/>
          <w:lang w:val="fr-FR"/>
        </w:rPr>
        <w:t>o</w:t>
      </w:r>
      <w:r>
        <w:rPr>
          <w:lang w:val="fr-FR"/>
        </w:rPr>
        <w:t> </w:t>
      </w:r>
      <w:r w:rsidRPr="00A7434A">
        <w:rPr>
          <w:lang w:val="fr-FR"/>
        </w:rPr>
        <w:t>0 (IWVTA)</w:t>
      </w:r>
    </w:p>
    <w:p w14:paraId="7BB997D4" w14:textId="553B67A1" w:rsidR="001F01E4" w:rsidRPr="00A7434A" w:rsidRDefault="001F01E4" w:rsidP="001F01E4">
      <w:pPr>
        <w:pStyle w:val="H1G"/>
      </w:pPr>
      <w:r w:rsidRPr="00A7434A">
        <w:rPr>
          <w:lang w:val="fr-FR"/>
        </w:rPr>
        <w:tab/>
      </w:r>
      <w:r w:rsidRPr="00A7434A">
        <w:rPr>
          <w:lang w:val="fr-FR"/>
        </w:rPr>
        <w:tab/>
        <w:t>Communication du groupe de travail informel de l</w:t>
      </w:r>
      <w:r>
        <w:rPr>
          <w:lang w:val="fr-FR"/>
        </w:rPr>
        <w:t>’</w:t>
      </w:r>
      <w:r w:rsidRPr="00A7434A">
        <w:rPr>
          <w:lang w:val="fr-FR"/>
        </w:rPr>
        <w:t xml:space="preserve">homologation </w:t>
      </w:r>
      <w:r>
        <w:rPr>
          <w:lang w:val="fr-FR"/>
        </w:rPr>
        <w:br/>
      </w:r>
      <w:r w:rsidRPr="00A7434A">
        <w:rPr>
          <w:lang w:val="fr-FR"/>
        </w:rPr>
        <w:t>de type internationale de l</w:t>
      </w:r>
      <w:r>
        <w:rPr>
          <w:lang w:val="fr-FR"/>
        </w:rPr>
        <w:t>’</w:t>
      </w:r>
      <w:r w:rsidRPr="00A7434A">
        <w:rPr>
          <w:lang w:val="fr-FR"/>
        </w:rPr>
        <w:t>ensemble du véhicule</w:t>
      </w:r>
      <w:r w:rsidRPr="00244A2F">
        <w:rPr>
          <w:rStyle w:val="Appelnotedebasdep"/>
          <w:rFonts w:asciiTheme="majorBidi" w:hAnsiTheme="majorBidi" w:cstheme="majorBidi"/>
          <w:b w:val="0"/>
          <w:bCs/>
          <w:sz w:val="20"/>
          <w:vertAlign w:val="baseline"/>
          <w:lang w:val="fr-FR"/>
        </w:rPr>
        <w:footnoteReference w:customMarkFollows="1" w:id="2"/>
        <w:t>*</w:t>
      </w:r>
    </w:p>
    <w:p w14:paraId="1A02A58A" w14:textId="2D914BFD" w:rsidR="001F01E4" w:rsidRPr="00A7434A" w:rsidRDefault="001F01E4" w:rsidP="001F01E4">
      <w:pPr>
        <w:pStyle w:val="SingleTxtG"/>
      </w:pPr>
      <w:r>
        <w:rPr>
          <w:lang w:val="fr-FR"/>
        </w:rPr>
        <w:tab/>
      </w:r>
      <w:r>
        <w:rPr>
          <w:lang w:val="fr-FR"/>
        </w:rPr>
        <w:tab/>
      </w:r>
      <w:r w:rsidRPr="00A7434A">
        <w:rPr>
          <w:lang w:val="fr-FR"/>
        </w:rPr>
        <w:t>Le texte ci-après, qui a été examiné par le Forum mondial de l</w:t>
      </w:r>
      <w:r>
        <w:rPr>
          <w:lang w:val="fr-FR"/>
        </w:rPr>
        <w:t>’</w:t>
      </w:r>
      <w:r w:rsidRPr="00A7434A">
        <w:rPr>
          <w:lang w:val="fr-FR"/>
        </w:rPr>
        <w:t>harmonisation des Règlements concernant les véhicules (WP.29) à sa 187</w:t>
      </w:r>
      <w:r w:rsidRPr="00A7434A">
        <w:rPr>
          <w:vertAlign w:val="superscript"/>
          <w:lang w:val="fr-FR"/>
        </w:rPr>
        <w:t>e</w:t>
      </w:r>
      <w:r w:rsidRPr="00A7434A">
        <w:rPr>
          <w:lang w:val="fr-FR"/>
        </w:rPr>
        <w:t xml:space="preserve"> session, tenue en juin 2022 (ECE/TRANS/WP.29/1166, par. 107), est </w:t>
      </w:r>
      <w:r>
        <w:rPr>
          <w:lang w:val="fr-FR"/>
        </w:rPr>
        <w:t>fondé</w:t>
      </w:r>
      <w:r w:rsidRPr="00A7434A">
        <w:rPr>
          <w:lang w:val="fr-FR"/>
        </w:rPr>
        <w:t xml:space="preserve"> sur le document informel WP.29-187-20. Il est soumis au Forum mondial de l</w:t>
      </w:r>
      <w:r>
        <w:rPr>
          <w:lang w:val="fr-FR"/>
        </w:rPr>
        <w:t>’</w:t>
      </w:r>
      <w:r w:rsidRPr="00A7434A">
        <w:rPr>
          <w:lang w:val="fr-FR"/>
        </w:rPr>
        <w:t>harmonisation des Règlements concernant les véhicules (WP.29) et au Comité d</w:t>
      </w:r>
      <w:r>
        <w:rPr>
          <w:lang w:val="fr-FR"/>
        </w:rPr>
        <w:t>’</w:t>
      </w:r>
      <w:r w:rsidRPr="00A7434A">
        <w:rPr>
          <w:lang w:val="fr-FR"/>
        </w:rPr>
        <w:t>administration de l</w:t>
      </w:r>
      <w:r>
        <w:rPr>
          <w:lang w:val="fr-FR"/>
        </w:rPr>
        <w:t>’</w:t>
      </w:r>
      <w:r w:rsidRPr="00A7434A">
        <w:rPr>
          <w:lang w:val="fr-FR"/>
        </w:rPr>
        <w:t xml:space="preserve">Accord de 1958 (AC.1) </w:t>
      </w:r>
      <w:r>
        <w:rPr>
          <w:lang w:val="fr-FR"/>
        </w:rPr>
        <w:t xml:space="preserve">pour </w:t>
      </w:r>
      <w:r w:rsidRPr="00A7434A">
        <w:rPr>
          <w:lang w:val="fr-FR"/>
        </w:rPr>
        <w:t>examen et mise aux voix à leurs sessions de novembre 2022.</w:t>
      </w:r>
    </w:p>
    <w:p w14:paraId="3966EB55" w14:textId="77777777" w:rsidR="001F01E4" w:rsidRDefault="001F01E4">
      <w:pPr>
        <w:suppressAutoHyphens w:val="0"/>
        <w:kinsoku/>
        <w:overflowPunct/>
        <w:autoSpaceDE/>
        <w:autoSpaceDN/>
        <w:adjustRightInd/>
        <w:snapToGrid/>
        <w:spacing w:after="200" w:line="276" w:lineRule="auto"/>
        <w:rPr>
          <w:rFonts w:asciiTheme="majorBidi" w:hAnsiTheme="majorBidi" w:cstheme="majorBidi"/>
          <w:i/>
          <w:iCs/>
          <w:sz w:val="24"/>
          <w:szCs w:val="24"/>
          <w:lang w:val="fr-FR"/>
        </w:rPr>
      </w:pPr>
      <w:r>
        <w:rPr>
          <w:rFonts w:asciiTheme="majorBidi" w:hAnsiTheme="majorBidi" w:cstheme="majorBidi"/>
          <w:i/>
          <w:iCs/>
          <w:sz w:val="24"/>
          <w:szCs w:val="24"/>
          <w:lang w:val="fr-FR"/>
        </w:rPr>
        <w:br w:type="page"/>
      </w:r>
    </w:p>
    <w:p w14:paraId="5A452F05" w14:textId="560C8569" w:rsidR="001F01E4" w:rsidRPr="001F01E4" w:rsidRDefault="001F01E4" w:rsidP="001F01E4">
      <w:pPr>
        <w:pStyle w:val="SingleTxtG"/>
        <w:rPr>
          <w:rFonts w:asciiTheme="majorBidi" w:hAnsiTheme="majorBidi" w:cstheme="majorBidi"/>
          <w:i/>
        </w:rPr>
      </w:pPr>
      <w:r w:rsidRPr="001F01E4">
        <w:rPr>
          <w:rFonts w:asciiTheme="majorBidi" w:hAnsiTheme="majorBidi" w:cstheme="majorBidi"/>
          <w:i/>
          <w:iCs/>
          <w:lang w:val="fr-FR"/>
        </w:rPr>
        <w:lastRenderedPageBreak/>
        <w:t>Ajouter les nouveaux paragraphes 12.7 et 12.8, libellés comme suit :</w:t>
      </w:r>
    </w:p>
    <w:p w14:paraId="2B29BFC4" w14:textId="1992DA86" w:rsidR="001F01E4" w:rsidRPr="001F01E4" w:rsidRDefault="001F01E4" w:rsidP="001F01E4">
      <w:pPr>
        <w:pStyle w:val="SingleTxtG"/>
        <w:ind w:left="2268" w:hanging="1134"/>
      </w:pPr>
      <w:r w:rsidRPr="001F01E4">
        <w:rPr>
          <w:lang w:val="fr-FR"/>
        </w:rPr>
        <w:t>« 12.7</w:t>
      </w:r>
      <w:r w:rsidRPr="001F01E4">
        <w:rPr>
          <w:lang w:val="fr-FR"/>
        </w:rPr>
        <w:tab/>
        <w:t>À compter de la date officielle d’entrée en vigueur de la série</w:t>
      </w:r>
      <w:r>
        <w:rPr>
          <w:lang w:val="fr-FR"/>
        </w:rPr>
        <w:t> </w:t>
      </w:r>
      <w:r w:rsidRPr="001F01E4">
        <w:rPr>
          <w:lang w:val="fr-FR"/>
        </w:rPr>
        <w:t>05 d’amendements, aucune Partie contractante appliquant le présent Règlement ONU ne pourra refuser d’accorder ou d’accepter les IWVTA délivrées en vertu dudit Règlement ONU tel que modifié par la série 05 d’amendements.</w:t>
      </w:r>
    </w:p>
    <w:p w14:paraId="7BAE79B9" w14:textId="77777777" w:rsidR="001F01E4" w:rsidRPr="001F01E4" w:rsidRDefault="001F01E4" w:rsidP="001F01E4">
      <w:pPr>
        <w:pStyle w:val="SingleTxtG"/>
        <w:ind w:left="2268" w:hanging="1134"/>
      </w:pPr>
      <w:r w:rsidRPr="001F01E4">
        <w:t>12</w:t>
      </w:r>
      <w:r w:rsidRPr="001F01E4">
        <w:rPr>
          <w:lang w:val="fr-FR"/>
        </w:rPr>
        <w:t>.8</w:t>
      </w:r>
      <w:r w:rsidRPr="001F01E4">
        <w:rPr>
          <w:lang w:val="fr-FR"/>
        </w:rPr>
        <w:tab/>
        <w:t>À compter du 1</w:t>
      </w:r>
      <w:r w:rsidRPr="001F01E4">
        <w:rPr>
          <w:vertAlign w:val="superscript"/>
          <w:lang w:val="fr-FR"/>
        </w:rPr>
        <w:t>er</w:t>
      </w:r>
      <w:r w:rsidRPr="001F01E4">
        <w:rPr>
          <w:lang w:val="fr-FR"/>
        </w:rPr>
        <w:t xml:space="preserve"> septembre 2023, les Parties contractantes appliquant le présent Règlement ONU ne seront plus tenues d’accepter les IWVTA établies conformément à la série 04 d’amendements audit Règlement ONU, délivrées pour la première fois le 1</w:t>
      </w:r>
      <w:r w:rsidRPr="001F01E4">
        <w:rPr>
          <w:vertAlign w:val="superscript"/>
          <w:lang w:val="fr-FR"/>
        </w:rPr>
        <w:t>er</w:t>
      </w:r>
      <w:r w:rsidRPr="001F01E4">
        <w:rPr>
          <w:lang w:val="fr-FR"/>
        </w:rPr>
        <w:t xml:space="preserve"> septembre 2023 ou après cette date. ».</w:t>
      </w:r>
    </w:p>
    <w:p w14:paraId="6F809EE6" w14:textId="77777777" w:rsidR="001F01E4" w:rsidRPr="00D6495A" w:rsidRDefault="001F01E4" w:rsidP="001F01E4">
      <w:pPr>
        <w:pStyle w:val="SingleTxtG"/>
        <w:rPr>
          <w:rFonts w:asciiTheme="majorBidi" w:hAnsiTheme="majorBidi" w:cstheme="majorBidi"/>
          <w:iCs/>
        </w:rPr>
      </w:pPr>
      <w:r w:rsidRPr="00D6495A">
        <w:rPr>
          <w:rFonts w:asciiTheme="majorBidi" w:hAnsiTheme="majorBidi" w:cstheme="majorBidi"/>
          <w:i/>
          <w:iCs/>
          <w:lang w:val="fr-FR"/>
        </w:rPr>
        <w:t>Annexe 4, partie A, section I (Liste des prescriptions applicables aux fins d’une homologation U-IWVTA),</w:t>
      </w:r>
      <w:r w:rsidRPr="00D6495A">
        <w:rPr>
          <w:rFonts w:asciiTheme="majorBidi" w:hAnsiTheme="majorBidi" w:cstheme="majorBidi"/>
          <w:lang w:val="fr-FR"/>
        </w:rPr>
        <w:t xml:space="preserve"> lire :</w:t>
      </w:r>
    </w:p>
    <w:p w14:paraId="345CBE96" w14:textId="77777777" w:rsidR="001F01E4" w:rsidRPr="00D6495A" w:rsidRDefault="001F01E4" w:rsidP="001F01E4">
      <w:pPr>
        <w:pStyle w:val="SingleTxtG"/>
        <w:rPr>
          <w:rFonts w:asciiTheme="majorBidi" w:hAnsiTheme="majorBidi" w:cstheme="majorBidi"/>
          <w:iCs/>
        </w:rPr>
      </w:pPr>
      <w:r w:rsidRPr="00D6495A">
        <w:rPr>
          <w:rFonts w:asciiTheme="majorBidi" w:hAnsiTheme="majorBidi" w:cstheme="majorBidi"/>
          <w:iCs/>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3686"/>
        <w:gridCol w:w="1275"/>
        <w:gridCol w:w="1703"/>
      </w:tblGrid>
      <w:tr w:rsidR="001F01E4" w:rsidRPr="00D6495A" w14:paraId="5A6735EE" w14:textId="77777777" w:rsidTr="00275671">
        <w:trPr>
          <w:cantSplit/>
          <w:tblHeader/>
        </w:trPr>
        <w:tc>
          <w:tcPr>
            <w:tcW w:w="4392" w:type="dxa"/>
            <w:gridSpan w:val="2"/>
            <w:shd w:val="clear" w:color="auto" w:fill="auto"/>
            <w:vAlign w:val="bottom"/>
          </w:tcPr>
          <w:p w14:paraId="65086305" w14:textId="77777777" w:rsidR="001F01E4" w:rsidRPr="00D6495A" w:rsidRDefault="001F01E4" w:rsidP="00275671">
            <w:pPr>
              <w:spacing w:before="60" w:after="60" w:line="220" w:lineRule="atLeast"/>
              <w:ind w:left="57" w:right="57"/>
              <w:rPr>
                <w:rFonts w:asciiTheme="majorBidi" w:hAnsiTheme="majorBidi" w:cstheme="majorBidi"/>
                <w:i/>
                <w:sz w:val="16"/>
                <w:szCs w:val="16"/>
              </w:rPr>
            </w:pPr>
          </w:p>
        </w:tc>
        <w:tc>
          <w:tcPr>
            <w:tcW w:w="2978" w:type="dxa"/>
            <w:gridSpan w:val="2"/>
            <w:shd w:val="clear" w:color="auto" w:fill="auto"/>
            <w:vAlign w:val="bottom"/>
          </w:tcPr>
          <w:p w14:paraId="0DCBB18D" w14:textId="77777777" w:rsidR="001F01E4" w:rsidRPr="00D6495A" w:rsidRDefault="001F01E4" w:rsidP="00275671">
            <w:pPr>
              <w:spacing w:before="60" w:after="60" w:line="220" w:lineRule="atLeast"/>
              <w:ind w:left="57" w:right="57"/>
              <w:jc w:val="center"/>
              <w:rPr>
                <w:rFonts w:asciiTheme="majorBidi" w:hAnsiTheme="majorBidi" w:cstheme="majorBidi"/>
                <w:i/>
                <w:sz w:val="16"/>
                <w:szCs w:val="16"/>
              </w:rPr>
            </w:pPr>
            <w:r w:rsidRPr="00D6495A">
              <w:rPr>
                <w:rFonts w:asciiTheme="majorBidi" w:hAnsiTheme="majorBidi" w:cstheme="majorBidi"/>
                <w:i/>
                <w:iCs/>
                <w:sz w:val="16"/>
                <w:szCs w:val="16"/>
                <w:lang w:val="fr-FR"/>
              </w:rPr>
              <w:t>Version du Règlement ONU</w:t>
            </w:r>
          </w:p>
        </w:tc>
      </w:tr>
      <w:tr w:rsidR="001F01E4" w:rsidRPr="00244A2F" w14:paraId="021A2C76" w14:textId="77777777" w:rsidTr="00275671">
        <w:trPr>
          <w:cantSplit/>
          <w:tblHeader/>
        </w:trPr>
        <w:tc>
          <w:tcPr>
            <w:tcW w:w="706" w:type="dxa"/>
            <w:shd w:val="clear" w:color="auto" w:fill="auto"/>
          </w:tcPr>
          <w:p w14:paraId="448CBEC8" w14:textId="77777777" w:rsidR="001F01E4" w:rsidRPr="00244A2F" w:rsidRDefault="001F01E4" w:rsidP="00275671">
            <w:pPr>
              <w:spacing w:before="60" w:after="60" w:line="220" w:lineRule="atLeast"/>
              <w:ind w:left="57" w:right="57"/>
              <w:rPr>
                <w:rFonts w:asciiTheme="majorBidi" w:hAnsiTheme="majorBidi" w:cstheme="majorBidi"/>
                <w:i/>
                <w:iCs/>
                <w:sz w:val="16"/>
                <w:szCs w:val="16"/>
              </w:rPr>
            </w:pPr>
            <w:r w:rsidRPr="00244A2F">
              <w:rPr>
                <w:rFonts w:asciiTheme="majorBidi" w:hAnsiTheme="majorBidi" w:cstheme="majorBidi"/>
                <w:i/>
                <w:iCs/>
                <w:sz w:val="16"/>
                <w:szCs w:val="16"/>
                <w:lang w:val="fr-FR"/>
              </w:rPr>
              <w:t>N</w:t>
            </w:r>
            <w:r w:rsidRPr="00244A2F">
              <w:rPr>
                <w:rFonts w:asciiTheme="majorBidi" w:hAnsiTheme="majorBidi" w:cstheme="majorBidi"/>
                <w:i/>
                <w:iCs/>
                <w:sz w:val="16"/>
                <w:szCs w:val="16"/>
                <w:vertAlign w:val="superscript"/>
                <w:lang w:val="fr-FR"/>
              </w:rPr>
              <w:t>o</w:t>
            </w:r>
          </w:p>
        </w:tc>
        <w:tc>
          <w:tcPr>
            <w:tcW w:w="3686" w:type="dxa"/>
            <w:shd w:val="clear" w:color="auto" w:fill="auto"/>
          </w:tcPr>
          <w:p w14:paraId="667FD7E5" w14:textId="77777777" w:rsidR="001F01E4" w:rsidRPr="00244A2F" w:rsidRDefault="001F01E4" w:rsidP="00275671">
            <w:pPr>
              <w:spacing w:before="60" w:after="60" w:line="220" w:lineRule="atLeast"/>
              <w:ind w:left="57" w:right="57"/>
              <w:rPr>
                <w:rFonts w:asciiTheme="majorBidi" w:hAnsiTheme="majorBidi" w:cstheme="majorBidi"/>
                <w:i/>
                <w:iCs/>
                <w:sz w:val="16"/>
                <w:szCs w:val="16"/>
              </w:rPr>
            </w:pPr>
            <w:r w:rsidRPr="00244A2F">
              <w:rPr>
                <w:rFonts w:asciiTheme="majorBidi" w:hAnsiTheme="majorBidi" w:cstheme="majorBidi"/>
                <w:i/>
                <w:iCs/>
                <w:sz w:val="16"/>
                <w:szCs w:val="16"/>
                <w:lang w:val="fr-FR"/>
              </w:rPr>
              <w:t>Objet</w:t>
            </w:r>
            <w:r w:rsidRPr="00244A2F">
              <w:rPr>
                <w:rFonts w:asciiTheme="majorBidi" w:hAnsiTheme="majorBidi" w:cstheme="majorBidi"/>
                <w:i/>
                <w:iCs/>
                <w:sz w:val="16"/>
                <w:szCs w:val="16"/>
                <w:vertAlign w:val="superscript"/>
                <w:lang w:val="fr-FR"/>
              </w:rPr>
              <w:t>3</w:t>
            </w:r>
          </w:p>
        </w:tc>
        <w:tc>
          <w:tcPr>
            <w:tcW w:w="1275" w:type="dxa"/>
            <w:shd w:val="clear" w:color="auto" w:fill="auto"/>
          </w:tcPr>
          <w:p w14:paraId="518A52D8" w14:textId="6CC859B6" w:rsidR="001F01E4" w:rsidRPr="00244A2F" w:rsidRDefault="001F01E4" w:rsidP="00275671">
            <w:pPr>
              <w:spacing w:before="60" w:after="60" w:line="220" w:lineRule="atLeast"/>
              <w:ind w:left="57" w:right="57"/>
              <w:jc w:val="right"/>
              <w:rPr>
                <w:rFonts w:asciiTheme="majorBidi" w:hAnsiTheme="majorBidi" w:cstheme="majorBidi"/>
                <w:i/>
                <w:iCs/>
                <w:sz w:val="16"/>
                <w:szCs w:val="16"/>
              </w:rPr>
            </w:pPr>
            <w:r w:rsidRPr="00244A2F">
              <w:rPr>
                <w:rFonts w:asciiTheme="majorBidi" w:hAnsiTheme="majorBidi" w:cstheme="majorBidi"/>
                <w:i/>
                <w:iCs/>
                <w:sz w:val="16"/>
                <w:szCs w:val="16"/>
                <w:lang w:val="fr-FR"/>
              </w:rPr>
              <w:t xml:space="preserve">Règlement ONU </w:t>
            </w:r>
            <w:r w:rsidRPr="00244A2F">
              <w:rPr>
                <w:rFonts w:asciiTheme="majorBidi" w:eastAsia="MS Mincho" w:hAnsiTheme="majorBidi" w:cstheme="majorBidi"/>
                <w:i/>
                <w:iCs/>
                <w:sz w:val="16"/>
                <w:szCs w:val="16"/>
                <w:lang w:val="fr-FR"/>
              </w:rPr>
              <w:t>n</w:t>
            </w:r>
            <w:r w:rsidRPr="00244A2F">
              <w:rPr>
                <w:rFonts w:asciiTheme="majorBidi" w:eastAsia="MS Mincho" w:hAnsiTheme="majorBidi" w:cstheme="majorBidi"/>
                <w:i/>
                <w:iCs/>
                <w:sz w:val="16"/>
                <w:szCs w:val="16"/>
                <w:vertAlign w:val="superscript"/>
                <w:lang w:val="fr-FR"/>
              </w:rPr>
              <w:t>o</w:t>
            </w:r>
            <w:r w:rsidRPr="00244A2F">
              <w:rPr>
                <w:rFonts w:asciiTheme="majorBidi" w:hAnsiTheme="majorBidi" w:cstheme="majorBidi"/>
                <w:i/>
                <w:iCs/>
                <w:sz w:val="16"/>
                <w:szCs w:val="16"/>
                <w:lang w:val="fr-FR"/>
              </w:rPr>
              <w:t> </w:t>
            </w:r>
            <w:r w:rsidRPr="00244A2F">
              <w:rPr>
                <w:rFonts w:asciiTheme="majorBidi" w:hAnsiTheme="majorBidi" w:cstheme="majorBidi"/>
                <w:i/>
                <w:iCs/>
                <w:sz w:val="16"/>
                <w:szCs w:val="16"/>
                <w:vertAlign w:val="superscript"/>
                <w:lang w:val="fr-FR"/>
              </w:rPr>
              <w:t>1</w:t>
            </w:r>
          </w:p>
        </w:tc>
        <w:tc>
          <w:tcPr>
            <w:tcW w:w="1703" w:type="dxa"/>
            <w:shd w:val="clear" w:color="auto" w:fill="auto"/>
          </w:tcPr>
          <w:p w14:paraId="4298FC77" w14:textId="77777777" w:rsidR="001F01E4" w:rsidRPr="00244A2F" w:rsidRDefault="001F01E4" w:rsidP="00275671">
            <w:pPr>
              <w:spacing w:before="60" w:after="60" w:line="220" w:lineRule="atLeast"/>
              <w:ind w:left="57" w:right="57"/>
              <w:jc w:val="right"/>
              <w:rPr>
                <w:rFonts w:asciiTheme="majorBidi" w:hAnsiTheme="majorBidi" w:cstheme="majorBidi"/>
                <w:i/>
                <w:iCs/>
                <w:sz w:val="16"/>
                <w:szCs w:val="16"/>
              </w:rPr>
            </w:pPr>
            <w:r w:rsidRPr="00244A2F">
              <w:rPr>
                <w:rFonts w:asciiTheme="majorBidi" w:hAnsiTheme="majorBidi" w:cstheme="majorBidi"/>
                <w:i/>
                <w:iCs/>
                <w:sz w:val="16"/>
                <w:szCs w:val="16"/>
                <w:lang w:val="fr-FR"/>
              </w:rPr>
              <w:t>Série d’amendements</w:t>
            </w:r>
            <w:r w:rsidRPr="00244A2F">
              <w:rPr>
                <w:rFonts w:asciiTheme="majorBidi" w:hAnsiTheme="majorBidi" w:cstheme="majorBidi"/>
                <w:i/>
                <w:iCs/>
                <w:sz w:val="16"/>
                <w:szCs w:val="16"/>
                <w:vertAlign w:val="superscript"/>
                <w:lang w:val="fr-FR"/>
              </w:rPr>
              <w:t>2</w:t>
            </w:r>
          </w:p>
        </w:tc>
      </w:tr>
      <w:tr w:rsidR="001F01E4" w:rsidRPr="00D6495A" w14:paraId="63CDE258" w14:textId="77777777" w:rsidTr="00275671">
        <w:trPr>
          <w:cantSplit/>
          <w:trHeight w:val="454"/>
        </w:trPr>
        <w:tc>
          <w:tcPr>
            <w:tcW w:w="706" w:type="dxa"/>
            <w:shd w:val="clear" w:color="auto" w:fill="auto"/>
          </w:tcPr>
          <w:p w14:paraId="41286C6E"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w:t>
            </w:r>
          </w:p>
        </w:tc>
        <w:tc>
          <w:tcPr>
            <w:tcW w:w="3686" w:type="dxa"/>
            <w:shd w:val="clear" w:color="auto" w:fill="auto"/>
          </w:tcPr>
          <w:p w14:paraId="46D48F54"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la compatibilité électromagnétique</w:t>
            </w:r>
          </w:p>
        </w:tc>
        <w:tc>
          <w:tcPr>
            <w:tcW w:w="1275" w:type="dxa"/>
            <w:shd w:val="clear" w:color="auto" w:fill="auto"/>
          </w:tcPr>
          <w:p w14:paraId="638B726A"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10</w:t>
            </w:r>
          </w:p>
        </w:tc>
        <w:tc>
          <w:tcPr>
            <w:tcW w:w="1703" w:type="dxa"/>
            <w:shd w:val="clear" w:color="auto" w:fill="auto"/>
          </w:tcPr>
          <w:p w14:paraId="77B131BC"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05</w:t>
            </w:r>
          </w:p>
        </w:tc>
      </w:tr>
      <w:tr w:rsidR="001F01E4" w:rsidRPr="00D6495A" w14:paraId="21A5B0F0" w14:textId="77777777" w:rsidTr="00275671">
        <w:trPr>
          <w:cantSplit/>
          <w:trHeight w:val="454"/>
        </w:trPr>
        <w:tc>
          <w:tcPr>
            <w:tcW w:w="706" w:type="dxa"/>
            <w:shd w:val="clear" w:color="auto" w:fill="auto"/>
          </w:tcPr>
          <w:p w14:paraId="6C713D48"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w:t>
            </w:r>
          </w:p>
        </w:tc>
        <w:tc>
          <w:tcPr>
            <w:tcW w:w="3686" w:type="dxa"/>
            <w:shd w:val="clear" w:color="auto" w:fill="auto"/>
          </w:tcPr>
          <w:p w14:paraId="4F48E1E6"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 xml:space="preserve">Véhicules en ce qui concerne les serrures et organes de fixation des portes </w:t>
            </w:r>
          </w:p>
        </w:tc>
        <w:tc>
          <w:tcPr>
            <w:tcW w:w="1275" w:type="dxa"/>
            <w:shd w:val="clear" w:color="auto" w:fill="auto"/>
          </w:tcPr>
          <w:p w14:paraId="3A0F2061"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11</w:t>
            </w:r>
          </w:p>
        </w:tc>
        <w:tc>
          <w:tcPr>
            <w:tcW w:w="1703" w:type="dxa"/>
            <w:shd w:val="clear" w:color="auto" w:fill="auto"/>
          </w:tcPr>
          <w:p w14:paraId="7159EB53"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07707B9C" w14:textId="77777777" w:rsidTr="00275671">
        <w:trPr>
          <w:cantSplit/>
          <w:trHeight w:val="454"/>
        </w:trPr>
        <w:tc>
          <w:tcPr>
            <w:tcW w:w="706" w:type="dxa"/>
            <w:shd w:val="clear" w:color="auto" w:fill="auto"/>
          </w:tcPr>
          <w:p w14:paraId="6C819C4F"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w:t>
            </w:r>
          </w:p>
        </w:tc>
        <w:tc>
          <w:tcPr>
            <w:tcW w:w="3686" w:type="dxa"/>
            <w:shd w:val="clear" w:color="auto" w:fill="auto"/>
          </w:tcPr>
          <w:p w14:paraId="43567A96"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la protection du conducteur contre le dispositif de conduite en cas de choc</w:t>
            </w:r>
          </w:p>
        </w:tc>
        <w:tc>
          <w:tcPr>
            <w:tcW w:w="1275" w:type="dxa"/>
            <w:shd w:val="clear" w:color="auto" w:fill="auto"/>
          </w:tcPr>
          <w:p w14:paraId="67A997F1"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12</w:t>
            </w:r>
          </w:p>
        </w:tc>
        <w:tc>
          <w:tcPr>
            <w:tcW w:w="1703" w:type="dxa"/>
            <w:shd w:val="clear" w:color="auto" w:fill="auto"/>
          </w:tcPr>
          <w:p w14:paraId="7036F561"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394BBF78" w14:textId="77777777" w:rsidTr="00275671">
        <w:trPr>
          <w:cantSplit/>
          <w:trHeight w:val="454"/>
        </w:trPr>
        <w:tc>
          <w:tcPr>
            <w:tcW w:w="706" w:type="dxa"/>
            <w:shd w:val="clear" w:color="auto" w:fill="auto"/>
          </w:tcPr>
          <w:p w14:paraId="0142BC69"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4</w:t>
            </w:r>
          </w:p>
        </w:tc>
        <w:tc>
          <w:tcPr>
            <w:tcW w:w="3686" w:type="dxa"/>
            <w:shd w:val="clear" w:color="auto" w:fill="auto"/>
          </w:tcPr>
          <w:p w14:paraId="7842A61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Freins des véhicules des catégories M</w:t>
            </w:r>
            <w:r w:rsidRPr="00D6495A">
              <w:rPr>
                <w:rFonts w:asciiTheme="majorBidi" w:hAnsiTheme="majorBidi" w:cstheme="majorBidi"/>
                <w:vertAlign w:val="subscript"/>
                <w:lang w:val="fr-FR"/>
              </w:rPr>
              <w:t>1</w:t>
            </w:r>
            <w:r w:rsidRPr="00D6495A">
              <w:rPr>
                <w:rFonts w:asciiTheme="majorBidi" w:hAnsiTheme="majorBidi" w:cstheme="majorBidi"/>
                <w:lang w:val="fr-FR"/>
              </w:rPr>
              <w:t xml:space="preserve"> et N</w:t>
            </w:r>
            <w:r w:rsidRPr="00D6495A">
              <w:rPr>
                <w:rFonts w:asciiTheme="majorBidi" w:hAnsiTheme="majorBidi" w:cstheme="majorBidi"/>
                <w:vertAlign w:val="subscript"/>
                <w:lang w:val="fr-FR"/>
              </w:rPr>
              <w:t>1</w:t>
            </w:r>
          </w:p>
        </w:tc>
        <w:tc>
          <w:tcPr>
            <w:tcW w:w="1275" w:type="dxa"/>
            <w:shd w:val="clear" w:color="auto" w:fill="auto"/>
          </w:tcPr>
          <w:p w14:paraId="2FEB998D"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13-H</w:t>
            </w:r>
          </w:p>
        </w:tc>
        <w:tc>
          <w:tcPr>
            <w:tcW w:w="1703" w:type="dxa"/>
            <w:shd w:val="clear" w:color="auto" w:fill="auto"/>
          </w:tcPr>
          <w:p w14:paraId="7C6E94B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0F058342" w14:textId="77777777" w:rsidTr="00275671">
        <w:trPr>
          <w:cantSplit/>
          <w:trHeight w:val="454"/>
        </w:trPr>
        <w:tc>
          <w:tcPr>
            <w:tcW w:w="706" w:type="dxa"/>
            <w:shd w:val="clear" w:color="auto" w:fill="auto"/>
          </w:tcPr>
          <w:p w14:paraId="29FD1EA9"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5</w:t>
            </w:r>
          </w:p>
        </w:tc>
        <w:tc>
          <w:tcPr>
            <w:tcW w:w="3686" w:type="dxa"/>
            <w:shd w:val="clear" w:color="auto" w:fill="auto"/>
          </w:tcPr>
          <w:p w14:paraId="6E8DF87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les ancrages de ceintures de sécurité</w:t>
            </w:r>
          </w:p>
        </w:tc>
        <w:tc>
          <w:tcPr>
            <w:tcW w:w="1275" w:type="dxa"/>
            <w:shd w:val="clear" w:color="auto" w:fill="auto"/>
          </w:tcPr>
          <w:p w14:paraId="578284A3"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14</w:t>
            </w:r>
          </w:p>
        </w:tc>
        <w:tc>
          <w:tcPr>
            <w:tcW w:w="1703" w:type="dxa"/>
            <w:shd w:val="clear" w:color="auto" w:fill="auto"/>
          </w:tcPr>
          <w:p w14:paraId="45274817"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09</w:t>
            </w:r>
          </w:p>
        </w:tc>
      </w:tr>
      <w:tr w:rsidR="001F01E4" w:rsidRPr="00D6495A" w14:paraId="4B03C77D" w14:textId="77777777" w:rsidTr="00275671">
        <w:trPr>
          <w:cantSplit/>
          <w:trHeight w:val="454"/>
        </w:trPr>
        <w:tc>
          <w:tcPr>
            <w:tcW w:w="706" w:type="dxa"/>
            <w:shd w:val="clear" w:color="auto" w:fill="auto"/>
          </w:tcPr>
          <w:p w14:paraId="618939D7"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6</w:t>
            </w:r>
          </w:p>
        </w:tc>
        <w:tc>
          <w:tcPr>
            <w:tcW w:w="3686" w:type="dxa"/>
            <w:shd w:val="clear" w:color="auto" w:fill="auto"/>
          </w:tcPr>
          <w:p w14:paraId="687CD627"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 xml:space="preserve">Ceintures de sécurité, systèmes de retenue, systèmes de retenue pour enfants et systèmes de retenue pour enfants ISOFIX </w:t>
            </w:r>
          </w:p>
        </w:tc>
        <w:tc>
          <w:tcPr>
            <w:tcW w:w="1275" w:type="dxa"/>
            <w:shd w:val="clear" w:color="auto" w:fill="auto"/>
          </w:tcPr>
          <w:p w14:paraId="18308956"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16</w:t>
            </w:r>
          </w:p>
        </w:tc>
        <w:tc>
          <w:tcPr>
            <w:tcW w:w="1703" w:type="dxa"/>
            <w:shd w:val="clear" w:color="auto" w:fill="auto"/>
          </w:tcPr>
          <w:p w14:paraId="191162B0"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08</w:t>
            </w:r>
          </w:p>
        </w:tc>
      </w:tr>
      <w:tr w:rsidR="001F01E4" w:rsidRPr="00D6495A" w14:paraId="2472B579" w14:textId="77777777" w:rsidTr="00275671">
        <w:trPr>
          <w:cantSplit/>
          <w:trHeight w:val="454"/>
        </w:trPr>
        <w:tc>
          <w:tcPr>
            <w:tcW w:w="706" w:type="dxa"/>
            <w:shd w:val="clear" w:color="auto" w:fill="auto"/>
          </w:tcPr>
          <w:p w14:paraId="6B08E02C"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7</w:t>
            </w:r>
          </w:p>
        </w:tc>
        <w:tc>
          <w:tcPr>
            <w:tcW w:w="3686" w:type="dxa"/>
            <w:shd w:val="clear" w:color="auto" w:fill="auto"/>
          </w:tcPr>
          <w:p w14:paraId="4E8CE90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les sièges, leur ancrage et les appuie-tête</w:t>
            </w:r>
          </w:p>
        </w:tc>
        <w:tc>
          <w:tcPr>
            <w:tcW w:w="1275" w:type="dxa"/>
            <w:shd w:val="clear" w:color="auto" w:fill="auto"/>
          </w:tcPr>
          <w:p w14:paraId="0ED57550"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17</w:t>
            </w:r>
          </w:p>
        </w:tc>
        <w:tc>
          <w:tcPr>
            <w:tcW w:w="1703" w:type="dxa"/>
            <w:shd w:val="clear" w:color="auto" w:fill="auto"/>
          </w:tcPr>
          <w:p w14:paraId="2E022C85"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10</w:t>
            </w:r>
          </w:p>
        </w:tc>
      </w:tr>
      <w:tr w:rsidR="001F01E4" w:rsidRPr="00D6495A" w14:paraId="708DB45F" w14:textId="77777777" w:rsidTr="00275671">
        <w:trPr>
          <w:cantSplit/>
          <w:trHeight w:val="454"/>
        </w:trPr>
        <w:tc>
          <w:tcPr>
            <w:tcW w:w="706" w:type="dxa"/>
            <w:shd w:val="clear" w:color="auto" w:fill="auto"/>
          </w:tcPr>
          <w:p w14:paraId="5FA89D8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8</w:t>
            </w:r>
          </w:p>
        </w:tc>
        <w:tc>
          <w:tcPr>
            <w:tcW w:w="3686" w:type="dxa"/>
            <w:shd w:val="clear" w:color="auto" w:fill="auto"/>
          </w:tcPr>
          <w:p w14:paraId="62B105B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leur aménagement intérieur</w:t>
            </w:r>
          </w:p>
        </w:tc>
        <w:tc>
          <w:tcPr>
            <w:tcW w:w="1275" w:type="dxa"/>
            <w:shd w:val="clear" w:color="auto" w:fill="auto"/>
          </w:tcPr>
          <w:p w14:paraId="3C34E8A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21</w:t>
            </w:r>
          </w:p>
        </w:tc>
        <w:tc>
          <w:tcPr>
            <w:tcW w:w="1703" w:type="dxa"/>
            <w:shd w:val="clear" w:color="auto" w:fill="auto"/>
          </w:tcPr>
          <w:p w14:paraId="54CDA70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4FA3E23E" w14:textId="77777777" w:rsidTr="00275671">
        <w:trPr>
          <w:cantSplit/>
          <w:trHeight w:val="454"/>
        </w:trPr>
        <w:tc>
          <w:tcPr>
            <w:tcW w:w="706" w:type="dxa"/>
            <w:shd w:val="clear" w:color="auto" w:fill="auto"/>
          </w:tcPr>
          <w:p w14:paraId="074D91E2"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9</w:t>
            </w:r>
          </w:p>
        </w:tc>
        <w:tc>
          <w:tcPr>
            <w:tcW w:w="3686" w:type="dxa"/>
            <w:shd w:val="clear" w:color="auto" w:fill="auto"/>
          </w:tcPr>
          <w:p w14:paraId="45E237D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leurs saillies extérieures</w:t>
            </w:r>
          </w:p>
        </w:tc>
        <w:tc>
          <w:tcPr>
            <w:tcW w:w="1275" w:type="dxa"/>
            <w:shd w:val="clear" w:color="auto" w:fill="auto"/>
          </w:tcPr>
          <w:p w14:paraId="1284D11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26</w:t>
            </w:r>
          </w:p>
        </w:tc>
        <w:tc>
          <w:tcPr>
            <w:tcW w:w="1703" w:type="dxa"/>
            <w:shd w:val="clear" w:color="auto" w:fill="auto"/>
          </w:tcPr>
          <w:p w14:paraId="0C55B8EC"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62EC35D9" w14:textId="77777777" w:rsidTr="00275671">
        <w:trPr>
          <w:cantSplit/>
          <w:trHeight w:val="454"/>
        </w:trPr>
        <w:tc>
          <w:tcPr>
            <w:tcW w:w="706" w:type="dxa"/>
            <w:shd w:val="clear" w:color="auto" w:fill="auto"/>
          </w:tcPr>
          <w:p w14:paraId="5D2B3A51"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10</w:t>
            </w:r>
          </w:p>
        </w:tc>
        <w:tc>
          <w:tcPr>
            <w:tcW w:w="3686" w:type="dxa"/>
            <w:shd w:val="clear" w:color="auto" w:fill="auto"/>
          </w:tcPr>
          <w:p w14:paraId="5E690E70"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Avertisseurs sonores et automobiles en ce qui concerne leur signalisation sonore</w:t>
            </w:r>
          </w:p>
        </w:tc>
        <w:tc>
          <w:tcPr>
            <w:tcW w:w="1275" w:type="dxa"/>
            <w:shd w:val="clear" w:color="auto" w:fill="auto"/>
          </w:tcPr>
          <w:p w14:paraId="7F5BD6CB"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28</w:t>
            </w:r>
          </w:p>
        </w:tc>
        <w:tc>
          <w:tcPr>
            <w:tcW w:w="1703" w:type="dxa"/>
            <w:shd w:val="clear" w:color="auto" w:fill="auto"/>
          </w:tcPr>
          <w:p w14:paraId="014C307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7B0D533F" w14:textId="77777777" w:rsidTr="00275671">
        <w:trPr>
          <w:cantSplit/>
          <w:trHeight w:val="454"/>
        </w:trPr>
        <w:tc>
          <w:tcPr>
            <w:tcW w:w="706" w:type="dxa"/>
            <w:shd w:val="clear" w:color="auto" w:fill="auto"/>
          </w:tcPr>
          <w:p w14:paraId="1ADA9FE6" w14:textId="77777777" w:rsidR="001F01E4" w:rsidRPr="00D6495A" w:rsidDel="008D6754"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11</w:t>
            </w:r>
          </w:p>
        </w:tc>
        <w:tc>
          <w:tcPr>
            <w:tcW w:w="3686" w:type="dxa"/>
            <w:shd w:val="clear" w:color="auto" w:fill="auto"/>
          </w:tcPr>
          <w:p w14:paraId="5035063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Pneumatiques pour automobiles et leurs remorques (les pneumatiques doivent avoir été homologués en application des Règlements ONU n</w:t>
            </w:r>
            <w:r w:rsidRPr="00D6495A">
              <w:rPr>
                <w:rFonts w:asciiTheme="majorBidi" w:hAnsiTheme="majorBidi" w:cstheme="majorBidi"/>
                <w:vertAlign w:val="superscript"/>
                <w:lang w:val="fr-FR"/>
              </w:rPr>
              <w:t xml:space="preserve">os </w:t>
            </w:r>
            <w:r w:rsidRPr="00D6495A">
              <w:rPr>
                <w:rFonts w:asciiTheme="majorBidi" w:hAnsiTheme="majorBidi" w:cstheme="majorBidi"/>
                <w:lang w:val="fr-FR"/>
              </w:rPr>
              <w:t>30 ou 54)</w:t>
            </w:r>
          </w:p>
        </w:tc>
        <w:tc>
          <w:tcPr>
            <w:tcW w:w="1275" w:type="dxa"/>
            <w:shd w:val="clear" w:color="auto" w:fill="auto"/>
          </w:tcPr>
          <w:p w14:paraId="1D3CF0CF"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30</w:t>
            </w:r>
          </w:p>
        </w:tc>
        <w:tc>
          <w:tcPr>
            <w:tcW w:w="1703" w:type="dxa"/>
            <w:shd w:val="clear" w:color="auto" w:fill="auto"/>
          </w:tcPr>
          <w:p w14:paraId="45EEF3D7"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02</w:t>
            </w:r>
          </w:p>
        </w:tc>
      </w:tr>
      <w:tr w:rsidR="001F01E4" w:rsidRPr="00D6495A" w14:paraId="04C1C890" w14:textId="77777777" w:rsidTr="00275671">
        <w:trPr>
          <w:cantSplit/>
          <w:trHeight w:val="454"/>
        </w:trPr>
        <w:tc>
          <w:tcPr>
            <w:tcW w:w="706" w:type="dxa"/>
            <w:shd w:val="clear" w:color="auto" w:fill="auto"/>
          </w:tcPr>
          <w:p w14:paraId="493F976A"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12</w:t>
            </w:r>
          </w:p>
        </w:tc>
        <w:tc>
          <w:tcPr>
            <w:tcW w:w="3686" w:type="dxa"/>
            <w:shd w:val="clear" w:color="auto" w:fill="auto"/>
          </w:tcPr>
          <w:p w14:paraId="27A09D58"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la prévention des risques d’incendie</w:t>
            </w:r>
          </w:p>
        </w:tc>
        <w:tc>
          <w:tcPr>
            <w:tcW w:w="1275" w:type="dxa"/>
            <w:shd w:val="clear" w:color="auto" w:fill="auto"/>
          </w:tcPr>
          <w:p w14:paraId="57C0F8A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34</w:t>
            </w:r>
          </w:p>
        </w:tc>
        <w:tc>
          <w:tcPr>
            <w:tcW w:w="1703" w:type="dxa"/>
            <w:shd w:val="clear" w:color="auto" w:fill="auto"/>
          </w:tcPr>
          <w:p w14:paraId="21102E02"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03</w:t>
            </w:r>
          </w:p>
        </w:tc>
      </w:tr>
      <w:tr w:rsidR="001F01E4" w:rsidRPr="00D6495A" w14:paraId="5BB5DB39" w14:textId="77777777" w:rsidTr="00275671">
        <w:trPr>
          <w:cantSplit/>
          <w:trHeight w:val="454"/>
        </w:trPr>
        <w:tc>
          <w:tcPr>
            <w:tcW w:w="706" w:type="dxa"/>
            <w:shd w:val="clear" w:color="auto" w:fill="auto"/>
          </w:tcPr>
          <w:p w14:paraId="1937FAE1" w14:textId="77777777" w:rsidR="001F01E4" w:rsidRPr="00D6495A" w:rsidDel="008D6754"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13</w:t>
            </w:r>
          </w:p>
        </w:tc>
        <w:tc>
          <w:tcPr>
            <w:tcW w:w="3686" w:type="dxa"/>
            <w:shd w:val="clear" w:color="auto" w:fill="auto"/>
          </w:tcPr>
          <w:p w14:paraId="13A056E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Appareil indicateur de vitesse et compteur kilométrique, y compris leur installation</w:t>
            </w:r>
          </w:p>
        </w:tc>
        <w:tc>
          <w:tcPr>
            <w:tcW w:w="1275" w:type="dxa"/>
            <w:shd w:val="clear" w:color="auto" w:fill="auto"/>
          </w:tcPr>
          <w:p w14:paraId="09332C4C"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39</w:t>
            </w:r>
          </w:p>
        </w:tc>
        <w:tc>
          <w:tcPr>
            <w:tcW w:w="1703" w:type="dxa"/>
            <w:shd w:val="clear" w:color="auto" w:fill="auto"/>
          </w:tcPr>
          <w:p w14:paraId="0B37188F"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0F0E90AC" w14:textId="77777777" w:rsidTr="00275671">
        <w:trPr>
          <w:cantSplit/>
          <w:trHeight w:val="454"/>
        </w:trPr>
        <w:tc>
          <w:tcPr>
            <w:tcW w:w="706" w:type="dxa"/>
            <w:shd w:val="clear" w:color="auto" w:fill="auto"/>
          </w:tcPr>
          <w:p w14:paraId="6AA7F92A"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14</w:t>
            </w:r>
          </w:p>
        </w:tc>
        <w:tc>
          <w:tcPr>
            <w:tcW w:w="3686" w:type="dxa"/>
            <w:shd w:val="clear" w:color="auto" w:fill="auto"/>
          </w:tcPr>
          <w:p w14:paraId="490EA9D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Vitrages de sécurité et installation de ces vitrages sur les véhicules</w:t>
            </w:r>
          </w:p>
        </w:tc>
        <w:tc>
          <w:tcPr>
            <w:tcW w:w="1275" w:type="dxa"/>
            <w:shd w:val="clear" w:color="auto" w:fill="auto"/>
          </w:tcPr>
          <w:p w14:paraId="5296279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43</w:t>
            </w:r>
          </w:p>
        </w:tc>
        <w:tc>
          <w:tcPr>
            <w:tcW w:w="1703" w:type="dxa"/>
            <w:shd w:val="clear" w:color="auto" w:fill="auto"/>
          </w:tcPr>
          <w:p w14:paraId="6579DC8A"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482447B1" w14:textId="77777777" w:rsidTr="00275671">
        <w:trPr>
          <w:cantSplit/>
          <w:trHeight w:val="454"/>
        </w:trPr>
        <w:tc>
          <w:tcPr>
            <w:tcW w:w="706" w:type="dxa"/>
            <w:shd w:val="clear" w:color="auto" w:fill="auto"/>
          </w:tcPr>
          <w:p w14:paraId="3CD0D799" w14:textId="77777777" w:rsidR="001F01E4" w:rsidRPr="00D6495A" w:rsidDel="008D6754"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lastRenderedPageBreak/>
              <w:t>15</w:t>
            </w:r>
          </w:p>
        </w:tc>
        <w:tc>
          <w:tcPr>
            <w:tcW w:w="3686" w:type="dxa"/>
            <w:shd w:val="clear" w:color="auto" w:fill="auto"/>
          </w:tcPr>
          <w:p w14:paraId="32EBDC81"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Dispositifs de retenue pour enfants à bord des véhicules à moteur (en ce qui concerne uniquement les coussins d’appoint intégrés mais non les sièges autonomes pour enfants)</w:t>
            </w:r>
          </w:p>
        </w:tc>
        <w:tc>
          <w:tcPr>
            <w:tcW w:w="1275" w:type="dxa"/>
            <w:shd w:val="clear" w:color="auto" w:fill="auto"/>
          </w:tcPr>
          <w:p w14:paraId="1D770520"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44*</w:t>
            </w:r>
          </w:p>
        </w:tc>
        <w:tc>
          <w:tcPr>
            <w:tcW w:w="1703" w:type="dxa"/>
            <w:shd w:val="clear" w:color="auto" w:fill="auto"/>
          </w:tcPr>
          <w:p w14:paraId="7A0C624E"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48F137D6" w14:textId="77777777" w:rsidTr="00275671">
        <w:trPr>
          <w:cantSplit/>
          <w:trHeight w:val="454"/>
        </w:trPr>
        <w:tc>
          <w:tcPr>
            <w:tcW w:w="706" w:type="dxa"/>
            <w:shd w:val="clear" w:color="auto" w:fill="auto"/>
          </w:tcPr>
          <w:p w14:paraId="32DF26CC"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16</w:t>
            </w:r>
          </w:p>
        </w:tc>
        <w:tc>
          <w:tcPr>
            <w:tcW w:w="3686" w:type="dxa"/>
            <w:shd w:val="clear" w:color="auto" w:fill="auto"/>
          </w:tcPr>
          <w:p w14:paraId="35E01D40"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Systèmes de vision indirecte et véhicules à moteur en ce qui concerne le montage de ces systèmes</w:t>
            </w:r>
          </w:p>
        </w:tc>
        <w:tc>
          <w:tcPr>
            <w:tcW w:w="1275" w:type="dxa"/>
            <w:shd w:val="clear" w:color="auto" w:fill="auto"/>
          </w:tcPr>
          <w:p w14:paraId="71CF027A"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46</w:t>
            </w:r>
          </w:p>
        </w:tc>
        <w:tc>
          <w:tcPr>
            <w:tcW w:w="1703" w:type="dxa"/>
            <w:shd w:val="clear" w:color="auto" w:fill="auto"/>
          </w:tcPr>
          <w:p w14:paraId="2D9F078B"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313FF77F" w14:textId="77777777" w:rsidTr="00275671">
        <w:trPr>
          <w:cantSplit/>
          <w:trHeight w:val="454"/>
        </w:trPr>
        <w:tc>
          <w:tcPr>
            <w:tcW w:w="706" w:type="dxa"/>
            <w:shd w:val="clear" w:color="auto" w:fill="auto"/>
          </w:tcPr>
          <w:p w14:paraId="68F7EC80"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17</w:t>
            </w:r>
          </w:p>
        </w:tc>
        <w:tc>
          <w:tcPr>
            <w:tcW w:w="3686" w:type="dxa"/>
            <w:shd w:val="clear" w:color="auto" w:fill="auto"/>
          </w:tcPr>
          <w:p w14:paraId="0A38C996"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Installation des dispositifs d’éclairage et de signalisation lumineuse</w:t>
            </w:r>
          </w:p>
        </w:tc>
        <w:tc>
          <w:tcPr>
            <w:tcW w:w="1275" w:type="dxa"/>
            <w:shd w:val="clear" w:color="auto" w:fill="auto"/>
          </w:tcPr>
          <w:p w14:paraId="3F9A463A"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48</w:t>
            </w:r>
          </w:p>
        </w:tc>
        <w:tc>
          <w:tcPr>
            <w:tcW w:w="1703" w:type="dxa"/>
            <w:shd w:val="clear" w:color="auto" w:fill="auto"/>
          </w:tcPr>
          <w:p w14:paraId="1C84E48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07</w:t>
            </w:r>
          </w:p>
        </w:tc>
      </w:tr>
      <w:tr w:rsidR="001F01E4" w:rsidRPr="00D6495A" w14:paraId="360D7CFD" w14:textId="77777777" w:rsidTr="00275671">
        <w:trPr>
          <w:cantSplit/>
          <w:trHeight w:val="454"/>
        </w:trPr>
        <w:tc>
          <w:tcPr>
            <w:tcW w:w="706" w:type="dxa"/>
            <w:shd w:val="clear" w:color="auto" w:fill="auto"/>
          </w:tcPr>
          <w:p w14:paraId="7E067E8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18</w:t>
            </w:r>
          </w:p>
        </w:tc>
        <w:tc>
          <w:tcPr>
            <w:tcW w:w="3686" w:type="dxa"/>
            <w:shd w:val="clear" w:color="auto" w:fill="auto"/>
          </w:tcPr>
          <w:p w14:paraId="5A31E8FF"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à moteur ayant au moins quatre roues en ce qui concerne les émissions sonores</w:t>
            </w:r>
          </w:p>
        </w:tc>
        <w:tc>
          <w:tcPr>
            <w:tcW w:w="1275" w:type="dxa"/>
            <w:shd w:val="clear" w:color="auto" w:fill="auto"/>
          </w:tcPr>
          <w:p w14:paraId="47C46F8E"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51</w:t>
            </w:r>
          </w:p>
        </w:tc>
        <w:tc>
          <w:tcPr>
            <w:tcW w:w="1703" w:type="dxa"/>
            <w:shd w:val="clear" w:color="auto" w:fill="auto"/>
          </w:tcPr>
          <w:p w14:paraId="55F86A2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03</w:t>
            </w:r>
          </w:p>
        </w:tc>
      </w:tr>
      <w:tr w:rsidR="001F01E4" w:rsidRPr="00D6495A" w14:paraId="6A3AE178" w14:textId="77777777" w:rsidTr="00275671">
        <w:trPr>
          <w:cantSplit/>
          <w:trHeight w:val="454"/>
        </w:trPr>
        <w:tc>
          <w:tcPr>
            <w:tcW w:w="706" w:type="dxa"/>
            <w:shd w:val="clear" w:color="auto" w:fill="auto"/>
          </w:tcPr>
          <w:p w14:paraId="3E80C46F"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19</w:t>
            </w:r>
          </w:p>
        </w:tc>
        <w:tc>
          <w:tcPr>
            <w:tcW w:w="3686" w:type="dxa"/>
            <w:shd w:val="clear" w:color="auto" w:fill="auto"/>
          </w:tcPr>
          <w:p w14:paraId="6CFCBDF3"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Pneumatiques pour les véhicules utilitaires et leurs remorques (les pneumatiques doivent avoir été homologués en application des Règlements ONU n</w:t>
            </w:r>
            <w:r w:rsidRPr="00D6495A">
              <w:rPr>
                <w:rFonts w:asciiTheme="majorBidi" w:hAnsiTheme="majorBidi" w:cstheme="majorBidi"/>
                <w:vertAlign w:val="superscript"/>
                <w:lang w:val="fr-FR"/>
              </w:rPr>
              <w:t>os</w:t>
            </w:r>
            <w:r w:rsidRPr="00D6495A">
              <w:rPr>
                <w:rFonts w:asciiTheme="majorBidi" w:hAnsiTheme="majorBidi" w:cstheme="majorBidi"/>
                <w:lang w:val="fr-FR"/>
              </w:rPr>
              <w:t> 30 ou 54)</w:t>
            </w:r>
          </w:p>
        </w:tc>
        <w:tc>
          <w:tcPr>
            <w:tcW w:w="1275" w:type="dxa"/>
            <w:shd w:val="clear" w:color="auto" w:fill="auto"/>
          </w:tcPr>
          <w:p w14:paraId="370FF522"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54</w:t>
            </w:r>
          </w:p>
        </w:tc>
        <w:tc>
          <w:tcPr>
            <w:tcW w:w="1703" w:type="dxa"/>
            <w:shd w:val="clear" w:color="auto" w:fill="auto"/>
          </w:tcPr>
          <w:p w14:paraId="7A3BFBE1"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64F02C9D" w14:textId="77777777" w:rsidTr="00275671">
        <w:trPr>
          <w:cantSplit/>
          <w:trHeight w:val="454"/>
        </w:trPr>
        <w:tc>
          <w:tcPr>
            <w:tcW w:w="706" w:type="dxa"/>
            <w:shd w:val="clear" w:color="auto" w:fill="auto"/>
          </w:tcPr>
          <w:p w14:paraId="6FE8A6D0"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20</w:t>
            </w:r>
          </w:p>
        </w:tc>
        <w:tc>
          <w:tcPr>
            <w:tcW w:w="3686" w:type="dxa"/>
            <w:shd w:val="clear" w:color="auto" w:fill="auto"/>
          </w:tcPr>
          <w:p w14:paraId="4B545AD2"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Dispositifs arrière de protection anti-encastrement, véhicules en ce qui concerne le montage d’un dispositif arrière de protection anti-encastrement d’un type homologué, et véhicules en ce qui concerne leur protection contre l’encastrement à l’arrière</w:t>
            </w:r>
          </w:p>
        </w:tc>
        <w:tc>
          <w:tcPr>
            <w:tcW w:w="1275" w:type="dxa"/>
            <w:shd w:val="clear" w:color="auto" w:fill="auto"/>
          </w:tcPr>
          <w:p w14:paraId="7E2CFB6F"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58</w:t>
            </w:r>
          </w:p>
        </w:tc>
        <w:tc>
          <w:tcPr>
            <w:tcW w:w="1703" w:type="dxa"/>
            <w:shd w:val="clear" w:color="auto" w:fill="auto"/>
          </w:tcPr>
          <w:p w14:paraId="1EB6C6AA"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03</w:t>
            </w:r>
          </w:p>
        </w:tc>
      </w:tr>
      <w:tr w:rsidR="001F01E4" w:rsidRPr="00D6495A" w14:paraId="6D6047BC" w14:textId="77777777" w:rsidTr="00275671">
        <w:trPr>
          <w:cantSplit/>
          <w:trHeight w:val="454"/>
        </w:trPr>
        <w:tc>
          <w:tcPr>
            <w:tcW w:w="706" w:type="dxa"/>
            <w:shd w:val="clear" w:color="auto" w:fill="auto"/>
          </w:tcPr>
          <w:p w14:paraId="6CEC8076"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21</w:t>
            </w:r>
          </w:p>
        </w:tc>
        <w:tc>
          <w:tcPr>
            <w:tcW w:w="3686" w:type="dxa"/>
            <w:shd w:val="clear" w:color="auto" w:fill="auto"/>
          </w:tcPr>
          <w:p w14:paraId="4809319E"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Équipement de secours à usage temporaire et pneumatiques pour roulage à plat</w:t>
            </w:r>
          </w:p>
        </w:tc>
        <w:tc>
          <w:tcPr>
            <w:tcW w:w="1275" w:type="dxa"/>
            <w:shd w:val="clear" w:color="auto" w:fill="auto"/>
          </w:tcPr>
          <w:p w14:paraId="23C152E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64*</w:t>
            </w:r>
          </w:p>
        </w:tc>
        <w:tc>
          <w:tcPr>
            <w:tcW w:w="1703" w:type="dxa"/>
            <w:shd w:val="clear" w:color="auto" w:fill="auto"/>
          </w:tcPr>
          <w:p w14:paraId="4A95BC2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03</w:t>
            </w:r>
          </w:p>
        </w:tc>
      </w:tr>
      <w:tr w:rsidR="001F01E4" w:rsidRPr="00D6495A" w14:paraId="14C96CB4" w14:textId="77777777" w:rsidTr="00275671">
        <w:trPr>
          <w:cantSplit/>
          <w:trHeight w:val="454"/>
        </w:trPr>
        <w:tc>
          <w:tcPr>
            <w:tcW w:w="706" w:type="dxa"/>
            <w:shd w:val="clear" w:color="auto" w:fill="auto"/>
          </w:tcPr>
          <w:p w14:paraId="21ACE52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22</w:t>
            </w:r>
          </w:p>
        </w:tc>
        <w:tc>
          <w:tcPr>
            <w:tcW w:w="3686" w:type="dxa"/>
            <w:shd w:val="clear" w:color="auto" w:fill="auto"/>
          </w:tcPr>
          <w:p w14:paraId="00DF7B03"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l’équipement de direction</w:t>
            </w:r>
          </w:p>
        </w:tc>
        <w:tc>
          <w:tcPr>
            <w:tcW w:w="1275" w:type="dxa"/>
            <w:shd w:val="clear" w:color="auto" w:fill="auto"/>
          </w:tcPr>
          <w:p w14:paraId="187EC8E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79</w:t>
            </w:r>
          </w:p>
        </w:tc>
        <w:tc>
          <w:tcPr>
            <w:tcW w:w="1703" w:type="dxa"/>
            <w:shd w:val="clear" w:color="auto" w:fill="auto"/>
          </w:tcPr>
          <w:p w14:paraId="52EE233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5A66FBC0" w14:textId="77777777" w:rsidTr="00275671">
        <w:trPr>
          <w:cantSplit/>
          <w:trHeight w:val="454"/>
        </w:trPr>
        <w:tc>
          <w:tcPr>
            <w:tcW w:w="706" w:type="dxa"/>
            <w:shd w:val="clear" w:color="auto" w:fill="auto"/>
          </w:tcPr>
          <w:p w14:paraId="0E5BF947"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23</w:t>
            </w:r>
          </w:p>
        </w:tc>
        <w:tc>
          <w:tcPr>
            <w:tcW w:w="3686" w:type="dxa"/>
            <w:shd w:val="clear" w:color="auto" w:fill="auto"/>
          </w:tcPr>
          <w:p w14:paraId="7976E1FF"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Moteurs à combustion interne ou groupes motopropulseurs électriques destinés à la propulsion des véhicules à moteur des catégories M et N en ce qui concerne la mesure de la puissance nette et de la puissance maximale sur 30 min des groupes motopropulseurs électriques</w:t>
            </w:r>
          </w:p>
        </w:tc>
        <w:tc>
          <w:tcPr>
            <w:tcW w:w="1275" w:type="dxa"/>
            <w:shd w:val="clear" w:color="auto" w:fill="auto"/>
          </w:tcPr>
          <w:p w14:paraId="60C8DF3B"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85</w:t>
            </w:r>
          </w:p>
        </w:tc>
        <w:tc>
          <w:tcPr>
            <w:tcW w:w="1703" w:type="dxa"/>
            <w:shd w:val="clear" w:color="auto" w:fill="auto"/>
          </w:tcPr>
          <w:p w14:paraId="1528D45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0657A510" w14:textId="77777777" w:rsidTr="00275671">
        <w:trPr>
          <w:cantSplit/>
          <w:trHeight w:val="454"/>
        </w:trPr>
        <w:tc>
          <w:tcPr>
            <w:tcW w:w="706" w:type="dxa"/>
            <w:shd w:val="clear" w:color="auto" w:fill="auto"/>
          </w:tcPr>
          <w:p w14:paraId="3BD4CF0A" w14:textId="77777777" w:rsidR="001F01E4" w:rsidRPr="00D6495A" w:rsidDel="004A2DD9"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24</w:t>
            </w:r>
          </w:p>
        </w:tc>
        <w:tc>
          <w:tcPr>
            <w:tcW w:w="3686" w:type="dxa"/>
            <w:shd w:val="clear" w:color="auto" w:fill="auto"/>
          </w:tcPr>
          <w:p w14:paraId="6E1787C0"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Protection des occupants en cas de collision frontale</w:t>
            </w:r>
          </w:p>
        </w:tc>
        <w:tc>
          <w:tcPr>
            <w:tcW w:w="1275" w:type="dxa"/>
            <w:shd w:val="clear" w:color="auto" w:fill="auto"/>
          </w:tcPr>
          <w:p w14:paraId="17BFB7C7"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94</w:t>
            </w:r>
          </w:p>
        </w:tc>
        <w:tc>
          <w:tcPr>
            <w:tcW w:w="1703" w:type="dxa"/>
            <w:shd w:val="clear" w:color="auto" w:fill="auto"/>
          </w:tcPr>
          <w:p w14:paraId="30FA1DD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02AC474A" w14:textId="77777777" w:rsidTr="00275671">
        <w:trPr>
          <w:cantSplit/>
          <w:trHeight w:val="454"/>
        </w:trPr>
        <w:tc>
          <w:tcPr>
            <w:tcW w:w="706" w:type="dxa"/>
            <w:shd w:val="clear" w:color="auto" w:fill="auto"/>
          </w:tcPr>
          <w:p w14:paraId="6B641620" w14:textId="77777777" w:rsidR="001F01E4" w:rsidRPr="00D6495A" w:rsidDel="004A2DD9"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25</w:t>
            </w:r>
          </w:p>
        </w:tc>
        <w:tc>
          <w:tcPr>
            <w:tcW w:w="3686" w:type="dxa"/>
            <w:shd w:val="clear" w:color="auto" w:fill="auto"/>
          </w:tcPr>
          <w:p w14:paraId="79B1B61E"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Protection des occupants en cas de collision latérale</w:t>
            </w:r>
          </w:p>
        </w:tc>
        <w:tc>
          <w:tcPr>
            <w:tcW w:w="1275" w:type="dxa"/>
            <w:shd w:val="clear" w:color="auto" w:fill="auto"/>
          </w:tcPr>
          <w:p w14:paraId="31A49DB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95</w:t>
            </w:r>
          </w:p>
        </w:tc>
        <w:tc>
          <w:tcPr>
            <w:tcW w:w="1703" w:type="dxa"/>
            <w:shd w:val="clear" w:color="auto" w:fill="auto"/>
          </w:tcPr>
          <w:p w14:paraId="1342BF2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05</w:t>
            </w:r>
          </w:p>
        </w:tc>
      </w:tr>
      <w:tr w:rsidR="001F01E4" w:rsidRPr="00D6495A" w14:paraId="01EF3A84" w14:textId="77777777" w:rsidTr="00275671">
        <w:trPr>
          <w:cantSplit/>
          <w:trHeight w:val="454"/>
        </w:trPr>
        <w:tc>
          <w:tcPr>
            <w:tcW w:w="706" w:type="dxa"/>
            <w:shd w:val="clear" w:color="auto" w:fill="auto"/>
          </w:tcPr>
          <w:p w14:paraId="2637889F" w14:textId="77777777" w:rsidR="001F01E4" w:rsidRPr="00D6495A" w:rsidDel="004A2DD9"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26</w:t>
            </w:r>
          </w:p>
        </w:tc>
        <w:tc>
          <w:tcPr>
            <w:tcW w:w="3686" w:type="dxa"/>
            <w:shd w:val="clear" w:color="auto" w:fill="auto"/>
          </w:tcPr>
          <w:p w14:paraId="3B81121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 xml:space="preserve">Véhicules en ce qui concerne les prescriptions particulières applicables à la chaîne de traction électrique </w:t>
            </w:r>
          </w:p>
        </w:tc>
        <w:tc>
          <w:tcPr>
            <w:tcW w:w="1275" w:type="dxa"/>
            <w:shd w:val="clear" w:color="auto" w:fill="auto"/>
          </w:tcPr>
          <w:p w14:paraId="619F83B2"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100*</w:t>
            </w:r>
          </w:p>
        </w:tc>
        <w:tc>
          <w:tcPr>
            <w:tcW w:w="1703" w:type="dxa"/>
            <w:shd w:val="clear" w:color="auto" w:fill="auto"/>
          </w:tcPr>
          <w:p w14:paraId="3F8C3C3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03</w:t>
            </w:r>
          </w:p>
        </w:tc>
      </w:tr>
      <w:tr w:rsidR="001F01E4" w:rsidRPr="00D6495A" w14:paraId="362C759B" w14:textId="77777777" w:rsidTr="00275671">
        <w:trPr>
          <w:cantSplit/>
          <w:trHeight w:val="454"/>
        </w:trPr>
        <w:tc>
          <w:tcPr>
            <w:tcW w:w="706" w:type="dxa"/>
            <w:shd w:val="clear" w:color="auto" w:fill="auto"/>
          </w:tcPr>
          <w:p w14:paraId="51A48B5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27</w:t>
            </w:r>
          </w:p>
        </w:tc>
        <w:tc>
          <w:tcPr>
            <w:tcW w:w="3686" w:type="dxa"/>
            <w:shd w:val="clear" w:color="auto" w:fill="auto"/>
          </w:tcPr>
          <w:p w14:paraId="30820A42"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munis d’organes spéciaux pour l’alimentation du moteur au gaz naturel comprimé (GNC) et/ou au gaz naturel liquéfié (GNL) en ce qui concerne l’installation de ces organes</w:t>
            </w:r>
          </w:p>
        </w:tc>
        <w:tc>
          <w:tcPr>
            <w:tcW w:w="1275" w:type="dxa"/>
            <w:shd w:val="clear" w:color="auto" w:fill="auto"/>
          </w:tcPr>
          <w:p w14:paraId="07D0504F" w14:textId="5D2693D3"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110*</w:t>
            </w:r>
          </w:p>
        </w:tc>
        <w:tc>
          <w:tcPr>
            <w:tcW w:w="1703" w:type="dxa"/>
            <w:shd w:val="clear" w:color="auto" w:fill="auto"/>
          </w:tcPr>
          <w:p w14:paraId="5DA5A15E"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04</w:t>
            </w:r>
          </w:p>
        </w:tc>
      </w:tr>
      <w:tr w:rsidR="001F01E4" w:rsidRPr="00D6495A" w14:paraId="7B6F9556" w14:textId="77777777" w:rsidTr="00275671">
        <w:trPr>
          <w:cantSplit/>
          <w:trHeight w:val="454"/>
        </w:trPr>
        <w:tc>
          <w:tcPr>
            <w:tcW w:w="706" w:type="dxa"/>
            <w:shd w:val="clear" w:color="auto" w:fill="auto"/>
          </w:tcPr>
          <w:p w14:paraId="62A888B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lastRenderedPageBreak/>
              <w:t>28</w:t>
            </w:r>
          </w:p>
        </w:tc>
        <w:tc>
          <w:tcPr>
            <w:tcW w:w="3686" w:type="dxa"/>
            <w:shd w:val="clear" w:color="auto" w:fill="auto"/>
          </w:tcPr>
          <w:p w14:paraId="769179F1"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Pneumatiques en ce qui concerne les émissions de bruit de roulement, l’adhérence sur sol mouillé ou la résistance au roulement</w:t>
            </w:r>
          </w:p>
        </w:tc>
        <w:tc>
          <w:tcPr>
            <w:tcW w:w="1275" w:type="dxa"/>
            <w:shd w:val="clear" w:color="auto" w:fill="auto"/>
          </w:tcPr>
          <w:p w14:paraId="46000BDC"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117</w:t>
            </w:r>
          </w:p>
        </w:tc>
        <w:tc>
          <w:tcPr>
            <w:tcW w:w="1703" w:type="dxa"/>
            <w:shd w:val="clear" w:color="auto" w:fill="auto"/>
          </w:tcPr>
          <w:p w14:paraId="0AD3D3C3"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02</w:t>
            </w:r>
          </w:p>
        </w:tc>
      </w:tr>
      <w:tr w:rsidR="001F01E4" w:rsidRPr="00D6495A" w14:paraId="6F6CAA1D" w14:textId="77777777" w:rsidTr="00275671">
        <w:trPr>
          <w:cantSplit/>
          <w:trHeight w:val="446"/>
        </w:trPr>
        <w:tc>
          <w:tcPr>
            <w:tcW w:w="706" w:type="dxa"/>
            <w:shd w:val="clear" w:color="auto" w:fill="auto"/>
          </w:tcPr>
          <w:p w14:paraId="02C0F89C" w14:textId="77777777" w:rsidR="001F01E4" w:rsidRPr="00D6495A" w:rsidDel="00CF2B46"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29</w:t>
            </w:r>
          </w:p>
        </w:tc>
        <w:tc>
          <w:tcPr>
            <w:tcW w:w="3686" w:type="dxa"/>
            <w:shd w:val="clear" w:color="auto" w:fill="auto"/>
          </w:tcPr>
          <w:p w14:paraId="400E2F98"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l’emplacement et les moyens d’identification des commandes manuelles, des témoins et des indicateurs</w:t>
            </w:r>
          </w:p>
        </w:tc>
        <w:tc>
          <w:tcPr>
            <w:tcW w:w="1275" w:type="dxa"/>
            <w:shd w:val="clear" w:color="auto" w:fill="auto"/>
          </w:tcPr>
          <w:p w14:paraId="7B44B987" w14:textId="77777777" w:rsidR="001F01E4" w:rsidRPr="00D6495A" w:rsidRDefault="001F01E4" w:rsidP="00275671">
            <w:pPr>
              <w:spacing w:before="60" w:after="60" w:line="220" w:lineRule="atLeast"/>
              <w:ind w:left="57" w:right="57"/>
              <w:jc w:val="right"/>
              <w:rPr>
                <w:rFonts w:asciiTheme="majorBidi" w:hAnsiTheme="majorBidi" w:cstheme="majorBidi"/>
                <w:vertAlign w:val="superscript"/>
              </w:rPr>
            </w:pPr>
            <w:r w:rsidRPr="00D6495A">
              <w:rPr>
                <w:rFonts w:asciiTheme="majorBidi" w:hAnsiTheme="majorBidi" w:cstheme="majorBidi"/>
                <w:lang w:val="fr-FR"/>
              </w:rPr>
              <w:t>121</w:t>
            </w:r>
          </w:p>
        </w:tc>
        <w:tc>
          <w:tcPr>
            <w:tcW w:w="1703" w:type="dxa"/>
            <w:shd w:val="clear" w:color="auto" w:fill="auto"/>
          </w:tcPr>
          <w:p w14:paraId="168E62B0"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316378A9" w14:textId="77777777" w:rsidTr="00275671">
        <w:trPr>
          <w:cantSplit/>
          <w:trHeight w:val="454"/>
        </w:trPr>
        <w:tc>
          <w:tcPr>
            <w:tcW w:w="706" w:type="dxa"/>
            <w:shd w:val="clear" w:color="auto" w:fill="auto"/>
          </w:tcPr>
          <w:p w14:paraId="36C712DF"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30</w:t>
            </w:r>
          </w:p>
        </w:tc>
        <w:tc>
          <w:tcPr>
            <w:tcW w:w="3686" w:type="dxa"/>
            <w:shd w:val="clear" w:color="auto" w:fill="auto"/>
          </w:tcPr>
          <w:p w14:paraId="0E2BC410"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à moteur en ce qui concerne le champ de vision vers l’avant du conducteur</w:t>
            </w:r>
          </w:p>
        </w:tc>
        <w:tc>
          <w:tcPr>
            <w:tcW w:w="1275" w:type="dxa"/>
            <w:shd w:val="clear" w:color="auto" w:fill="auto"/>
          </w:tcPr>
          <w:p w14:paraId="400D657E"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125</w:t>
            </w:r>
          </w:p>
        </w:tc>
        <w:tc>
          <w:tcPr>
            <w:tcW w:w="1703" w:type="dxa"/>
            <w:shd w:val="clear" w:color="auto" w:fill="auto"/>
          </w:tcPr>
          <w:p w14:paraId="5CFB57C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02</w:t>
            </w:r>
          </w:p>
        </w:tc>
      </w:tr>
      <w:tr w:rsidR="001F01E4" w:rsidRPr="00D6495A" w14:paraId="69A888A3" w14:textId="77777777" w:rsidTr="00275671">
        <w:trPr>
          <w:cantSplit/>
          <w:trHeight w:val="454"/>
        </w:trPr>
        <w:tc>
          <w:tcPr>
            <w:tcW w:w="706" w:type="dxa"/>
            <w:shd w:val="clear" w:color="auto" w:fill="auto"/>
          </w:tcPr>
          <w:p w14:paraId="5018BF8A"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31</w:t>
            </w:r>
          </w:p>
        </w:tc>
        <w:tc>
          <w:tcPr>
            <w:tcW w:w="3686" w:type="dxa"/>
            <w:shd w:val="clear" w:color="auto" w:fill="auto"/>
          </w:tcPr>
          <w:p w14:paraId="6078EA4C"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automobiles en ce qui concerne la sécurité des piétons</w:t>
            </w:r>
          </w:p>
        </w:tc>
        <w:tc>
          <w:tcPr>
            <w:tcW w:w="1275" w:type="dxa"/>
            <w:shd w:val="clear" w:color="auto" w:fill="auto"/>
          </w:tcPr>
          <w:p w14:paraId="19C1454C"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127</w:t>
            </w:r>
          </w:p>
        </w:tc>
        <w:tc>
          <w:tcPr>
            <w:tcW w:w="1703" w:type="dxa"/>
            <w:shd w:val="clear" w:color="auto" w:fill="auto"/>
          </w:tcPr>
          <w:p w14:paraId="268C265D"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02</w:t>
            </w:r>
          </w:p>
        </w:tc>
      </w:tr>
      <w:tr w:rsidR="001F01E4" w:rsidRPr="00D6495A" w14:paraId="1E5D5B0F" w14:textId="77777777" w:rsidTr="00275671">
        <w:trPr>
          <w:cantSplit/>
          <w:trHeight w:val="1603"/>
        </w:trPr>
        <w:tc>
          <w:tcPr>
            <w:tcW w:w="706" w:type="dxa"/>
            <w:shd w:val="clear" w:color="auto" w:fill="auto"/>
          </w:tcPr>
          <w:p w14:paraId="018EC0A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32</w:t>
            </w:r>
          </w:p>
        </w:tc>
        <w:tc>
          <w:tcPr>
            <w:tcW w:w="3686" w:type="dxa"/>
            <w:shd w:val="clear" w:color="auto" w:fill="auto"/>
          </w:tcPr>
          <w:p w14:paraId="5C81FF5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automobiles en ce qui concerne les prescriptions de sécurité des véhicules fonctionnant à l’hydrogène</w:t>
            </w:r>
          </w:p>
        </w:tc>
        <w:tc>
          <w:tcPr>
            <w:tcW w:w="1275" w:type="dxa"/>
            <w:shd w:val="clear" w:color="auto" w:fill="auto"/>
          </w:tcPr>
          <w:p w14:paraId="022E892D"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134*</w:t>
            </w:r>
          </w:p>
        </w:tc>
        <w:tc>
          <w:tcPr>
            <w:tcW w:w="1703" w:type="dxa"/>
            <w:shd w:val="clear" w:color="auto" w:fill="auto"/>
          </w:tcPr>
          <w:p w14:paraId="4E5141FD"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 xml:space="preserve">00 </w:t>
            </w:r>
          </w:p>
        </w:tc>
      </w:tr>
      <w:tr w:rsidR="001F01E4" w:rsidRPr="00D6495A" w14:paraId="03E1F027" w14:textId="77777777" w:rsidTr="00275671">
        <w:trPr>
          <w:cantSplit/>
          <w:trHeight w:val="454"/>
        </w:trPr>
        <w:tc>
          <w:tcPr>
            <w:tcW w:w="706" w:type="dxa"/>
            <w:shd w:val="clear" w:color="auto" w:fill="auto"/>
          </w:tcPr>
          <w:p w14:paraId="7E7B1840" w14:textId="77777777" w:rsidR="001F01E4" w:rsidRPr="00D6495A" w:rsidDel="00CF2B46"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33</w:t>
            </w:r>
          </w:p>
        </w:tc>
        <w:tc>
          <w:tcPr>
            <w:tcW w:w="3686" w:type="dxa"/>
            <w:shd w:val="clear" w:color="auto" w:fill="auto"/>
          </w:tcPr>
          <w:p w14:paraId="535E4C3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en ce qui concerne leur comportement lors des essais de choc latéral contre un poteau</w:t>
            </w:r>
          </w:p>
        </w:tc>
        <w:tc>
          <w:tcPr>
            <w:tcW w:w="1275" w:type="dxa"/>
            <w:shd w:val="clear" w:color="auto" w:fill="auto"/>
          </w:tcPr>
          <w:p w14:paraId="639F4C5F"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135</w:t>
            </w:r>
          </w:p>
        </w:tc>
        <w:tc>
          <w:tcPr>
            <w:tcW w:w="1703" w:type="dxa"/>
            <w:shd w:val="clear" w:color="auto" w:fill="auto"/>
          </w:tcPr>
          <w:p w14:paraId="7141C9A7"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09BEDA72" w14:textId="77777777" w:rsidTr="00275671">
        <w:trPr>
          <w:cantSplit/>
          <w:trHeight w:val="454"/>
        </w:trPr>
        <w:tc>
          <w:tcPr>
            <w:tcW w:w="706" w:type="dxa"/>
            <w:shd w:val="clear" w:color="auto" w:fill="auto"/>
          </w:tcPr>
          <w:p w14:paraId="0DC6AB9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34</w:t>
            </w:r>
          </w:p>
        </w:tc>
        <w:tc>
          <w:tcPr>
            <w:tcW w:w="3686" w:type="dxa"/>
            <w:shd w:val="clear" w:color="auto" w:fill="auto"/>
          </w:tcPr>
          <w:p w14:paraId="19B2564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Voitures particulières en cas de choc avant, l’accent étant mis sur les dispositifs de retenue</w:t>
            </w:r>
          </w:p>
        </w:tc>
        <w:tc>
          <w:tcPr>
            <w:tcW w:w="1275" w:type="dxa"/>
            <w:shd w:val="clear" w:color="auto" w:fill="auto"/>
          </w:tcPr>
          <w:p w14:paraId="69A52DD2"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137</w:t>
            </w:r>
          </w:p>
        </w:tc>
        <w:tc>
          <w:tcPr>
            <w:tcW w:w="1703" w:type="dxa"/>
            <w:shd w:val="clear" w:color="auto" w:fill="auto"/>
          </w:tcPr>
          <w:p w14:paraId="00DBC26F"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02</w:t>
            </w:r>
          </w:p>
        </w:tc>
      </w:tr>
      <w:tr w:rsidR="001F01E4" w:rsidRPr="00D6495A" w14:paraId="5657B477" w14:textId="77777777" w:rsidTr="00275671">
        <w:trPr>
          <w:cantSplit/>
          <w:trHeight w:val="454"/>
        </w:trPr>
        <w:tc>
          <w:tcPr>
            <w:tcW w:w="706" w:type="dxa"/>
            <w:shd w:val="clear" w:color="auto" w:fill="auto"/>
          </w:tcPr>
          <w:p w14:paraId="79CEEAC7"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35</w:t>
            </w:r>
          </w:p>
        </w:tc>
        <w:tc>
          <w:tcPr>
            <w:tcW w:w="3686" w:type="dxa"/>
            <w:shd w:val="clear" w:color="auto" w:fill="auto"/>
          </w:tcPr>
          <w:p w14:paraId="1211D5CF"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Véhicules à moteur silencieux en ce qui concerne leur audibilité réduite</w:t>
            </w:r>
          </w:p>
        </w:tc>
        <w:tc>
          <w:tcPr>
            <w:tcW w:w="1275" w:type="dxa"/>
            <w:shd w:val="clear" w:color="auto" w:fill="auto"/>
          </w:tcPr>
          <w:p w14:paraId="51442BA8"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138*</w:t>
            </w:r>
          </w:p>
        </w:tc>
        <w:tc>
          <w:tcPr>
            <w:tcW w:w="1703" w:type="dxa"/>
            <w:shd w:val="clear" w:color="auto" w:fill="auto"/>
          </w:tcPr>
          <w:p w14:paraId="3F4BB47B"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60EB3308" w14:textId="77777777" w:rsidTr="00275671">
        <w:trPr>
          <w:cantSplit/>
          <w:trHeight w:val="454"/>
        </w:trPr>
        <w:tc>
          <w:tcPr>
            <w:tcW w:w="706" w:type="dxa"/>
            <w:shd w:val="clear" w:color="auto" w:fill="auto"/>
          </w:tcPr>
          <w:p w14:paraId="7DB314A4"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36</w:t>
            </w:r>
          </w:p>
        </w:tc>
        <w:tc>
          <w:tcPr>
            <w:tcW w:w="3686" w:type="dxa"/>
            <w:shd w:val="clear" w:color="auto" w:fill="auto"/>
          </w:tcPr>
          <w:p w14:paraId="5A2BC87E"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Systèmes d’assistance au freinage d’urgence</w:t>
            </w:r>
          </w:p>
        </w:tc>
        <w:tc>
          <w:tcPr>
            <w:tcW w:w="1275" w:type="dxa"/>
            <w:shd w:val="clear" w:color="auto" w:fill="auto"/>
          </w:tcPr>
          <w:p w14:paraId="5CB77FC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139</w:t>
            </w:r>
          </w:p>
        </w:tc>
        <w:tc>
          <w:tcPr>
            <w:tcW w:w="1703" w:type="dxa"/>
            <w:shd w:val="clear" w:color="auto" w:fill="auto"/>
          </w:tcPr>
          <w:p w14:paraId="06AE1F16"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3F3EC75F" w14:textId="77777777" w:rsidTr="00275671">
        <w:trPr>
          <w:cantSplit/>
          <w:trHeight w:val="454"/>
        </w:trPr>
        <w:tc>
          <w:tcPr>
            <w:tcW w:w="706" w:type="dxa"/>
            <w:shd w:val="clear" w:color="auto" w:fill="auto"/>
          </w:tcPr>
          <w:p w14:paraId="3A11A1E8"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37</w:t>
            </w:r>
          </w:p>
        </w:tc>
        <w:tc>
          <w:tcPr>
            <w:tcW w:w="3686" w:type="dxa"/>
            <w:shd w:val="clear" w:color="auto" w:fill="auto"/>
          </w:tcPr>
          <w:p w14:paraId="517D1F9D"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Systèmes électroniques de contrôle de stabilité</w:t>
            </w:r>
          </w:p>
        </w:tc>
        <w:tc>
          <w:tcPr>
            <w:tcW w:w="1275" w:type="dxa"/>
            <w:shd w:val="clear" w:color="auto" w:fill="auto"/>
          </w:tcPr>
          <w:p w14:paraId="4832BE2D" w14:textId="77777777" w:rsidR="001F01E4" w:rsidRPr="00D6495A" w:rsidRDefault="001F01E4" w:rsidP="00275671">
            <w:pPr>
              <w:spacing w:before="60" w:after="60" w:line="220" w:lineRule="atLeast"/>
              <w:ind w:left="57" w:right="57"/>
              <w:jc w:val="right"/>
              <w:rPr>
                <w:rFonts w:asciiTheme="majorBidi" w:hAnsiTheme="majorBidi" w:cstheme="majorBidi"/>
                <w:vertAlign w:val="superscript"/>
              </w:rPr>
            </w:pPr>
            <w:r w:rsidRPr="00D6495A">
              <w:rPr>
                <w:rFonts w:asciiTheme="majorBidi" w:hAnsiTheme="majorBidi" w:cstheme="majorBidi"/>
                <w:lang w:val="fr-FR"/>
              </w:rPr>
              <w:t>140</w:t>
            </w:r>
          </w:p>
        </w:tc>
        <w:tc>
          <w:tcPr>
            <w:tcW w:w="1703" w:type="dxa"/>
            <w:shd w:val="clear" w:color="auto" w:fill="auto"/>
          </w:tcPr>
          <w:p w14:paraId="5DB68CA7"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212AB6BD" w14:textId="77777777" w:rsidTr="00275671">
        <w:trPr>
          <w:cantSplit/>
          <w:trHeight w:val="454"/>
        </w:trPr>
        <w:tc>
          <w:tcPr>
            <w:tcW w:w="706" w:type="dxa"/>
            <w:shd w:val="clear" w:color="auto" w:fill="auto"/>
          </w:tcPr>
          <w:p w14:paraId="6673662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38</w:t>
            </w:r>
          </w:p>
        </w:tc>
        <w:tc>
          <w:tcPr>
            <w:tcW w:w="3686" w:type="dxa"/>
            <w:shd w:val="clear" w:color="auto" w:fill="auto"/>
          </w:tcPr>
          <w:p w14:paraId="74228316"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Systèmes de surveillance de la pression des pneumatiques</w:t>
            </w:r>
          </w:p>
        </w:tc>
        <w:tc>
          <w:tcPr>
            <w:tcW w:w="1275" w:type="dxa"/>
            <w:shd w:val="clear" w:color="auto" w:fill="auto"/>
          </w:tcPr>
          <w:p w14:paraId="6B0BE78A"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141</w:t>
            </w:r>
          </w:p>
        </w:tc>
        <w:tc>
          <w:tcPr>
            <w:tcW w:w="1703" w:type="dxa"/>
            <w:shd w:val="clear" w:color="auto" w:fill="auto"/>
          </w:tcPr>
          <w:p w14:paraId="42BE7F69"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1B57B8DF" w14:textId="77777777" w:rsidTr="00275671">
        <w:trPr>
          <w:cantSplit/>
          <w:trHeight w:val="454"/>
        </w:trPr>
        <w:tc>
          <w:tcPr>
            <w:tcW w:w="706" w:type="dxa"/>
            <w:shd w:val="clear" w:color="auto" w:fill="auto"/>
          </w:tcPr>
          <w:p w14:paraId="7EB13118"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39</w:t>
            </w:r>
          </w:p>
        </w:tc>
        <w:tc>
          <w:tcPr>
            <w:tcW w:w="3686" w:type="dxa"/>
            <w:shd w:val="clear" w:color="auto" w:fill="auto"/>
          </w:tcPr>
          <w:p w14:paraId="6EB56E03"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 xml:space="preserve">Montage des pneumatiques </w:t>
            </w:r>
          </w:p>
        </w:tc>
        <w:tc>
          <w:tcPr>
            <w:tcW w:w="1275" w:type="dxa"/>
            <w:shd w:val="clear" w:color="auto" w:fill="auto"/>
          </w:tcPr>
          <w:p w14:paraId="414A528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142</w:t>
            </w:r>
          </w:p>
        </w:tc>
        <w:tc>
          <w:tcPr>
            <w:tcW w:w="1703" w:type="dxa"/>
            <w:shd w:val="clear" w:color="auto" w:fill="auto"/>
          </w:tcPr>
          <w:p w14:paraId="5B4C5B4E"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01</w:t>
            </w:r>
          </w:p>
        </w:tc>
      </w:tr>
      <w:tr w:rsidR="001F01E4" w:rsidRPr="00D6495A" w14:paraId="2C805D17" w14:textId="77777777" w:rsidTr="00275671">
        <w:trPr>
          <w:cantSplit/>
          <w:trHeight w:val="454"/>
        </w:trPr>
        <w:tc>
          <w:tcPr>
            <w:tcW w:w="706" w:type="dxa"/>
            <w:shd w:val="clear" w:color="auto" w:fill="auto"/>
          </w:tcPr>
          <w:p w14:paraId="0F5C0E51"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40</w:t>
            </w:r>
          </w:p>
        </w:tc>
        <w:tc>
          <w:tcPr>
            <w:tcW w:w="3686" w:type="dxa"/>
            <w:shd w:val="clear" w:color="auto" w:fill="auto"/>
          </w:tcPr>
          <w:p w14:paraId="599E01F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Procédure d’essai mondiale harmonisée en ce qui concerne les émissions des voitures particulières et véhicules utilitaires légers</w:t>
            </w:r>
          </w:p>
        </w:tc>
        <w:tc>
          <w:tcPr>
            <w:tcW w:w="1275" w:type="dxa"/>
            <w:shd w:val="clear" w:color="auto" w:fill="auto"/>
          </w:tcPr>
          <w:p w14:paraId="1DBDE740"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154</w:t>
            </w:r>
          </w:p>
        </w:tc>
        <w:tc>
          <w:tcPr>
            <w:tcW w:w="1703" w:type="dxa"/>
            <w:shd w:val="clear" w:color="auto" w:fill="auto"/>
          </w:tcPr>
          <w:p w14:paraId="195D5486"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03</w:t>
            </w:r>
          </w:p>
        </w:tc>
      </w:tr>
      <w:tr w:rsidR="001F01E4" w:rsidRPr="00D6495A" w14:paraId="1D8CA6B6" w14:textId="77777777" w:rsidTr="00275671">
        <w:trPr>
          <w:cantSplit/>
          <w:trHeight w:val="454"/>
        </w:trPr>
        <w:tc>
          <w:tcPr>
            <w:tcW w:w="706" w:type="dxa"/>
            <w:shd w:val="clear" w:color="auto" w:fill="auto"/>
          </w:tcPr>
          <w:p w14:paraId="53800EF9"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41</w:t>
            </w:r>
          </w:p>
        </w:tc>
        <w:tc>
          <w:tcPr>
            <w:tcW w:w="3686" w:type="dxa"/>
            <w:shd w:val="clear" w:color="auto" w:fill="auto"/>
          </w:tcPr>
          <w:p w14:paraId="72CB5B91"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Protection des véhicules à moteur contre une utilisation non autorisée (système de verrouillage)</w:t>
            </w:r>
          </w:p>
        </w:tc>
        <w:tc>
          <w:tcPr>
            <w:tcW w:w="1275" w:type="dxa"/>
            <w:shd w:val="clear" w:color="auto" w:fill="auto"/>
          </w:tcPr>
          <w:p w14:paraId="7E84C634"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161</w:t>
            </w:r>
          </w:p>
        </w:tc>
        <w:tc>
          <w:tcPr>
            <w:tcW w:w="1703" w:type="dxa"/>
            <w:shd w:val="clear" w:color="auto" w:fill="auto"/>
          </w:tcPr>
          <w:p w14:paraId="46B4B4E6"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0F30D5D9" w14:textId="77777777" w:rsidTr="00275671">
        <w:trPr>
          <w:cantSplit/>
          <w:trHeight w:val="454"/>
        </w:trPr>
        <w:tc>
          <w:tcPr>
            <w:tcW w:w="706" w:type="dxa"/>
            <w:shd w:val="clear" w:color="auto" w:fill="auto"/>
          </w:tcPr>
          <w:p w14:paraId="37E44EB6"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42</w:t>
            </w:r>
          </w:p>
        </w:tc>
        <w:tc>
          <w:tcPr>
            <w:tcW w:w="3686" w:type="dxa"/>
            <w:shd w:val="clear" w:color="auto" w:fill="auto"/>
          </w:tcPr>
          <w:p w14:paraId="4CAC779B"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Dispositifs d’immobilisation</w:t>
            </w:r>
          </w:p>
        </w:tc>
        <w:tc>
          <w:tcPr>
            <w:tcW w:w="1275" w:type="dxa"/>
            <w:shd w:val="clear" w:color="auto" w:fill="auto"/>
          </w:tcPr>
          <w:p w14:paraId="0F7546D5"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162*</w:t>
            </w:r>
          </w:p>
        </w:tc>
        <w:tc>
          <w:tcPr>
            <w:tcW w:w="1703" w:type="dxa"/>
            <w:shd w:val="clear" w:color="auto" w:fill="auto"/>
          </w:tcPr>
          <w:p w14:paraId="212B24D5"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r w:rsidR="001F01E4" w:rsidRPr="00D6495A" w14:paraId="6F306B0E" w14:textId="77777777" w:rsidTr="00275671">
        <w:trPr>
          <w:cantSplit/>
          <w:trHeight w:val="454"/>
        </w:trPr>
        <w:tc>
          <w:tcPr>
            <w:tcW w:w="706" w:type="dxa"/>
            <w:shd w:val="clear" w:color="auto" w:fill="auto"/>
          </w:tcPr>
          <w:p w14:paraId="5F88B0D5"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43</w:t>
            </w:r>
          </w:p>
        </w:tc>
        <w:tc>
          <w:tcPr>
            <w:tcW w:w="3686" w:type="dxa"/>
            <w:shd w:val="clear" w:color="auto" w:fill="auto"/>
          </w:tcPr>
          <w:p w14:paraId="19F4D4C4" w14:textId="77777777" w:rsidR="001F01E4" w:rsidRPr="00D6495A" w:rsidRDefault="001F01E4" w:rsidP="00275671">
            <w:pPr>
              <w:spacing w:before="60" w:after="60" w:line="220" w:lineRule="atLeast"/>
              <w:ind w:left="57" w:right="57"/>
              <w:rPr>
                <w:rFonts w:asciiTheme="majorBidi" w:hAnsiTheme="majorBidi" w:cstheme="majorBidi"/>
              </w:rPr>
            </w:pPr>
            <w:r w:rsidRPr="00D6495A">
              <w:rPr>
                <w:rFonts w:asciiTheme="majorBidi" w:hAnsiTheme="majorBidi" w:cstheme="majorBidi"/>
                <w:lang w:val="fr-FR"/>
              </w:rPr>
              <w:t>Systèmes d’alarme pour véhicules</w:t>
            </w:r>
          </w:p>
        </w:tc>
        <w:tc>
          <w:tcPr>
            <w:tcW w:w="1275" w:type="dxa"/>
            <w:shd w:val="clear" w:color="auto" w:fill="auto"/>
          </w:tcPr>
          <w:p w14:paraId="60932091"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163*</w:t>
            </w:r>
          </w:p>
        </w:tc>
        <w:tc>
          <w:tcPr>
            <w:tcW w:w="1703" w:type="dxa"/>
            <w:shd w:val="clear" w:color="auto" w:fill="auto"/>
          </w:tcPr>
          <w:p w14:paraId="075551D1" w14:textId="77777777" w:rsidR="001F01E4" w:rsidRPr="00D6495A" w:rsidRDefault="001F01E4" w:rsidP="00275671">
            <w:pPr>
              <w:spacing w:before="60" w:after="60" w:line="220" w:lineRule="atLeast"/>
              <w:ind w:left="57" w:right="57"/>
              <w:jc w:val="right"/>
              <w:rPr>
                <w:rFonts w:asciiTheme="majorBidi" w:hAnsiTheme="majorBidi" w:cstheme="majorBidi"/>
              </w:rPr>
            </w:pPr>
            <w:r w:rsidRPr="00D6495A">
              <w:rPr>
                <w:rFonts w:asciiTheme="majorBidi" w:hAnsiTheme="majorBidi" w:cstheme="majorBidi"/>
                <w:lang w:val="fr-FR"/>
              </w:rPr>
              <w:t>00</w:t>
            </w:r>
          </w:p>
        </w:tc>
      </w:tr>
    </w:tbl>
    <w:p w14:paraId="2F87F7C4" w14:textId="77777777" w:rsidR="001F01E4" w:rsidRPr="00D6495A" w:rsidRDefault="001F01E4" w:rsidP="001F01E4">
      <w:pPr>
        <w:pStyle w:val="SingleTxtG"/>
        <w:spacing w:before="120" w:after="0"/>
        <w:ind w:firstLine="170"/>
        <w:rPr>
          <w:rFonts w:asciiTheme="majorBidi" w:hAnsiTheme="majorBidi" w:cstheme="majorBidi"/>
          <w:sz w:val="18"/>
          <w:szCs w:val="18"/>
        </w:rPr>
      </w:pPr>
      <w:r w:rsidRPr="00D6495A">
        <w:rPr>
          <w:rFonts w:asciiTheme="majorBidi" w:hAnsiTheme="majorBidi" w:cstheme="majorBidi"/>
          <w:sz w:val="18"/>
          <w:szCs w:val="18"/>
          <w:vertAlign w:val="superscript"/>
          <w:lang w:val="fr-FR"/>
        </w:rPr>
        <w:t>1</w:t>
      </w:r>
      <w:r w:rsidRPr="00D6495A">
        <w:rPr>
          <w:rFonts w:asciiTheme="majorBidi" w:hAnsiTheme="majorBidi" w:cstheme="majorBidi"/>
          <w:sz w:val="18"/>
          <w:szCs w:val="18"/>
          <w:lang w:val="fr-FR"/>
        </w:rPr>
        <w:t xml:space="preserve">  Lorsqu’un numéro de Règlement ONU est suivi d’un astérisque «</w:t>
      </w:r>
      <w:r>
        <w:rPr>
          <w:rFonts w:asciiTheme="majorBidi" w:hAnsiTheme="majorBidi" w:cstheme="majorBidi"/>
          <w:sz w:val="18"/>
          <w:szCs w:val="18"/>
          <w:lang w:val="fr-FR"/>
        </w:rPr>
        <w:t> </w:t>
      </w:r>
      <w:r w:rsidRPr="00D6495A">
        <w:rPr>
          <w:rFonts w:asciiTheme="majorBidi" w:hAnsiTheme="majorBidi" w:cstheme="majorBidi"/>
          <w:sz w:val="18"/>
          <w:szCs w:val="18"/>
          <w:lang w:val="fr-FR"/>
        </w:rPr>
        <w:t>*</w:t>
      </w:r>
      <w:r>
        <w:rPr>
          <w:rFonts w:asciiTheme="majorBidi" w:hAnsiTheme="majorBidi" w:cstheme="majorBidi"/>
          <w:sz w:val="18"/>
          <w:szCs w:val="18"/>
          <w:lang w:val="fr-FR"/>
        </w:rPr>
        <w:t> </w:t>
      </w:r>
      <w:r w:rsidRPr="00D6495A">
        <w:rPr>
          <w:rFonts w:asciiTheme="majorBidi" w:hAnsiTheme="majorBidi" w:cstheme="majorBidi"/>
          <w:sz w:val="18"/>
          <w:szCs w:val="18"/>
          <w:lang w:val="fr-FR"/>
        </w:rPr>
        <w:t xml:space="preserve">», cela indique que les prescriptions du Règlement en question ne sont applicables que si le système visé est monté sur le véhicule. Il en découle qu’aux fins d’une homologation U-IWVTA, les véhicules, qu’ils soient dotés ou non de ce système, sont également admissibles. Toutefois, ces prescriptions sont applicables lorsque le système en question est monté sur le véhicule. Il en va de même pour les systèmes non repérés par </w:t>
      </w:r>
      <w:r w:rsidRPr="00D6495A">
        <w:rPr>
          <w:rFonts w:asciiTheme="majorBidi" w:hAnsiTheme="majorBidi" w:cstheme="majorBidi"/>
          <w:sz w:val="18"/>
          <w:szCs w:val="18"/>
          <w:lang w:val="fr-FR"/>
        </w:rPr>
        <w:lastRenderedPageBreak/>
        <w:t>«</w:t>
      </w:r>
      <w:r>
        <w:rPr>
          <w:rFonts w:asciiTheme="majorBidi" w:hAnsiTheme="majorBidi" w:cstheme="majorBidi"/>
          <w:sz w:val="18"/>
          <w:szCs w:val="18"/>
          <w:lang w:val="fr-FR"/>
        </w:rPr>
        <w:t> </w:t>
      </w:r>
      <w:r w:rsidRPr="00D6495A">
        <w:rPr>
          <w:rFonts w:asciiTheme="majorBidi" w:hAnsiTheme="majorBidi" w:cstheme="majorBidi"/>
          <w:sz w:val="18"/>
          <w:szCs w:val="18"/>
          <w:lang w:val="fr-FR"/>
        </w:rPr>
        <w:t>*</w:t>
      </w:r>
      <w:r>
        <w:rPr>
          <w:rFonts w:asciiTheme="majorBidi" w:hAnsiTheme="majorBidi" w:cstheme="majorBidi"/>
          <w:sz w:val="18"/>
          <w:szCs w:val="18"/>
          <w:lang w:val="fr-FR"/>
        </w:rPr>
        <w:t> </w:t>
      </w:r>
      <w:r w:rsidRPr="00D6495A">
        <w:rPr>
          <w:rFonts w:asciiTheme="majorBidi" w:hAnsiTheme="majorBidi" w:cstheme="majorBidi"/>
          <w:sz w:val="18"/>
          <w:szCs w:val="18"/>
          <w:lang w:val="fr-FR"/>
        </w:rPr>
        <w:t>» dans les cas où il peut être démontré que les prescriptions correspondantes ne sont pas applicables au type d’IWVTA concerné.</w:t>
      </w:r>
    </w:p>
    <w:p w14:paraId="0E38E177" w14:textId="77777777" w:rsidR="001F01E4" w:rsidRPr="00D6495A" w:rsidRDefault="001F01E4" w:rsidP="001F01E4">
      <w:pPr>
        <w:pStyle w:val="SingleTxtG"/>
        <w:spacing w:after="0"/>
        <w:ind w:firstLine="170"/>
        <w:rPr>
          <w:rFonts w:asciiTheme="majorBidi" w:hAnsiTheme="majorBidi" w:cstheme="majorBidi"/>
          <w:sz w:val="18"/>
          <w:szCs w:val="18"/>
        </w:rPr>
      </w:pPr>
      <w:r w:rsidRPr="00D6495A">
        <w:rPr>
          <w:rFonts w:asciiTheme="majorBidi" w:hAnsiTheme="majorBidi" w:cstheme="majorBidi"/>
          <w:sz w:val="18"/>
          <w:szCs w:val="18"/>
          <w:vertAlign w:val="superscript"/>
          <w:lang w:val="fr-FR"/>
        </w:rPr>
        <w:t>2</w:t>
      </w:r>
      <w:r>
        <w:rPr>
          <w:rFonts w:asciiTheme="majorBidi" w:hAnsiTheme="majorBidi" w:cstheme="majorBidi"/>
          <w:sz w:val="18"/>
          <w:szCs w:val="18"/>
          <w:lang w:val="fr-FR"/>
        </w:rPr>
        <w:t xml:space="preserve">  </w:t>
      </w:r>
      <w:r w:rsidRPr="00D6495A">
        <w:rPr>
          <w:rFonts w:asciiTheme="majorBidi" w:hAnsiTheme="majorBidi" w:cstheme="majorBidi"/>
          <w:sz w:val="18"/>
          <w:szCs w:val="18"/>
          <w:lang w:val="fr-FR"/>
        </w:rPr>
        <w:t>Le numéro de série d’amendements indiqué doit être interprété comme un minimum, en ceci qu’il englobe tous les compléments en vigueur au moment où l’homologation est délivrée. Les homologations délivrées en application de toutes les versions ultérieures doivent également être acceptées, conformément au paragraphe 13.3 du présent Règlement.</w:t>
      </w:r>
    </w:p>
    <w:p w14:paraId="4C49C529" w14:textId="4996BB18" w:rsidR="00F9573C" w:rsidRDefault="001F01E4" w:rsidP="001F01E4">
      <w:pPr>
        <w:pStyle w:val="SingleTxtG"/>
        <w:spacing w:after="0"/>
        <w:ind w:firstLine="170"/>
        <w:rPr>
          <w:sz w:val="18"/>
          <w:szCs w:val="18"/>
          <w:lang w:val="fr-FR"/>
        </w:rPr>
      </w:pPr>
      <w:r w:rsidRPr="00D6495A">
        <w:rPr>
          <w:rFonts w:asciiTheme="majorBidi" w:hAnsiTheme="majorBidi" w:cstheme="majorBidi"/>
          <w:sz w:val="18"/>
          <w:szCs w:val="18"/>
          <w:vertAlign w:val="superscript"/>
          <w:lang w:val="fr-FR"/>
        </w:rPr>
        <w:t>3</w:t>
      </w:r>
      <w:r>
        <w:rPr>
          <w:rFonts w:asciiTheme="majorBidi" w:hAnsiTheme="majorBidi" w:cstheme="majorBidi"/>
          <w:sz w:val="18"/>
          <w:szCs w:val="18"/>
          <w:lang w:val="fr-FR"/>
        </w:rPr>
        <w:t xml:space="preserve">  </w:t>
      </w:r>
      <w:r w:rsidRPr="00D6495A">
        <w:rPr>
          <w:rFonts w:asciiTheme="majorBidi" w:hAnsiTheme="majorBidi" w:cstheme="majorBidi"/>
          <w:sz w:val="18"/>
          <w:szCs w:val="18"/>
          <w:lang w:val="fr-FR"/>
        </w:rPr>
        <w:t>Toutes les homologations de composants des feux et dispositifs de signalisation sont prescrites dans le Règlement ONU n</w:t>
      </w:r>
      <w:r w:rsidRPr="00D6495A">
        <w:rPr>
          <w:rFonts w:asciiTheme="majorBidi" w:hAnsiTheme="majorBidi" w:cstheme="majorBidi"/>
          <w:sz w:val="18"/>
          <w:szCs w:val="18"/>
          <w:vertAlign w:val="superscript"/>
          <w:lang w:val="fr-FR"/>
        </w:rPr>
        <w:t>o</w:t>
      </w:r>
      <w:r>
        <w:rPr>
          <w:rFonts w:asciiTheme="majorBidi" w:hAnsiTheme="majorBidi" w:cstheme="majorBidi"/>
          <w:sz w:val="18"/>
          <w:szCs w:val="18"/>
          <w:lang w:val="fr-FR"/>
        </w:rPr>
        <w:t> </w:t>
      </w:r>
      <w:r w:rsidRPr="00D6495A">
        <w:rPr>
          <w:rFonts w:asciiTheme="majorBidi" w:hAnsiTheme="majorBidi" w:cstheme="majorBidi"/>
          <w:sz w:val="18"/>
          <w:szCs w:val="18"/>
          <w:lang w:val="fr-FR"/>
        </w:rPr>
        <w:t>48, c’est pourquoi elles ne sont pas mentionnées dans le Règlement ONU n</w:t>
      </w:r>
      <w:r w:rsidRPr="00D6495A">
        <w:rPr>
          <w:rFonts w:asciiTheme="majorBidi" w:hAnsiTheme="majorBidi" w:cstheme="majorBidi"/>
          <w:sz w:val="18"/>
          <w:szCs w:val="18"/>
          <w:vertAlign w:val="superscript"/>
          <w:lang w:val="fr-FR"/>
        </w:rPr>
        <w:t>o</w:t>
      </w:r>
      <w:r>
        <w:rPr>
          <w:rFonts w:asciiTheme="majorBidi" w:hAnsiTheme="majorBidi" w:cstheme="majorBidi"/>
          <w:sz w:val="18"/>
          <w:szCs w:val="18"/>
          <w:lang w:val="fr-FR"/>
        </w:rPr>
        <w:t> </w:t>
      </w:r>
      <w:r w:rsidRPr="00D6495A">
        <w:rPr>
          <w:rFonts w:asciiTheme="majorBidi" w:hAnsiTheme="majorBidi" w:cstheme="majorBidi"/>
          <w:sz w:val="18"/>
          <w:szCs w:val="18"/>
          <w:lang w:val="fr-FR"/>
        </w:rPr>
        <w:t>0</w:t>
      </w:r>
      <w:r w:rsidRPr="00D6495A">
        <w:rPr>
          <w:sz w:val="18"/>
          <w:szCs w:val="18"/>
        </w:rPr>
        <w:t> </w:t>
      </w:r>
      <w:r w:rsidRPr="00D6495A">
        <w:rPr>
          <w:sz w:val="18"/>
          <w:szCs w:val="18"/>
          <w:lang w:val="fr-FR"/>
        </w:rPr>
        <w:t>».</w:t>
      </w:r>
    </w:p>
    <w:p w14:paraId="36945D83" w14:textId="5E2DEF63" w:rsidR="001F01E4" w:rsidRPr="001F01E4" w:rsidRDefault="001F01E4" w:rsidP="001F01E4">
      <w:pPr>
        <w:pStyle w:val="SingleTxtG"/>
        <w:spacing w:before="240" w:after="0"/>
        <w:jc w:val="center"/>
        <w:rPr>
          <w:u w:val="single"/>
        </w:rPr>
      </w:pPr>
      <w:r>
        <w:tab/>
      </w:r>
      <w:r>
        <w:rPr>
          <w:u w:val="single"/>
        </w:rPr>
        <w:tab/>
      </w:r>
      <w:r>
        <w:rPr>
          <w:u w:val="single"/>
        </w:rPr>
        <w:tab/>
      </w:r>
      <w:r>
        <w:rPr>
          <w:u w:val="single"/>
        </w:rPr>
        <w:tab/>
      </w:r>
    </w:p>
    <w:sectPr w:rsidR="001F01E4" w:rsidRPr="001F01E4" w:rsidSect="001F01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EB7B" w14:textId="77777777" w:rsidR="006501FB" w:rsidRDefault="006501FB" w:rsidP="00F95C08">
      <w:pPr>
        <w:spacing w:line="240" w:lineRule="auto"/>
      </w:pPr>
    </w:p>
  </w:endnote>
  <w:endnote w:type="continuationSeparator" w:id="0">
    <w:p w14:paraId="68103B5D" w14:textId="77777777" w:rsidR="006501FB" w:rsidRPr="00AC3823" w:rsidRDefault="006501FB" w:rsidP="00AC3823">
      <w:pPr>
        <w:pStyle w:val="Pieddepage"/>
      </w:pPr>
    </w:p>
  </w:endnote>
  <w:endnote w:type="continuationNotice" w:id="1">
    <w:p w14:paraId="273073B1" w14:textId="77777777" w:rsidR="006501FB" w:rsidRDefault="006501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9746" w14:textId="2FC29A54" w:rsidR="001F01E4" w:rsidRPr="001F01E4" w:rsidRDefault="001F01E4" w:rsidP="001F01E4">
    <w:pPr>
      <w:pStyle w:val="Pieddepage"/>
      <w:tabs>
        <w:tab w:val="right" w:pos="9638"/>
      </w:tabs>
    </w:pPr>
    <w:r w:rsidRPr="001F01E4">
      <w:rPr>
        <w:b/>
        <w:sz w:val="18"/>
      </w:rPr>
      <w:fldChar w:fldCharType="begin"/>
    </w:r>
    <w:r w:rsidRPr="001F01E4">
      <w:rPr>
        <w:b/>
        <w:sz w:val="18"/>
      </w:rPr>
      <w:instrText xml:space="preserve"> PAGE  \* MERGEFORMAT </w:instrText>
    </w:r>
    <w:r w:rsidRPr="001F01E4">
      <w:rPr>
        <w:b/>
        <w:sz w:val="18"/>
      </w:rPr>
      <w:fldChar w:fldCharType="separate"/>
    </w:r>
    <w:r w:rsidRPr="001F01E4">
      <w:rPr>
        <w:b/>
        <w:noProof/>
        <w:sz w:val="18"/>
      </w:rPr>
      <w:t>2</w:t>
    </w:r>
    <w:r w:rsidRPr="001F01E4">
      <w:rPr>
        <w:b/>
        <w:sz w:val="18"/>
      </w:rPr>
      <w:fldChar w:fldCharType="end"/>
    </w:r>
    <w:r>
      <w:rPr>
        <w:b/>
        <w:sz w:val="18"/>
      </w:rPr>
      <w:tab/>
    </w:r>
    <w:r>
      <w:t>GE.22-13703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0CC4" w14:textId="54B055D5" w:rsidR="001F01E4" w:rsidRPr="001F01E4" w:rsidRDefault="001F01E4" w:rsidP="001F01E4">
    <w:pPr>
      <w:pStyle w:val="Pieddepage"/>
      <w:tabs>
        <w:tab w:val="right" w:pos="9638"/>
      </w:tabs>
      <w:rPr>
        <w:b/>
        <w:sz w:val="18"/>
      </w:rPr>
    </w:pPr>
    <w:r>
      <w:t>GE.22-13703</w:t>
    </w:r>
    <w:r>
      <w:tab/>
    </w:r>
    <w:r w:rsidRPr="001F01E4">
      <w:rPr>
        <w:b/>
        <w:sz w:val="18"/>
      </w:rPr>
      <w:fldChar w:fldCharType="begin"/>
    </w:r>
    <w:r w:rsidRPr="001F01E4">
      <w:rPr>
        <w:b/>
        <w:sz w:val="18"/>
      </w:rPr>
      <w:instrText xml:space="preserve"> PAGE  \* MERGEFORMAT </w:instrText>
    </w:r>
    <w:r w:rsidRPr="001F01E4">
      <w:rPr>
        <w:b/>
        <w:sz w:val="18"/>
      </w:rPr>
      <w:fldChar w:fldCharType="separate"/>
    </w:r>
    <w:r w:rsidRPr="001F01E4">
      <w:rPr>
        <w:b/>
        <w:noProof/>
        <w:sz w:val="18"/>
      </w:rPr>
      <w:t>3</w:t>
    </w:r>
    <w:r w:rsidRPr="001F01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E228" w14:textId="2041C26E" w:rsidR="007F20FA" w:rsidRPr="001F01E4" w:rsidRDefault="001F01E4" w:rsidP="001F01E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B13C954" wp14:editId="55672D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22-13703  (F)</w:t>
    </w:r>
    <w:r>
      <w:rPr>
        <w:noProof/>
        <w:sz w:val="20"/>
      </w:rPr>
      <w:drawing>
        <wp:anchor distT="0" distB="0" distL="114300" distR="114300" simplePos="0" relativeHeight="251660288" behindDoc="0" locked="0" layoutInCell="1" allowOverlap="1" wp14:anchorId="66A6E140" wp14:editId="498B421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230922    270922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77CD" w14:textId="77777777" w:rsidR="006501FB" w:rsidRPr="00AC3823" w:rsidRDefault="006501FB" w:rsidP="00AC3823">
      <w:pPr>
        <w:pStyle w:val="Pieddepage"/>
        <w:tabs>
          <w:tab w:val="right" w:pos="2155"/>
        </w:tabs>
        <w:spacing w:after="80" w:line="240" w:lineRule="atLeast"/>
        <w:ind w:left="680"/>
        <w:rPr>
          <w:u w:val="single"/>
        </w:rPr>
      </w:pPr>
      <w:r>
        <w:rPr>
          <w:u w:val="single"/>
        </w:rPr>
        <w:tab/>
      </w:r>
    </w:p>
  </w:footnote>
  <w:footnote w:type="continuationSeparator" w:id="0">
    <w:p w14:paraId="107BFC28" w14:textId="77777777" w:rsidR="006501FB" w:rsidRPr="00AC3823" w:rsidRDefault="006501FB" w:rsidP="00AC3823">
      <w:pPr>
        <w:pStyle w:val="Pieddepage"/>
        <w:tabs>
          <w:tab w:val="right" w:pos="2155"/>
        </w:tabs>
        <w:spacing w:after="80" w:line="240" w:lineRule="atLeast"/>
        <w:ind w:left="680"/>
        <w:rPr>
          <w:u w:val="single"/>
        </w:rPr>
      </w:pPr>
      <w:r>
        <w:rPr>
          <w:u w:val="single"/>
        </w:rPr>
        <w:tab/>
      </w:r>
    </w:p>
  </w:footnote>
  <w:footnote w:type="continuationNotice" w:id="1">
    <w:p w14:paraId="3472325E" w14:textId="77777777" w:rsidR="006501FB" w:rsidRPr="00AC3823" w:rsidRDefault="006501FB">
      <w:pPr>
        <w:spacing w:line="240" w:lineRule="auto"/>
        <w:rPr>
          <w:sz w:val="2"/>
          <w:szCs w:val="2"/>
        </w:rPr>
      </w:pPr>
    </w:p>
  </w:footnote>
  <w:footnote w:id="2">
    <w:p w14:paraId="03B6B3A1" w14:textId="7B55F98B" w:rsidR="001F01E4" w:rsidRDefault="001F01E4" w:rsidP="001F01E4">
      <w:pPr>
        <w:pStyle w:val="Notedebasdepage"/>
        <w:rPr>
          <w:lang w:val="fr-FR"/>
        </w:rPr>
      </w:pPr>
      <w:r w:rsidRPr="001F01E4">
        <w:rPr>
          <w:sz w:val="20"/>
          <w:lang w:val="fr-FR"/>
        </w:rPr>
        <w:tab/>
        <w:t>*</w:t>
      </w:r>
      <w:r w:rsidRPr="001F01E4">
        <w:rPr>
          <w:sz w:val="20"/>
          <w:lang w:val="fr-FR"/>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p w14:paraId="2C534282" w14:textId="77777777" w:rsidR="001F01E4" w:rsidRPr="00DD0412" w:rsidRDefault="001F01E4" w:rsidP="001F01E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19F" w14:textId="3393E957" w:rsidR="001F01E4" w:rsidRPr="001F01E4" w:rsidRDefault="001F01E4">
    <w:pPr>
      <w:pStyle w:val="En-tte"/>
    </w:pPr>
    <w:fldSimple w:instr=" TITLE  \* MERGEFORMAT ">
      <w:r w:rsidR="00FF3B38">
        <w:t>ECE/TRANS/WP.29/2022/111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6E63" w14:textId="512B13F1" w:rsidR="001F01E4" w:rsidRPr="001F01E4" w:rsidRDefault="001F01E4" w:rsidP="001F01E4">
    <w:pPr>
      <w:pStyle w:val="En-tte"/>
      <w:jc w:val="right"/>
    </w:pPr>
    <w:fldSimple w:instr=" TITLE  \* MERGEFORMAT ">
      <w:r w:rsidR="00FF3B38">
        <w:t>ECE/TRANS/WP.29/2022/111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FB"/>
    <w:rsid w:val="00017F94"/>
    <w:rsid w:val="00023842"/>
    <w:rsid w:val="000334F9"/>
    <w:rsid w:val="00045FEB"/>
    <w:rsid w:val="0007796D"/>
    <w:rsid w:val="000B7790"/>
    <w:rsid w:val="00111F2F"/>
    <w:rsid w:val="0014365E"/>
    <w:rsid w:val="00143C66"/>
    <w:rsid w:val="00176178"/>
    <w:rsid w:val="001F01E4"/>
    <w:rsid w:val="001F525A"/>
    <w:rsid w:val="00201148"/>
    <w:rsid w:val="00223272"/>
    <w:rsid w:val="00244A2F"/>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01FB"/>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A0D7C"/>
    <w:rsid w:val="00D3439C"/>
    <w:rsid w:val="00D7622E"/>
    <w:rsid w:val="00DB1831"/>
    <w:rsid w:val="00DD3BFD"/>
    <w:rsid w:val="00DF6678"/>
    <w:rsid w:val="00E0299A"/>
    <w:rsid w:val="00E85C74"/>
    <w:rsid w:val="00EA6547"/>
    <w:rsid w:val="00ED7237"/>
    <w:rsid w:val="00EF2E22"/>
    <w:rsid w:val="00F35BAF"/>
    <w:rsid w:val="00F660DF"/>
    <w:rsid w:val="00F76CD3"/>
    <w:rsid w:val="00F94664"/>
    <w:rsid w:val="00F9573C"/>
    <w:rsid w:val="00F95C08"/>
    <w:rsid w:val="00FF3B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FE7DF"/>
  <w15:docId w15:val="{3D429C0E-DD55-4F67-89EA-4ACBFFF3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F01E4"/>
    <w:rPr>
      <w:rFonts w:ascii="Times New Roman" w:eastAsiaTheme="minorHAnsi" w:hAnsi="Times New Roman" w:cs="Times New Roman"/>
      <w:sz w:val="20"/>
      <w:szCs w:val="20"/>
      <w:lang w:eastAsia="en-US"/>
    </w:rPr>
  </w:style>
  <w:style w:type="character" w:customStyle="1" w:styleId="HChGChar">
    <w:name w:val="_ H _Ch_G Char"/>
    <w:link w:val="HChG"/>
    <w:locked/>
    <w:rsid w:val="001F01E4"/>
    <w:rPr>
      <w:rFonts w:ascii="Times New Roman" w:eastAsiaTheme="minorHAnsi" w:hAnsi="Times New Roman" w:cs="Times New Roman"/>
      <w:b/>
      <w:sz w:val="28"/>
      <w:szCs w:val="20"/>
      <w:lang w:eastAsia="en-US"/>
    </w:rPr>
  </w:style>
  <w:style w:type="character" w:customStyle="1" w:styleId="H1GChar">
    <w:name w:val="_ H_1_G Char"/>
    <w:link w:val="H1G"/>
    <w:locked/>
    <w:rsid w:val="001F01E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15B1F-54BC-449B-BC7C-5A89023C9ED7}"/>
</file>

<file path=customXml/itemProps2.xml><?xml version="1.0" encoding="utf-8"?>
<ds:datastoreItem xmlns:ds="http://schemas.openxmlformats.org/officeDocument/2006/customXml" ds:itemID="{3E3A901A-675B-485F-9283-EF30248C43E7}"/>
</file>

<file path=docProps/app.xml><?xml version="1.0" encoding="utf-8"?>
<Properties xmlns="http://schemas.openxmlformats.org/officeDocument/2006/extended-properties" xmlns:vt="http://schemas.openxmlformats.org/officeDocument/2006/docPropsVTypes">
  <Template>ECE_TRANS.dotm</Template>
  <TotalTime>2</TotalTime>
  <Pages>5</Pages>
  <Words>948</Words>
  <Characters>6643</Characters>
  <Application>Microsoft Office Word</Application>
  <DocSecurity>0</DocSecurity>
  <Lines>553</Lines>
  <Paragraphs>303</Paragraphs>
  <ScaleCrop>false</ScaleCrop>
  <HeadingPairs>
    <vt:vector size="2" baseType="variant">
      <vt:variant>
        <vt:lpstr>Titre</vt:lpstr>
      </vt:variant>
      <vt:variant>
        <vt:i4>1</vt:i4>
      </vt:variant>
    </vt:vector>
  </HeadingPairs>
  <TitlesOfParts>
    <vt:vector size="1" baseType="lpstr">
      <vt:lpstr>ECE/TRANS/WP.29/2022/111</vt:lpstr>
    </vt:vector>
  </TitlesOfParts>
  <Company>DCM</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ECE/TRANS/WP.29/2022/111</dc:title>
  <dc:subject/>
  <dc:creator>Maud DARICHE</dc:creator>
  <cp:keywords/>
  <cp:lastModifiedBy>Maud Dariche</cp:lastModifiedBy>
  <cp:revision>3</cp:revision>
  <cp:lastPrinted>2022-09-27T05:34:00Z</cp:lastPrinted>
  <dcterms:created xsi:type="dcterms:W3CDTF">2022-09-27T05:34:00Z</dcterms:created>
  <dcterms:modified xsi:type="dcterms:W3CDTF">2022-09-27T05:35:00Z</dcterms:modified>
</cp:coreProperties>
</file>