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597D3F21" w14:textId="77777777" w:rsidTr="000D1B89">
        <w:trPr>
          <w:cantSplit/>
          <w:trHeight w:hRule="exact" w:val="851"/>
        </w:trPr>
        <w:tc>
          <w:tcPr>
            <w:tcW w:w="1276" w:type="dxa"/>
            <w:tcBorders>
              <w:bottom w:val="single" w:sz="4" w:space="0" w:color="auto"/>
            </w:tcBorders>
            <w:vAlign w:val="bottom"/>
          </w:tcPr>
          <w:p w14:paraId="767B66F6" w14:textId="17A71D18" w:rsidR="00717266" w:rsidRDefault="00717266" w:rsidP="000D1B89">
            <w:pPr>
              <w:spacing w:after="80"/>
            </w:pPr>
          </w:p>
        </w:tc>
        <w:tc>
          <w:tcPr>
            <w:tcW w:w="2268" w:type="dxa"/>
            <w:tcBorders>
              <w:bottom w:val="single" w:sz="4" w:space="0" w:color="auto"/>
            </w:tcBorders>
            <w:vAlign w:val="bottom"/>
          </w:tcPr>
          <w:p w14:paraId="7729D949"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B81B158" w14:textId="77777777" w:rsidR="00717266" w:rsidRPr="00D47EEA" w:rsidRDefault="00272374" w:rsidP="00272374">
            <w:pPr>
              <w:suppressAutoHyphens w:val="0"/>
              <w:spacing w:after="20"/>
              <w:jc w:val="right"/>
            </w:pPr>
            <w:r w:rsidRPr="00272374">
              <w:rPr>
                <w:sz w:val="40"/>
              </w:rPr>
              <w:t>ECE</w:t>
            </w:r>
            <w:r>
              <w:t>/TRANS/WP.11/2021/12/Rev.2</w:t>
            </w:r>
          </w:p>
        </w:tc>
      </w:tr>
      <w:tr w:rsidR="00717266" w14:paraId="4628B9C3" w14:textId="77777777" w:rsidTr="000D1B89">
        <w:trPr>
          <w:cantSplit/>
          <w:trHeight w:hRule="exact" w:val="2835"/>
        </w:trPr>
        <w:tc>
          <w:tcPr>
            <w:tcW w:w="1276" w:type="dxa"/>
            <w:tcBorders>
              <w:top w:val="single" w:sz="4" w:space="0" w:color="auto"/>
              <w:bottom w:val="single" w:sz="12" w:space="0" w:color="auto"/>
            </w:tcBorders>
          </w:tcPr>
          <w:p w14:paraId="34EBBDBD" w14:textId="77777777" w:rsidR="00717266" w:rsidRDefault="00717266" w:rsidP="000D1B89">
            <w:pPr>
              <w:spacing w:before="120"/>
            </w:pPr>
            <w:r>
              <w:rPr>
                <w:noProof/>
                <w:lang w:val="fr-CH" w:eastAsia="fr-CH"/>
              </w:rPr>
              <w:drawing>
                <wp:inline distT="0" distB="0" distL="0" distR="0" wp14:anchorId="68A1CD08" wp14:editId="2243A238">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2DAD2F3"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FDBA592" w14:textId="77777777" w:rsidR="00717266" w:rsidRDefault="00272374" w:rsidP="00272374">
            <w:pPr>
              <w:spacing w:before="240"/>
            </w:pPr>
            <w:r>
              <w:t>Distr.: General</w:t>
            </w:r>
          </w:p>
          <w:p w14:paraId="186B9E18" w14:textId="559AF48E" w:rsidR="00272374" w:rsidRDefault="00272374" w:rsidP="00272374">
            <w:pPr>
              <w:suppressAutoHyphens w:val="0"/>
            </w:pPr>
            <w:r>
              <w:t>4 August 2022</w:t>
            </w:r>
          </w:p>
          <w:p w14:paraId="739CC034" w14:textId="125FCEED" w:rsidR="00272374" w:rsidRDefault="00CB5D33" w:rsidP="00272374">
            <w:pPr>
              <w:suppressAutoHyphens w:val="0"/>
            </w:pPr>
            <w:r>
              <w:t>English</w:t>
            </w:r>
          </w:p>
          <w:p w14:paraId="5F8681A6" w14:textId="7F8186E4" w:rsidR="00272374" w:rsidRDefault="00272374" w:rsidP="00272374">
            <w:pPr>
              <w:suppressAutoHyphens w:val="0"/>
            </w:pPr>
            <w:r>
              <w:t xml:space="preserve">Original: </w:t>
            </w:r>
            <w:r w:rsidR="00CB5D33">
              <w:t>French</w:t>
            </w:r>
          </w:p>
        </w:tc>
      </w:tr>
    </w:tbl>
    <w:p w14:paraId="4A3EB7BC" w14:textId="77777777" w:rsidR="00CB5D33" w:rsidRPr="0061330E" w:rsidRDefault="00CB5D33">
      <w:pPr>
        <w:spacing w:before="120"/>
        <w:rPr>
          <w:b/>
          <w:sz w:val="28"/>
          <w:szCs w:val="28"/>
        </w:rPr>
      </w:pPr>
      <w:r w:rsidRPr="0061330E">
        <w:rPr>
          <w:b/>
          <w:sz w:val="28"/>
          <w:szCs w:val="28"/>
        </w:rPr>
        <w:t>Economic Commission for Europe</w:t>
      </w:r>
    </w:p>
    <w:p w14:paraId="631B84CE" w14:textId="77777777" w:rsidR="00CB5D33" w:rsidRPr="0061330E" w:rsidRDefault="00CB5D33">
      <w:pPr>
        <w:spacing w:before="120"/>
        <w:rPr>
          <w:sz w:val="28"/>
          <w:szCs w:val="28"/>
        </w:rPr>
      </w:pPr>
      <w:r w:rsidRPr="0061330E">
        <w:rPr>
          <w:sz w:val="28"/>
          <w:szCs w:val="28"/>
        </w:rPr>
        <w:t>Inland Transport Committee</w:t>
      </w:r>
    </w:p>
    <w:p w14:paraId="31C2C70D" w14:textId="2F50D24B" w:rsidR="00CB5D33" w:rsidRPr="0061330E" w:rsidRDefault="00CB5D33">
      <w:pPr>
        <w:spacing w:before="120"/>
        <w:rPr>
          <w:b/>
          <w:sz w:val="24"/>
          <w:szCs w:val="24"/>
        </w:rPr>
      </w:pPr>
      <w:r w:rsidRPr="0061330E">
        <w:rPr>
          <w:b/>
          <w:sz w:val="24"/>
          <w:szCs w:val="24"/>
        </w:rPr>
        <w:t>Working Party on the Transport of Perishable Foodstuffs</w:t>
      </w:r>
    </w:p>
    <w:p w14:paraId="75B86FE4" w14:textId="77777777" w:rsidR="00CB5D33" w:rsidRPr="0061330E" w:rsidRDefault="00CB5D33" w:rsidP="00CB5D33">
      <w:pPr>
        <w:spacing w:before="120"/>
        <w:rPr>
          <w:b/>
          <w:bCs/>
        </w:rPr>
      </w:pPr>
      <w:r w:rsidRPr="0061330E">
        <w:rPr>
          <w:b/>
          <w:bCs/>
        </w:rPr>
        <w:t>Seventy-ninth session</w:t>
      </w:r>
    </w:p>
    <w:p w14:paraId="3FA97E41" w14:textId="77777777" w:rsidR="00CB5D33" w:rsidRPr="0061330E" w:rsidRDefault="00CB5D33" w:rsidP="00CB5D33">
      <w:r w:rsidRPr="0061330E">
        <w:t>Geneva, 25–28 October 2022</w:t>
      </w:r>
    </w:p>
    <w:p w14:paraId="645D6A57" w14:textId="77777777" w:rsidR="00CB5D33" w:rsidRPr="0061330E" w:rsidRDefault="00CB5D33" w:rsidP="00CB5D33">
      <w:pPr>
        <w:pStyle w:val="Standard"/>
        <w:tabs>
          <w:tab w:val="center" w:pos="4819"/>
        </w:tabs>
        <w:overflowPunct w:val="0"/>
        <w:snapToGrid/>
        <w:rPr>
          <w:lang w:val="en-GB"/>
        </w:rPr>
      </w:pPr>
      <w:r w:rsidRPr="0061330E">
        <w:rPr>
          <w:lang w:val="en-GB"/>
        </w:rPr>
        <w:t>Item 6 of the provisional agenda</w:t>
      </w:r>
    </w:p>
    <w:p w14:paraId="6EC56691" w14:textId="77777777" w:rsidR="00CB5D33" w:rsidRPr="0061330E" w:rsidRDefault="00CB5D33" w:rsidP="00CB5D33">
      <w:pPr>
        <w:rPr>
          <w:b/>
          <w:bCs/>
        </w:rPr>
      </w:pPr>
      <w:r w:rsidRPr="0061330E">
        <w:rPr>
          <w:b/>
          <w:bCs/>
        </w:rPr>
        <w:t>ATP Handbook</w:t>
      </w:r>
    </w:p>
    <w:p w14:paraId="78E708D4" w14:textId="77777777" w:rsidR="008B5B04" w:rsidRPr="0061330E" w:rsidRDefault="008B5B04" w:rsidP="008B5B04">
      <w:pPr>
        <w:pStyle w:val="HChG"/>
      </w:pPr>
      <w:r w:rsidRPr="0061330E">
        <w:tab/>
      </w:r>
      <w:r w:rsidRPr="0061330E">
        <w:tab/>
        <w:t>Amendments to paragraph 6 (c) (iii) of Annex 1, Appendix 1 of the ATP Handbook: Rules to be observed for the installation of mounted units, units with deflectors, under-frame units or units that can be offset</w:t>
      </w:r>
    </w:p>
    <w:p w14:paraId="524A9AA3" w14:textId="77777777" w:rsidR="008B5B04" w:rsidRPr="0061330E" w:rsidRDefault="008B5B04" w:rsidP="008B5B04">
      <w:pPr>
        <w:pStyle w:val="H1G"/>
      </w:pPr>
      <w:r w:rsidRPr="0061330E">
        <w:tab/>
      </w:r>
      <w:r w:rsidRPr="0061330E">
        <w:tab/>
      </w:r>
      <w:r w:rsidRPr="0061330E">
        <w:tab/>
        <w:t>Transmitted by the Government of France</w:t>
      </w:r>
    </w:p>
    <w:p w14:paraId="131B2F2B" w14:textId="77777777" w:rsidR="008B5B04" w:rsidRPr="0061330E" w:rsidRDefault="008B5B04" w:rsidP="008B5B04">
      <w:pPr>
        <w:pStyle w:val="H23G"/>
      </w:pPr>
      <w:r w:rsidRPr="0061330E">
        <w:tab/>
      </w:r>
      <w:r w:rsidRPr="0061330E">
        <w:tab/>
        <w:t>Revision</w:t>
      </w:r>
    </w:p>
    <w:p w14:paraId="14ED30D5" w14:textId="77777777" w:rsidR="008B5B04" w:rsidRPr="0061330E" w:rsidRDefault="008B5B04" w:rsidP="008B5B04">
      <w:pPr>
        <w:pStyle w:val="HChG"/>
      </w:pPr>
      <w:r w:rsidRPr="0061330E">
        <w:tab/>
      </w:r>
      <w:r w:rsidRPr="0061330E">
        <w:tab/>
      </w:r>
      <w:r w:rsidRPr="0061330E">
        <w:tab/>
        <w:t>Introduction</w:t>
      </w:r>
      <w:bookmarkStart w:id="0" w:name="OLE_LINK2"/>
      <w:bookmarkStart w:id="1" w:name="OLE_LINK1"/>
      <w:bookmarkEnd w:id="0"/>
      <w:bookmarkEnd w:id="1"/>
    </w:p>
    <w:p w14:paraId="6A77154C" w14:textId="44486244" w:rsidR="008B5B04" w:rsidRPr="0061330E" w:rsidRDefault="008B5B04" w:rsidP="008B5B04">
      <w:pPr>
        <w:pStyle w:val="SingleTxtG"/>
      </w:pPr>
      <w:r w:rsidRPr="0061330E">
        <w:t>1.</w:t>
      </w:r>
      <w:r w:rsidRPr="0061330E">
        <w:tab/>
        <w:t>Some refrigeration units may be installed in spaces reserved for them in the body or integrated into aerodynamic deflectors, or may have condensers mounted in the engine compartment or under the vehicle chassis.</w:t>
      </w:r>
    </w:p>
    <w:p w14:paraId="7578EE1B" w14:textId="27EEA2BF" w:rsidR="008B5B04" w:rsidRPr="0061330E" w:rsidRDefault="008B5B04" w:rsidP="008B5B04">
      <w:pPr>
        <w:pStyle w:val="SingleTxtG"/>
      </w:pPr>
      <w:r w:rsidRPr="0061330E">
        <w:t>2.</w:t>
      </w:r>
      <w:r w:rsidRPr="0061330E">
        <w:tab/>
        <w:t>Such installations may result in a reduction of expected performance owing to impeded airflow at the condenser inlet.</w:t>
      </w:r>
    </w:p>
    <w:p w14:paraId="3B53786C" w14:textId="4215F5E2" w:rsidR="008B5B04" w:rsidRPr="0061330E" w:rsidRDefault="008B5B04" w:rsidP="008B5B04">
      <w:pPr>
        <w:pStyle w:val="SingleTxtG"/>
      </w:pPr>
      <w:r w:rsidRPr="0061330E">
        <w:t>3.</w:t>
      </w:r>
      <w:r w:rsidRPr="0061330E">
        <w:tab/>
        <w:t>The ATP Handbook allows for the consideration of specific provisions and for clarification of the general cases defined in the annexes to the ATP Agreement.</w:t>
      </w:r>
    </w:p>
    <w:p w14:paraId="0C3F8F65" w14:textId="77777777" w:rsidR="008B5B04" w:rsidRPr="0061330E" w:rsidRDefault="008B5B04" w:rsidP="00A3317D">
      <w:pPr>
        <w:pStyle w:val="HChG"/>
      </w:pPr>
      <w:r w:rsidRPr="0061330E">
        <w:tab/>
        <w:t>I.</w:t>
      </w:r>
      <w:r w:rsidRPr="0061330E">
        <w:tab/>
        <w:t>Proposed amendment to the ATP Handbook</w:t>
      </w:r>
    </w:p>
    <w:p w14:paraId="7D6CC617" w14:textId="4F9CB9C6" w:rsidR="008B5B04" w:rsidRPr="0061330E" w:rsidRDefault="008B5B04" w:rsidP="008B5B04">
      <w:pPr>
        <w:pStyle w:val="SingleTxtG"/>
      </w:pPr>
      <w:r w:rsidRPr="0061330E">
        <w:t>4.</w:t>
      </w:r>
      <w:r w:rsidRPr="0061330E">
        <w:tab/>
        <w:t>It is proposed to add to the ATP Handbook, in paragraph 6 (c) (iii) of Appendix 1 to Annex 1, the text as follows</w:t>
      </w:r>
    </w:p>
    <w:p w14:paraId="50F86D98" w14:textId="7DCDEE39" w:rsidR="008B5B04" w:rsidRPr="0061330E" w:rsidRDefault="0061330E" w:rsidP="008B5B04">
      <w:pPr>
        <w:pStyle w:val="SingleTxtG"/>
      </w:pPr>
      <w:r>
        <w:t>“</w:t>
      </w:r>
      <w:r w:rsidR="008B5B04" w:rsidRPr="0061330E">
        <w:rPr>
          <w:i/>
          <w:iCs/>
        </w:rPr>
        <w:t>The provisions below are intended to provide clarification for the installation of recessed units, units with deflectors, under-frame units or units that can be offset.</w:t>
      </w:r>
      <w:r>
        <w:t>”</w:t>
      </w:r>
    </w:p>
    <w:p w14:paraId="65914931" w14:textId="77777777" w:rsidR="008B5B04" w:rsidRPr="0061330E" w:rsidRDefault="008B5B04" w:rsidP="004F04F8">
      <w:pPr>
        <w:pStyle w:val="SingleTxtG"/>
        <w:keepNext/>
        <w:keepLines/>
        <w:rPr>
          <w:b/>
          <w:bCs/>
          <w:i/>
          <w:iCs/>
        </w:rPr>
      </w:pPr>
      <w:r w:rsidRPr="0061330E">
        <w:rPr>
          <w:b/>
          <w:bCs/>
          <w:i/>
          <w:iCs/>
        </w:rPr>
        <w:lastRenderedPageBreak/>
        <w:t>Equipment concerned</w:t>
      </w:r>
    </w:p>
    <w:p w14:paraId="11B1C900" w14:textId="77777777" w:rsidR="008B5B04" w:rsidRPr="0061330E" w:rsidRDefault="008B5B04" w:rsidP="004F04F8">
      <w:pPr>
        <w:pStyle w:val="SingleTxtG"/>
        <w:keepNext/>
        <w:keepLines/>
      </w:pPr>
      <w:r w:rsidRPr="0061330E">
        <w:rPr>
          <w:i/>
          <w:iCs/>
        </w:rPr>
        <w:t>Case No. 1: Standard production vans with integrated insulation and unit partially recessed in the roof</w:t>
      </w:r>
      <w:r w:rsidRPr="0061330E">
        <w:t>:</w:t>
      </w:r>
    </w:p>
    <w:p w14:paraId="6C78C390" w14:textId="77777777" w:rsidR="008B5B04" w:rsidRPr="0061330E" w:rsidRDefault="008B5B04" w:rsidP="00A3317D">
      <w:pPr>
        <w:pStyle w:val="SingleTxtG"/>
        <w:jc w:val="center"/>
      </w:pPr>
      <w:r w:rsidRPr="0061330E">
        <w:drawing>
          <wp:inline distT="0" distB="0" distL="0" distR="0" wp14:anchorId="5FD2C0DF" wp14:editId="333E1F00">
            <wp:extent cx="2912757" cy="1148038"/>
            <wp:effectExtent l="0" t="0" r="1893" b="0"/>
            <wp:docPr id="3" name="Imag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l="13247" t="25435" r="12430" b="32618"/>
                    <a:stretch>
                      <a:fillRect/>
                    </a:stretch>
                  </pic:blipFill>
                  <pic:spPr>
                    <a:xfrm>
                      <a:off x="0" y="0"/>
                      <a:ext cx="2912757" cy="1148038"/>
                    </a:xfrm>
                    <a:prstGeom prst="rect">
                      <a:avLst/>
                    </a:prstGeom>
                    <a:noFill/>
                    <a:ln>
                      <a:noFill/>
                      <a:prstDash/>
                    </a:ln>
                  </pic:spPr>
                </pic:pic>
              </a:graphicData>
            </a:graphic>
          </wp:inline>
        </w:drawing>
      </w:r>
    </w:p>
    <w:p w14:paraId="6FF35ED9" w14:textId="77777777" w:rsidR="008B5B04" w:rsidRPr="0061330E" w:rsidRDefault="008B5B04" w:rsidP="0032230C">
      <w:pPr>
        <w:pStyle w:val="SingleTxtG"/>
      </w:pPr>
      <w:r w:rsidRPr="0061330E">
        <w:rPr>
          <w:i/>
          <w:iCs/>
        </w:rPr>
        <w:t>Case No. 2: Standard production vans with integrated insulation and unit partially recessed in the roof, with a roof air deflector</w:t>
      </w:r>
      <w:r w:rsidRPr="0061330E">
        <w:t>:</w:t>
      </w:r>
    </w:p>
    <w:p w14:paraId="668AAEA1" w14:textId="77777777" w:rsidR="008B5B04" w:rsidRPr="0061330E" w:rsidRDefault="008B5B04" w:rsidP="00A3317D">
      <w:pPr>
        <w:pStyle w:val="SingleTxtG"/>
        <w:jc w:val="center"/>
      </w:pPr>
      <w:r w:rsidRPr="0061330E">
        <w:drawing>
          <wp:inline distT="0" distB="0" distL="0" distR="0" wp14:anchorId="713823BB" wp14:editId="11BFA9E2">
            <wp:extent cx="2873520" cy="1539355"/>
            <wp:effectExtent l="0" t="0" r="3030" b="3695"/>
            <wp:docPr id="4" name="Imag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873520" cy="1539355"/>
                    </a:xfrm>
                    <a:prstGeom prst="rect">
                      <a:avLst/>
                    </a:prstGeom>
                    <a:noFill/>
                    <a:ln>
                      <a:noFill/>
                      <a:prstDash/>
                    </a:ln>
                  </pic:spPr>
                </pic:pic>
              </a:graphicData>
            </a:graphic>
          </wp:inline>
        </w:drawing>
      </w:r>
    </w:p>
    <w:p w14:paraId="715A43CE" w14:textId="77777777" w:rsidR="008B5B04" w:rsidRPr="0061330E" w:rsidRDefault="008B5B04" w:rsidP="0032230C">
      <w:pPr>
        <w:pStyle w:val="SingleTxtG"/>
      </w:pPr>
      <w:r w:rsidRPr="0061330E">
        <w:rPr>
          <w:i/>
          <w:iCs/>
        </w:rPr>
        <w:t>Case No. 3: Chassis cabs with front-mounted units and a deflector over the cab</w:t>
      </w:r>
      <w:r w:rsidRPr="0061330E">
        <w:t>:</w:t>
      </w:r>
    </w:p>
    <w:p w14:paraId="2EE83690" w14:textId="77777777" w:rsidR="008B5B04" w:rsidRPr="0061330E" w:rsidRDefault="008B5B04" w:rsidP="00A3317D">
      <w:pPr>
        <w:pStyle w:val="SingleTxtG"/>
        <w:jc w:val="center"/>
      </w:pPr>
      <w:r w:rsidRPr="0061330E">
        <w:drawing>
          <wp:inline distT="0" distB="0" distL="0" distR="0" wp14:anchorId="00E4FAC7" wp14:editId="6B755631">
            <wp:extent cx="2086560" cy="1523884"/>
            <wp:effectExtent l="0" t="0" r="8940" b="116"/>
            <wp:docPr id="10" name="Imag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t="2859"/>
                    <a:stretch>
                      <a:fillRect/>
                    </a:stretch>
                  </pic:blipFill>
                  <pic:spPr>
                    <a:xfrm>
                      <a:off x="0" y="0"/>
                      <a:ext cx="2086560" cy="1523884"/>
                    </a:xfrm>
                    <a:prstGeom prst="rect">
                      <a:avLst/>
                    </a:prstGeom>
                    <a:noFill/>
                    <a:ln>
                      <a:noFill/>
                      <a:prstDash/>
                    </a:ln>
                  </pic:spPr>
                </pic:pic>
              </a:graphicData>
            </a:graphic>
          </wp:inline>
        </w:drawing>
      </w:r>
    </w:p>
    <w:p w14:paraId="1D820E8D" w14:textId="77777777" w:rsidR="008B5B04" w:rsidRPr="0061330E" w:rsidRDefault="008B5B04" w:rsidP="00A3317D">
      <w:pPr>
        <w:pStyle w:val="SingleTxtG"/>
      </w:pPr>
      <w:r w:rsidRPr="0061330E">
        <w:rPr>
          <w:i/>
          <w:iCs/>
        </w:rPr>
        <w:t>Case No. 4: Standard production vans with integrated insulation and the unit installed under the chassis or in the engine compartment</w:t>
      </w:r>
      <w:r w:rsidRPr="0061330E">
        <w:t>:</w:t>
      </w:r>
    </w:p>
    <w:p w14:paraId="217501B4" w14:textId="77777777" w:rsidR="008B5B04" w:rsidRPr="0061330E" w:rsidRDefault="008B5B04" w:rsidP="00A3317D">
      <w:pPr>
        <w:pStyle w:val="SingleTxtG"/>
        <w:jc w:val="center"/>
      </w:pPr>
      <w:r w:rsidRPr="0061330E">
        <w:drawing>
          <wp:inline distT="0" distB="0" distL="0" distR="0" wp14:anchorId="0F7894F5" wp14:editId="1FF74376">
            <wp:extent cx="2876044" cy="1339916"/>
            <wp:effectExtent l="0" t="0" r="506" b="0"/>
            <wp:docPr id="6" name="Image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2876044" cy="1339916"/>
                    </a:xfrm>
                    <a:prstGeom prst="rect">
                      <a:avLst/>
                    </a:prstGeom>
                    <a:noFill/>
                    <a:ln>
                      <a:noFill/>
                      <a:prstDash/>
                    </a:ln>
                  </pic:spPr>
                </pic:pic>
              </a:graphicData>
            </a:graphic>
          </wp:inline>
        </w:drawing>
      </w:r>
    </w:p>
    <w:p w14:paraId="20CF1F00" w14:textId="638038B1" w:rsidR="008B5B04" w:rsidRPr="0061330E" w:rsidRDefault="008B5B04" w:rsidP="00A3317D">
      <w:pPr>
        <w:pStyle w:val="SingleTxtG"/>
        <w:rPr>
          <w:i/>
          <w:iCs/>
        </w:rPr>
      </w:pPr>
      <w:r w:rsidRPr="0061330E">
        <w:rPr>
          <w:i/>
          <w:iCs/>
        </w:rPr>
        <w:t>Case No. 5 : Standard production trucks and trailers with the unit installed under the chassis</w:t>
      </w:r>
    </w:p>
    <w:p w14:paraId="1EDED759" w14:textId="77777777" w:rsidR="008B5B04" w:rsidRPr="0061330E" w:rsidRDefault="008B5B04" w:rsidP="00A3317D">
      <w:pPr>
        <w:pStyle w:val="SingleTxtG"/>
        <w:rPr>
          <w:b/>
          <w:bCs/>
          <w:i/>
          <w:iCs/>
        </w:rPr>
      </w:pPr>
      <w:r w:rsidRPr="0061330E">
        <w:rPr>
          <w:b/>
          <w:bCs/>
          <w:i/>
          <w:iCs/>
        </w:rPr>
        <w:t>Provisions applicable by manufacturers of thermal appliances</w:t>
      </w:r>
    </w:p>
    <w:p w14:paraId="7E40ECFE" w14:textId="77777777" w:rsidR="008B5B04" w:rsidRPr="0061330E" w:rsidRDefault="008B5B04" w:rsidP="00A3317D">
      <w:pPr>
        <w:pStyle w:val="SingleTxtG"/>
      </w:pPr>
      <w:r w:rsidRPr="0061330E">
        <w:rPr>
          <w:i/>
          <w:iCs/>
        </w:rPr>
        <w:t>The manufacturer may specify</w:t>
      </w:r>
      <w:r w:rsidRPr="0061330E">
        <w:t>:</w:t>
      </w:r>
    </w:p>
    <w:p w14:paraId="35410A7C" w14:textId="3BA85D14" w:rsidR="008B5B04" w:rsidRPr="0061330E" w:rsidRDefault="0017624C" w:rsidP="0017624C">
      <w:pPr>
        <w:pStyle w:val="Bullet1G"/>
        <w:numPr>
          <w:ilvl w:val="0"/>
          <w:numId w:val="0"/>
        </w:numPr>
        <w:tabs>
          <w:tab w:val="left" w:pos="1701"/>
        </w:tabs>
        <w:ind w:left="1701" w:hanging="170"/>
      </w:pPr>
      <w:r w:rsidRPr="0061330E">
        <w:t>•</w:t>
      </w:r>
      <w:r w:rsidRPr="0061330E">
        <w:tab/>
      </w:r>
      <w:r w:rsidR="008B5B04" w:rsidRPr="0061330E">
        <w:rPr>
          <w:i/>
          <w:iCs/>
        </w:rPr>
        <w:t>All the precautions to be taken during manufacture by the body manufacturer to ensure performance equivalent to that of the type test report</w:t>
      </w:r>
      <w:r w:rsidR="008B5B04" w:rsidRPr="0061330E">
        <w:t>.</w:t>
      </w:r>
    </w:p>
    <w:p w14:paraId="67166C07" w14:textId="6D6AF791" w:rsidR="008B5B04" w:rsidRPr="0061330E" w:rsidRDefault="0017624C" w:rsidP="0017624C">
      <w:pPr>
        <w:pStyle w:val="Bullet1G"/>
        <w:numPr>
          <w:ilvl w:val="0"/>
          <w:numId w:val="0"/>
        </w:numPr>
        <w:tabs>
          <w:tab w:val="left" w:pos="1701"/>
        </w:tabs>
        <w:ind w:left="1701" w:hanging="170"/>
      </w:pPr>
      <w:r w:rsidRPr="0061330E">
        <w:t>•</w:t>
      </w:r>
      <w:r w:rsidRPr="0061330E">
        <w:tab/>
      </w:r>
      <w:r w:rsidR="008B5B04" w:rsidRPr="0061330E">
        <w:rPr>
          <w:i/>
          <w:iCs/>
        </w:rPr>
        <w:t>The minimum distances to be observed for bodywork components to ensure performance equivalent to that of the type test report</w:t>
      </w:r>
      <w:r w:rsidR="008B5B04" w:rsidRPr="0061330E">
        <w:t>.</w:t>
      </w:r>
    </w:p>
    <w:p w14:paraId="144C1CA0" w14:textId="77777777" w:rsidR="008B5B04" w:rsidRPr="0061330E" w:rsidRDefault="008B5B04" w:rsidP="00A3317D">
      <w:pPr>
        <w:pStyle w:val="SingleTxtG"/>
      </w:pPr>
      <w:r w:rsidRPr="0061330E">
        <w:rPr>
          <w:i/>
          <w:iCs/>
        </w:rPr>
        <w:lastRenderedPageBreak/>
        <w:t>The competent authority may assess the steps taken by the manufacturer to ensure that all the scenarios and their impacts have been taken into account in order to ensure performance equivalent to that of the type test report</w:t>
      </w:r>
      <w:r w:rsidRPr="0061330E">
        <w:t>.</w:t>
      </w:r>
    </w:p>
    <w:p w14:paraId="46F2EDE8" w14:textId="77777777" w:rsidR="008B5B04" w:rsidRPr="0061330E" w:rsidRDefault="008B5B04" w:rsidP="004F04F8">
      <w:pPr>
        <w:pStyle w:val="SingleTxtG"/>
        <w:rPr>
          <w:b/>
          <w:bCs/>
          <w:i/>
          <w:iCs/>
        </w:rPr>
      </w:pPr>
      <w:r w:rsidRPr="0061330E">
        <w:rPr>
          <w:b/>
          <w:bCs/>
          <w:i/>
          <w:iCs/>
        </w:rPr>
        <w:t>Provisions applicable by manufacturers of insulated bodies</w:t>
      </w:r>
    </w:p>
    <w:p w14:paraId="6D983128" w14:textId="77777777" w:rsidR="008B5B04" w:rsidRPr="0061330E" w:rsidRDefault="008B5B04" w:rsidP="004F04F8">
      <w:pPr>
        <w:pStyle w:val="SingleTxtG"/>
      </w:pPr>
      <w:r w:rsidRPr="0061330E">
        <w:rPr>
          <w:i/>
          <w:iCs/>
        </w:rPr>
        <w:t>The body manufacturer should respect the recommendations made by the manufacturer of the thermal appliance. The installation of the unit may, where appropriate, be subject to formal validation by the thermal appliance manufacturer if at least one of the requirements defined by the thermal appliance manufacturer calls into question the performance of the unit</w:t>
      </w:r>
      <w:r w:rsidRPr="0061330E">
        <w:t>.</w:t>
      </w:r>
    </w:p>
    <w:p w14:paraId="36A8E87F" w14:textId="024A0E82" w:rsidR="008B5B04" w:rsidRPr="0061330E" w:rsidRDefault="008B5B04" w:rsidP="00FA4F9E">
      <w:pPr>
        <w:pStyle w:val="SingleTxtG"/>
      </w:pPr>
      <w:r w:rsidRPr="0061330E">
        <w:rPr>
          <w:i/>
          <w:iCs/>
        </w:rPr>
        <w:t>Mandatory safety features shall not serve as grounds for dispensation from the specifications established by the thermal appliance manufacturer</w:t>
      </w:r>
      <w:r w:rsidRPr="0061330E">
        <w:t>.</w:t>
      </w:r>
    </w:p>
    <w:p w14:paraId="08EC3419" w14:textId="77777777" w:rsidR="008B5B04" w:rsidRPr="0061330E" w:rsidRDefault="008B5B04" w:rsidP="00FA4F9E">
      <w:pPr>
        <w:pStyle w:val="SingleTxtG"/>
        <w:rPr>
          <w:b/>
          <w:bCs/>
          <w:i/>
          <w:iCs/>
        </w:rPr>
      </w:pPr>
      <w:r w:rsidRPr="0061330E">
        <w:rPr>
          <w:b/>
          <w:bCs/>
          <w:i/>
          <w:iCs/>
        </w:rPr>
        <w:t>Provisions applicable by fitters of thermal appliances</w:t>
      </w:r>
    </w:p>
    <w:p w14:paraId="105963B4" w14:textId="77777777" w:rsidR="008B5B04" w:rsidRPr="0061330E" w:rsidRDefault="008B5B04" w:rsidP="00FA4F9E">
      <w:pPr>
        <w:pStyle w:val="SingleTxtG"/>
      </w:pPr>
      <w:r w:rsidRPr="0061330E">
        <w:rPr>
          <w:i/>
          <w:iCs/>
        </w:rPr>
        <w:t>The fitter of the thermal appliance should comply with the fitting instructions established by the manufacturer of the thermal appliance, which may be amended by the body manufacturer, in accordance with the provisions of the preceding paragraph</w:t>
      </w:r>
      <w:r w:rsidRPr="0061330E">
        <w:t>.</w:t>
      </w:r>
    </w:p>
    <w:p w14:paraId="0D9BEADE" w14:textId="77777777" w:rsidR="008B5B04" w:rsidRPr="0061330E" w:rsidRDefault="008B5B04" w:rsidP="00FA4F9E">
      <w:pPr>
        <w:pStyle w:val="SingleTxtG"/>
      </w:pPr>
      <w:r w:rsidRPr="0061330E">
        <w:rPr>
          <w:i/>
          <w:iCs/>
        </w:rPr>
        <w:t>Any other modifications should be formally validated by the thermal appliance manufacturer</w:t>
      </w:r>
      <w:r w:rsidRPr="0061330E">
        <w:t>.</w:t>
      </w:r>
    </w:p>
    <w:p w14:paraId="318DF81A" w14:textId="77777777" w:rsidR="008B5B04" w:rsidRPr="00F1327F" w:rsidRDefault="008B5B04" w:rsidP="00FA4F9E">
      <w:pPr>
        <w:pStyle w:val="SingleTxtG"/>
      </w:pPr>
      <w:r w:rsidRPr="0061330E">
        <w:rPr>
          <w:b/>
          <w:bCs/>
          <w:i/>
          <w:iCs/>
        </w:rPr>
        <w:t>Specific provisions applicable for fitting recessed thermal appliances (cases Nos. 1 to 3)</w:t>
      </w:r>
    </w:p>
    <w:p w14:paraId="2E73D2CA" w14:textId="77777777" w:rsidR="008B5B04" w:rsidRPr="0061330E" w:rsidRDefault="008B5B04" w:rsidP="00FA4F9E">
      <w:pPr>
        <w:pStyle w:val="SingleTxtG"/>
      </w:pPr>
      <w:r w:rsidRPr="0061330E">
        <w:rPr>
          <w:i/>
          <w:iCs/>
        </w:rPr>
        <w:t>Case No. 1</w:t>
      </w:r>
      <w:r w:rsidRPr="0061330E">
        <w:t>:</w:t>
      </w:r>
    </w:p>
    <w:p w14:paraId="2C6A64F4" w14:textId="77777777" w:rsidR="008B5B04" w:rsidRPr="0061330E" w:rsidRDefault="008B5B04" w:rsidP="00FA4F9E">
      <w:pPr>
        <w:pStyle w:val="SingleTxtG"/>
      </w:pPr>
      <w:r w:rsidRPr="0061330E">
        <w:rPr>
          <w:i/>
          <w:iCs/>
        </w:rPr>
        <w:t>The installation instructions should specify that</w:t>
      </w:r>
      <w:r w:rsidRPr="0061330E">
        <w:t>:</w:t>
      </w:r>
    </w:p>
    <w:p w14:paraId="08AFA8C1" w14:textId="57B8F3B9" w:rsidR="008B5B04" w:rsidRPr="0061330E" w:rsidRDefault="0017624C" w:rsidP="0017624C">
      <w:pPr>
        <w:pStyle w:val="Bullet1G"/>
        <w:numPr>
          <w:ilvl w:val="0"/>
          <w:numId w:val="0"/>
        </w:numPr>
        <w:tabs>
          <w:tab w:val="left" w:pos="1701"/>
        </w:tabs>
        <w:ind w:left="1701" w:hanging="170"/>
      </w:pPr>
      <w:r w:rsidRPr="0061330E">
        <w:t>•</w:t>
      </w:r>
      <w:r w:rsidRPr="0061330E">
        <w:tab/>
      </w:r>
      <w:r w:rsidR="008B5B04" w:rsidRPr="0061330E">
        <w:rPr>
          <w:i/>
          <w:iCs/>
        </w:rPr>
        <w:t>A minimum distance should be maintained between the walls of the recessed drip basin and the air inlet of the condenser</w:t>
      </w:r>
      <w:r w:rsidR="008B5B04" w:rsidRPr="0061330E">
        <w:t>;</w:t>
      </w:r>
    </w:p>
    <w:p w14:paraId="55E9ABDC" w14:textId="401744D8" w:rsidR="008B5B04" w:rsidRPr="0061330E" w:rsidRDefault="0017624C" w:rsidP="0017624C">
      <w:pPr>
        <w:pStyle w:val="Bullet1G"/>
        <w:numPr>
          <w:ilvl w:val="0"/>
          <w:numId w:val="0"/>
        </w:numPr>
        <w:tabs>
          <w:tab w:val="left" w:pos="1701"/>
        </w:tabs>
        <w:ind w:left="1701" w:hanging="170"/>
      </w:pPr>
      <w:r w:rsidRPr="0061330E">
        <w:t>•</w:t>
      </w:r>
      <w:r w:rsidRPr="0061330E">
        <w:tab/>
      </w:r>
      <w:r w:rsidR="008B5B04" w:rsidRPr="0061330E">
        <w:rPr>
          <w:i/>
          <w:iCs/>
        </w:rPr>
        <w:t>A maximum depth of the drip basin should be ensured. The drip basin should not be deeper than the maximum height of the unit</w:t>
      </w:r>
      <w:r w:rsidR="0061330E">
        <w:rPr>
          <w:i/>
          <w:iCs/>
        </w:rPr>
        <w:t>’</w:t>
      </w:r>
      <w:r w:rsidR="008B5B04" w:rsidRPr="0061330E">
        <w:rPr>
          <w:i/>
          <w:iCs/>
        </w:rPr>
        <w:t>s condenser</w:t>
      </w:r>
      <w:r w:rsidR="008B5B04" w:rsidRPr="0061330E">
        <w:t>.</w:t>
      </w:r>
    </w:p>
    <w:p w14:paraId="001E551D" w14:textId="576CE87B" w:rsidR="008B5B04" w:rsidRPr="0061330E" w:rsidRDefault="008B5B04" w:rsidP="00900CD6">
      <w:pPr>
        <w:pStyle w:val="SingleTxtG"/>
        <w:jc w:val="center"/>
      </w:pPr>
      <w:r w:rsidRPr="0061330E">
        <mc:AlternateContent>
          <mc:Choice Requires="wps">
            <w:drawing>
              <wp:anchor distT="0" distB="0" distL="114300" distR="114300" simplePos="0" relativeHeight="251659264" behindDoc="0" locked="0" layoutInCell="1" allowOverlap="1" wp14:anchorId="6BE3D224" wp14:editId="1E01ABD6">
                <wp:simplePos x="0" y="0"/>
                <wp:positionH relativeFrom="column">
                  <wp:posOffset>4431814</wp:posOffset>
                </wp:positionH>
                <wp:positionV relativeFrom="paragraph">
                  <wp:posOffset>1290017</wp:posOffset>
                </wp:positionV>
                <wp:extent cx="638808" cy="380362"/>
                <wp:effectExtent l="0" t="4127" r="0" b="4765"/>
                <wp:wrapNone/>
                <wp:docPr id="7" name="Zone de texte 8"/>
                <wp:cNvGraphicFramePr/>
                <a:graphic xmlns:a="http://schemas.openxmlformats.org/drawingml/2006/main">
                  <a:graphicData uri="http://schemas.microsoft.com/office/word/2010/wordprocessingShape">
                    <wps:wsp>
                      <wps:cNvSpPr txBox="1"/>
                      <wps:spPr>
                        <a:xfrm rot="5400013">
                          <a:off x="0" y="0"/>
                          <a:ext cx="638808" cy="380362"/>
                        </a:xfrm>
                        <a:prstGeom prst="rect">
                          <a:avLst/>
                        </a:prstGeom>
                        <a:noFill/>
                        <a:ln>
                          <a:noFill/>
                          <a:prstDash/>
                        </a:ln>
                      </wps:spPr>
                      <wps:txbx>
                        <w:txbxContent>
                          <w:p w14:paraId="1AF2F3ED" w14:textId="77777777" w:rsidR="008B5B04" w:rsidRDefault="008B5B04" w:rsidP="008B5B04">
                            <w:pPr>
                              <w:spacing w:before="120" w:after="240"/>
                              <w:jc w:val="both"/>
                            </w:pPr>
                            <w:r>
                              <w:rPr>
                                <w:b/>
                                <w:bCs/>
                              </w:rPr>
                              <w:t>Maximum depth</w:t>
                            </w:r>
                          </w:p>
                        </w:txbxContent>
                      </wps:txbx>
                      <wps:bodyPr vert="horz" wrap="square" lIns="45720" tIns="91440" rIns="45720" bIns="91440" anchor="t" anchorCtr="0" compatLnSpc="0">
                        <a:noAutofit/>
                      </wps:bodyPr>
                    </wps:wsp>
                  </a:graphicData>
                </a:graphic>
              </wp:anchor>
            </w:drawing>
          </mc:Choice>
          <mc:Fallback>
            <w:pict>
              <v:shapetype w14:anchorId="6BE3D224" id="_x0000_t202" coordsize="21600,21600" o:spt="202" path="m,l,21600r21600,l21600,xe">
                <v:stroke joinstyle="miter"/>
                <v:path gradientshapeok="t" o:connecttype="rect"/>
              </v:shapetype>
              <v:shape id="Zone de texte 8" o:spid="_x0000_s1026" type="#_x0000_t202" style="position:absolute;left:0;text-align:left;margin-left:348.95pt;margin-top:101.6pt;width:50.3pt;height:29.95pt;rotation:5898254fd;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" filled="f" stroked="f">
                <v:textbox inset="3.6pt,7.2pt,3.6pt,7.2pt">
                  <w:txbxContent>
                    <w:p w14:paraId="1AF2F3ED" w14:textId="77777777" w:rsidR="008B5B04" w:rsidRDefault="008B5B04" w:rsidP="008B5B04">
                      <w:pPr>
                        <w:spacing w:before="120" w:after="240"/>
                        <w:jc w:val="both"/>
                      </w:pPr>
                      <w:r>
                        <w:rPr>
                          <w:b/>
                          <w:bCs/>
                        </w:rPr>
                        <w:t>Maximum depth</w:t>
                      </w:r>
                    </w:p>
                  </w:txbxContent>
                </v:textbox>
              </v:shape>
            </w:pict>
          </mc:Fallback>
        </mc:AlternateContent>
      </w:r>
      <w:r w:rsidRPr="0061330E">
        <w:drawing>
          <wp:inline distT="0" distB="0" distL="0" distR="0" wp14:anchorId="4129F4DA" wp14:editId="1E26B133">
            <wp:extent cx="4585335" cy="1708150"/>
            <wp:effectExtent l="0" t="0" r="5715" b="6350"/>
            <wp:docPr id="8" name="Imag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4587083" cy="1708801"/>
                    </a:xfrm>
                    <a:prstGeom prst="rect">
                      <a:avLst/>
                    </a:prstGeom>
                    <a:noFill/>
                    <a:ln>
                      <a:noFill/>
                      <a:prstDash/>
                    </a:ln>
                  </pic:spPr>
                </pic:pic>
              </a:graphicData>
            </a:graphic>
          </wp:inline>
        </w:drawing>
      </w:r>
    </w:p>
    <w:p w14:paraId="26B3E179" w14:textId="77777777" w:rsidR="008B5B04" w:rsidRPr="0061330E" w:rsidRDefault="008B5B04" w:rsidP="00FA4F9E">
      <w:pPr>
        <w:pStyle w:val="SingleTxtG"/>
        <w:rPr>
          <w:i/>
          <w:iCs/>
        </w:rPr>
      </w:pPr>
      <w:r w:rsidRPr="0061330E">
        <w:rPr>
          <w:i/>
          <w:iCs/>
        </w:rPr>
        <w:t>Case No. 2</w:t>
      </w:r>
    </w:p>
    <w:p w14:paraId="5DDDB1AE" w14:textId="77777777" w:rsidR="008B5B04" w:rsidRPr="0061330E" w:rsidRDefault="008B5B04" w:rsidP="00FA4F9E">
      <w:pPr>
        <w:pStyle w:val="SingleTxtG"/>
      </w:pPr>
      <w:r w:rsidRPr="0061330E">
        <w:rPr>
          <w:i/>
          <w:iCs/>
        </w:rPr>
        <w:t>The installation instructions may specify that</w:t>
      </w:r>
      <w:r w:rsidRPr="0061330E">
        <w:t>:</w:t>
      </w:r>
    </w:p>
    <w:p w14:paraId="1CF63675" w14:textId="77777777" w:rsidR="008B5B04" w:rsidRPr="0061330E" w:rsidRDefault="008B5B04" w:rsidP="00FA4F9E">
      <w:pPr>
        <w:pStyle w:val="SingleTxtG"/>
      </w:pPr>
      <w:r w:rsidRPr="0061330E">
        <w:rPr>
          <w:i/>
          <w:iCs/>
        </w:rPr>
        <w:t>In addition to the conditions required for case No. 1, and in cases where a deflector has been added, a minimum free area should be ensured for the air flow at the inlet and outlet of the condenser. It should be specified that the unit and the cover should be installed so that they are flush</w:t>
      </w:r>
      <w:r w:rsidRPr="0061330E">
        <w:t>.</w:t>
      </w:r>
    </w:p>
    <w:p w14:paraId="2C93DC9B" w14:textId="77777777" w:rsidR="008B5B04" w:rsidRPr="0061330E" w:rsidRDefault="008B5B04" w:rsidP="004B4668">
      <w:pPr>
        <w:pStyle w:val="SingleTxtG"/>
        <w:keepNext/>
        <w:keepLines/>
        <w:rPr>
          <w:i/>
          <w:iCs/>
        </w:rPr>
      </w:pPr>
      <w:r w:rsidRPr="0061330E">
        <w:rPr>
          <w:i/>
          <w:iCs/>
        </w:rPr>
        <w:lastRenderedPageBreak/>
        <w:t>Case No. 3</w:t>
      </w:r>
    </w:p>
    <w:p w14:paraId="3F82DF54" w14:textId="77777777" w:rsidR="008B5B04" w:rsidRPr="0061330E" w:rsidRDefault="008B5B04" w:rsidP="004B4668">
      <w:pPr>
        <w:pStyle w:val="SingleTxtG"/>
        <w:keepNext/>
        <w:keepLines/>
      </w:pPr>
      <w:r w:rsidRPr="0061330E">
        <w:rPr>
          <w:i/>
          <w:iCs/>
        </w:rPr>
        <w:t>The installation instructions should specify that</w:t>
      </w:r>
      <w:r w:rsidRPr="0061330E">
        <w:t>:</w:t>
      </w:r>
    </w:p>
    <w:p w14:paraId="1ABE7C20" w14:textId="77777777" w:rsidR="008B5B04" w:rsidRPr="0061330E" w:rsidRDefault="008B5B04" w:rsidP="004B4668">
      <w:pPr>
        <w:pStyle w:val="SingleTxtG"/>
        <w:keepNext/>
        <w:keepLines/>
      </w:pPr>
      <w:r w:rsidRPr="0061330E">
        <w:rPr>
          <w:i/>
          <w:iCs/>
        </w:rPr>
        <w:t>The deflector may, if necessary, be cut to allow for the circulation of an air flow to and from the condenser. The minimum free area should be ensured to allow for the air flow in and out of the condenser</w:t>
      </w:r>
      <w:r w:rsidRPr="0061330E">
        <w:t>.</w:t>
      </w:r>
    </w:p>
    <w:p w14:paraId="18AC8C9A" w14:textId="77777777" w:rsidR="008B5B04" w:rsidRPr="0061330E" w:rsidRDefault="008B5B04" w:rsidP="004B4668">
      <w:pPr>
        <w:pStyle w:val="SingleTxtG"/>
        <w:keepNext/>
        <w:keepLines/>
        <w:jc w:val="center"/>
      </w:pPr>
      <w:r w:rsidRPr="0061330E">
        <w:drawing>
          <wp:inline distT="0" distB="0" distL="0" distR="0" wp14:anchorId="6C0DE891" wp14:editId="6C9FFDB5">
            <wp:extent cx="2316595" cy="1120322"/>
            <wp:effectExtent l="0" t="0" r="7505" b="3628"/>
            <wp:docPr id="9" name="Imag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l="31824" r="19677" b="68724"/>
                    <a:stretch>
                      <a:fillRect/>
                    </a:stretch>
                  </pic:blipFill>
                  <pic:spPr>
                    <a:xfrm>
                      <a:off x="0" y="0"/>
                      <a:ext cx="2316595" cy="1120322"/>
                    </a:xfrm>
                    <a:prstGeom prst="rect">
                      <a:avLst/>
                    </a:prstGeom>
                    <a:noFill/>
                    <a:ln>
                      <a:noFill/>
                      <a:prstDash/>
                    </a:ln>
                  </pic:spPr>
                </pic:pic>
              </a:graphicData>
            </a:graphic>
          </wp:inline>
        </w:drawing>
      </w:r>
    </w:p>
    <w:p w14:paraId="7FE63C19" w14:textId="77777777" w:rsidR="008B5B04" w:rsidRPr="0061330E" w:rsidRDefault="008B5B04" w:rsidP="00900CD6">
      <w:pPr>
        <w:pStyle w:val="HChG"/>
      </w:pPr>
      <w:r w:rsidRPr="0061330E">
        <w:tab/>
        <w:t>II.</w:t>
      </w:r>
      <w:r w:rsidRPr="0061330E">
        <w:tab/>
        <w:t>Impact</w:t>
      </w:r>
    </w:p>
    <w:p w14:paraId="3E9C872A" w14:textId="2070D35E" w:rsidR="008B5B04" w:rsidRPr="0061330E" w:rsidRDefault="008B5B04" w:rsidP="00FA4F9E">
      <w:pPr>
        <w:pStyle w:val="SingleTxtG"/>
      </w:pPr>
      <w:r w:rsidRPr="0061330E">
        <w:t>5.</w:t>
      </w:r>
      <w:r w:rsidRPr="0061330E">
        <w:tab/>
        <w:t>This amendment specifies the good practices to be followed in the design of equipment equipped with such appliances.</w:t>
      </w:r>
    </w:p>
    <w:p w14:paraId="23699125" w14:textId="78EECAE7" w:rsidR="00900CD6" w:rsidRPr="0061330E" w:rsidRDefault="00900CD6" w:rsidP="00900CD6">
      <w:pPr>
        <w:spacing w:before="240"/>
        <w:jc w:val="center"/>
      </w:pPr>
      <w:r w:rsidRPr="0061330E">
        <w:rPr>
          <w:u w:val="single"/>
        </w:rPr>
        <w:tab/>
      </w:r>
      <w:r w:rsidRPr="0061330E">
        <w:rPr>
          <w:u w:val="single"/>
        </w:rPr>
        <w:tab/>
      </w:r>
      <w:r w:rsidRPr="0061330E">
        <w:rPr>
          <w:u w:val="single"/>
        </w:rPr>
        <w:tab/>
      </w:r>
    </w:p>
    <w:sectPr w:rsidR="00900CD6" w:rsidRPr="0061330E" w:rsidSect="00587690">
      <w:headerReference w:type="even" r:id="rId15"/>
      <w:headerReference w:type="default" r:id="rId16"/>
      <w:footerReference w:type="even" r:id="rId17"/>
      <w:footerReference w:type="default" r:id="rId18"/>
      <w:footerReference w:type="first" r:id="rId19"/>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00567" w14:textId="77777777" w:rsidR="00D82961" w:rsidRPr="00FB1744" w:rsidRDefault="00D82961" w:rsidP="00FB1744">
      <w:pPr>
        <w:pStyle w:val="Footer"/>
      </w:pPr>
    </w:p>
  </w:endnote>
  <w:endnote w:type="continuationSeparator" w:id="0">
    <w:p w14:paraId="4CFD2F19" w14:textId="77777777" w:rsidR="00D82961" w:rsidRPr="00FB1744" w:rsidRDefault="00D82961"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71764" w14:textId="77777777" w:rsidR="00272374" w:rsidRDefault="00272374" w:rsidP="00272374">
    <w:pPr>
      <w:pStyle w:val="Footer"/>
      <w:tabs>
        <w:tab w:val="right" w:pos="9638"/>
      </w:tabs>
    </w:pPr>
    <w:r w:rsidRPr="00272374">
      <w:rPr>
        <w:b/>
        <w:bCs/>
        <w:sz w:val="18"/>
      </w:rPr>
      <w:fldChar w:fldCharType="begin"/>
    </w:r>
    <w:r w:rsidRPr="00272374">
      <w:rPr>
        <w:b/>
        <w:bCs/>
        <w:sz w:val="18"/>
      </w:rPr>
      <w:instrText xml:space="preserve"> PAGE  \* MERGEFORMAT </w:instrText>
    </w:r>
    <w:r w:rsidRPr="00272374">
      <w:rPr>
        <w:b/>
        <w:bCs/>
        <w:sz w:val="18"/>
      </w:rPr>
      <w:fldChar w:fldCharType="separate"/>
    </w:r>
    <w:r w:rsidRPr="00272374">
      <w:rPr>
        <w:b/>
        <w:bCs/>
        <w:noProof/>
        <w:sz w:val="18"/>
      </w:rPr>
      <w:t>2</w:t>
    </w:r>
    <w:r w:rsidRPr="00272374">
      <w:rPr>
        <w:b/>
        <w:bCs/>
        <w:sz w:val="18"/>
      </w:rPr>
      <w:fldChar w:fldCharType="end"/>
    </w:r>
    <w:r>
      <w:tab/>
      <w:t>GE.22-12207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6B65" w14:textId="77777777" w:rsidR="00272374" w:rsidRDefault="00272374" w:rsidP="00272374">
    <w:pPr>
      <w:pStyle w:val="Footer"/>
      <w:tabs>
        <w:tab w:val="right" w:pos="9638"/>
      </w:tabs>
    </w:pPr>
    <w:r>
      <w:t>GE.22-12207</w:t>
    </w:r>
    <w:r>
      <w:tab/>
    </w:r>
    <w:r w:rsidRPr="00272374">
      <w:rPr>
        <w:b/>
        <w:bCs/>
        <w:sz w:val="18"/>
      </w:rPr>
      <w:fldChar w:fldCharType="begin"/>
    </w:r>
    <w:r w:rsidRPr="00272374">
      <w:rPr>
        <w:b/>
        <w:bCs/>
        <w:sz w:val="18"/>
      </w:rPr>
      <w:instrText xml:space="preserve"> PAGE  \* MERGEFORMAT </w:instrText>
    </w:r>
    <w:r w:rsidRPr="00272374">
      <w:rPr>
        <w:b/>
        <w:bCs/>
        <w:sz w:val="18"/>
      </w:rPr>
      <w:fldChar w:fldCharType="separate"/>
    </w:r>
    <w:r w:rsidRPr="00272374">
      <w:rPr>
        <w:b/>
        <w:bCs/>
        <w:noProof/>
        <w:sz w:val="18"/>
      </w:rPr>
      <w:t>3</w:t>
    </w:r>
    <w:r w:rsidRPr="0027237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482C" w14:textId="5730131A" w:rsidR="00272374" w:rsidRPr="00272374" w:rsidRDefault="00272374" w:rsidP="00A3317D">
    <w:pPr>
      <w:pStyle w:val="Footer"/>
      <w:rPr>
        <w:sz w:val="20"/>
      </w:rPr>
    </w:pPr>
    <w:r w:rsidRPr="0027112F">
      <w:rPr>
        <w:noProof/>
        <w:lang w:val="en-US"/>
      </w:rPr>
      <w:drawing>
        <wp:anchor distT="0" distB="0" distL="114300" distR="114300" simplePos="0" relativeHeight="251659264" behindDoc="0" locked="1" layoutInCell="1" allowOverlap="1" wp14:anchorId="7311C912" wp14:editId="0C5BBED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GE.22-12207  (E)</w:t>
    </w:r>
    <w:r>
      <w:rPr>
        <w:noProof/>
        <w:sz w:val="20"/>
      </w:rPr>
      <w:drawing>
        <wp:anchor distT="0" distB="0" distL="114300" distR="114300" simplePos="0" relativeHeight="251660288" behindDoc="0" locked="0" layoutInCell="1" allowOverlap="1" wp14:anchorId="36B5D98F" wp14:editId="79682268">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3317D">
      <w:rPr>
        <w:sz w:val="20"/>
      </w:rPr>
      <w:t xml:space="preserve">    260922    260922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75C14" w14:textId="77777777" w:rsidR="00D82961" w:rsidRPr="00FB1744" w:rsidRDefault="00D82961" w:rsidP="00FB1744">
      <w:pPr>
        <w:tabs>
          <w:tab w:val="right" w:pos="2155"/>
        </w:tabs>
        <w:spacing w:after="80" w:line="240" w:lineRule="auto"/>
        <w:ind w:left="680"/>
      </w:pPr>
      <w:r>
        <w:rPr>
          <w:u w:val="single"/>
        </w:rPr>
        <w:tab/>
      </w:r>
    </w:p>
  </w:footnote>
  <w:footnote w:type="continuationSeparator" w:id="0">
    <w:p w14:paraId="68DB9D9C" w14:textId="77777777" w:rsidR="00D82961" w:rsidRPr="00FB1744" w:rsidRDefault="00D82961"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F966" w14:textId="77777777" w:rsidR="00272374" w:rsidRDefault="00272374" w:rsidP="00272374">
    <w:pPr>
      <w:pStyle w:val="Header"/>
    </w:pPr>
    <w:r>
      <w:t>ECE/TRANS/WP.11/2021/12/Rev.2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55F9" w14:textId="77777777" w:rsidR="00272374" w:rsidRDefault="00272374" w:rsidP="00272374">
    <w:pPr>
      <w:pStyle w:val="Header"/>
      <w:jc w:val="right"/>
    </w:pPr>
    <w:r>
      <w:t>ECE/TRANS/WP.11/2021/12/Rev.2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D82961"/>
    <w:rsid w:val="00046E92"/>
    <w:rsid w:val="000D1B89"/>
    <w:rsid w:val="000F6E29"/>
    <w:rsid w:val="001170DC"/>
    <w:rsid w:val="0017624C"/>
    <w:rsid w:val="00247E2C"/>
    <w:rsid w:val="00272374"/>
    <w:rsid w:val="002D6C53"/>
    <w:rsid w:val="002F5595"/>
    <w:rsid w:val="0032230C"/>
    <w:rsid w:val="00334F6A"/>
    <w:rsid w:val="00342AC8"/>
    <w:rsid w:val="003B4550"/>
    <w:rsid w:val="0043448D"/>
    <w:rsid w:val="00461253"/>
    <w:rsid w:val="004B4668"/>
    <w:rsid w:val="004F04F8"/>
    <w:rsid w:val="005042C2"/>
    <w:rsid w:val="00506C12"/>
    <w:rsid w:val="0056599A"/>
    <w:rsid w:val="00585AE1"/>
    <w:rsid w:val="00587690"/>
    <w:rsid w:val="0061330E"/>
    <w:rsid w:val="00671529"/>
    <w:rsid w:val="006A5598"/>
    <w:rsid w:val="00717266"/>
    <w:rsid w:val="007268F9"/>
    <w:rsid w:val="007C52B0"/>
    <w:rsid w:val="008B5B04"/>
    <w:rsid w:val="00900CD6"/>
    <w:rsid w:val="009411B4"/>
    <w:rsid w:val="00951D14"/>
    <w:rsid w:val="009D0139"/>
    <w:rsid w:val="009F5CDC"/>
    <w:rsid w:val="00A3317D"/>
    <w:rsid w:val="00A429CD"/>
    <w:rsid w:val="00A775CF"/>
    <w:rsid w:val="00AB3C7E"/>
    <w:rsid w:val="00B06045"/>
    <w:rsid w:val="00C35A27"/>
    <w:rsid w:val="00C448F7"/>
    <w:rsid w:val="00CB5D33"/>
    <w:rsid w:val="00D82961"/>
    <w:rsid w:val="00D8728C"/>
    <w:rsid w:val="00E02C2B"/>
    <w:rsid w:val="00E665C4"/>
    <w:rsid w:val="00E929D6"/>
    <w:rsid w:val="00ED6C48"/>
    <w:rsid w:val="00EF76C5"/>
    <w:rsid w:val="00F1327F"/>
    <w:rsid w:val="00F65F5D"/>
    <w:rsid w:val="00F86A3A"/>
    <w:rsid w:val="00FA4F9E"/>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B4F5A"/>
  <w15:docId w15:val="{699A1C07-71EF-4589-9DAC-DE46B3FC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paragraph" w:customStyle="1" w:styleId="Standard">
    <w:name w:val="Standard"/>
    <w:rsid w:val="00CB5D33"/>
    <w:pPr>
      <w:suppressAutoHyphens/>
      <w:autoSpaceDN w:val="0"/>
      <w:snapToGrid w:val="0"/>
      <w:spacing w:after="0" w:line="240" w:lineRule="atLeast"/>
    </w:pPr>
    <w:rPr>
      <w:rFonts w:ascii="Times New Roman" w:eastAsia="Times New Roman" w:hAnsi="Times New Roman" w:cs="Times New Roman"/>
      <w:kern w:val="3"/>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3.xml"/><Relationship Id="rId10" Type="http://schemas.openxmlformats.org/officeDocument/2006/relationships/image" Target="media/image3.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356C9318-42A0-4A3F-9812-3BF3560BFA3B}"/>
</file>

<file path=customXml/itemProps3.xml><?xml version="1.0" encoding="utf-8"?>
<ds:datastoreItem xmlns:ds="http://schemas.openxmlformats.org/officeDocument/2006/customXml" ds:itemID="{33FF8828-8451-4212-9C11-06B170606EC2}"/>
</file>

<file path=docProps/app.xml><?xml version="1.0" encoding="utf-8"?>
<Properties xmlns="http://schemas.openxmlformats.org/officeDocument/2006/extended-properties" xmlns:vt="http://schemas.openxmlformats.org/officeDocument/2006/docPropsVTypes">
  <Template>CESCR.dotm</Template>
  <TotalTime>0</TotalTime>
  <Pages>4</Pages>
  <Words>746</Words>
  <Characters>3971</Characters>
  <Application>Microsoft Office Word</Application>
  <DocSecurity>0</DocSecurity>
  <Lines>94</Lines>
  <Paragraphs>54</Paragraphs>
  <ScaleCrop>false</ScaleCrop>
  <HeadingPairs>
    <vt:vector size="2" baseType="variant">
      <vt:variant>
        <vt:lpstr>Title</vt:lpstr>
      </vt:variant>
      <vt:variant>
        <vt:i4>1</vt:i4>
      </vt:variant>
    </vt:vector>
  </HeadingPairs>
  <TitlesOfParts>
    <vt:vector size="1" baseType="lpstr">
      <vt:lpstr>ECE/TRANS/WP.11/2021/12/Rev.2</vt:lpstr>
    </vt:vector>
  </TitlesOfParts>
  <Company>DCM</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ECE/TRANS/WP.11/2021/12/Rev.2</dc:title>
  <dc:subject>2212207</dc:subject>
  <dc:creator>Giltsoff</dc:creator>
  <cp:keywords/>
  <dc:description/>
  <cp:lastModifiedBy>Una Giltsoff</cp:lastModifiedBy>
  <cp:revision>2</cp:revision>
  <dcterms:created xsi:type="dcterms:W3CDTF">2022-09-26T09:40:00Z</dcterms:created>
  <dcterms:modified xsi:type="dcterms:W3CDTF">2022-09-26T09:40:00Z</dcterms:modified>
</cp:coreProperties>
</file>