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3291AD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8197A31" w14:textId="77777777" w:rsidR="00F35BAF" w:rsidRPr="00DB58B5" w:rsidRDefault="00F35BAF" w:rsidP="009D749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718D1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3E2BF4" w14:textId="3A07999B" w:rsidR="00F35BAF" w:rsidRPr="00DB58B5" w:rsidRDefault="009D749A" w:rsidP="009D749A">
            <w:pPr>
              <w:jc w:val="right"/>
            </w:pPr>
            <w:r w:rsidRPr="009D749A">
              <w:rPr>
                <w:sz w:val="40"/>
              </w:rPr>
              <w:t>ECE</w:t>
            </w:r>
            <w:r>
              <w:t>/TRANS/WP</w:t>
            </w:r>
            <w:r w:rsidR="003E7F2A" w:rsidRPr="003E7F2A">
              <w:t>.</w:t>
            </w:r>
            <w:r>
              <w:t>29/GRE/2022/19</w:t>
            </w:r>
          </w:p>
        </w:tc>
      </w:tr>
      <w:tr w:rsidR="00F35BAF" w:rsidRPr="00DB58B5" w14:paraId="619506E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AF8676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ADC70CC" wp14:editId="05E031D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A4A3F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2190DF" w14:textId="224BE86C" w:rsidR="00F35BAF" w:rsidRDefault="009D749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3E7F2A" w:rsidRPr="003E7F2A">
              <w:t>.</w:t>
            </w:r>
            <w:r>
              <w:t xml:space="preserve"> générale</w:t>
            </w:r>
          </w:p>
          <w:p w14:paraId="4B16265F" w14:textId="77777777" w:rsidR="009D749A" w:rsidRDefault="009D749A" w:rsidP="009D749A">
            <w:pPr>
              <w:spacing w:line="240" w:lineRule="exact"/>
            </w:pPr>
            <w:r>
              <w:t>27 juillet 2022</w:t>
            </w:r>
          </w:p>
          <w:p w14:paraId="47AECD14" w14:textId="77777777" w:rsidR="009D749A" w:rsidRDefault="009D749A" w:rsidP="009D749A">
            <w:pPr>
              <w:spacing w:line="240" w:lineRule="exact"/>
            </w:pPr>
            <w:r>
              <w:t>Français</w:t>
            </w:r>
          </w:p>
          <w:p w14:paraId="65329BEF" w14:textId="1153367C" w:rsidR="009D749A" w:rsidRPr="00DB58B5" w:rsidRDefault="009D749A" w:rsidP="009D749A">
            <w:pPr>
              <w:spacing w:line="240" w:lineRule="exact"/>
            </w:pPr>
            <w:r>
              <w:t>Original : anglais</w:t>
            </w:r>
          </w:p>
        </w:tc>
      </w:tr>
    </w:tbl>
    <w:p w14:paraId="2D37898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6A44BF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5BAEB46" w14:textId="76668DA1" w:rsidR="00FB5F84" w:rsidRPr="00FB5F84" w:rsidRDefault="00FB5F84" w:rsidP="00FB5F84">
      <w:pPr>
        <w:spacing w:before="120"/>
        <w:rPr>
          <w:b/>
          <w:sz w:val="24"/>
          <w:szCs w:val="24"/>
          <w:lang w:val="fr-FR"/>
        </w:rPr>
      </w:pPr>
      <w:r w:rsidRPr="00FB5F84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FB5F84">
        <w:rPr>
          <w:b/>
          <w:bCs/>
          <w:sz w:val="24"/>
          <w:szCs w:val="24"/>
          <w:lang w:val="fr-FR"/>
        </w:rPr>
        <w:t>des Règlements concernant les véhicules</w:t>
      </w:r>
    </w:p>
    <w:p w14:paraId="2EE0A556" w14:textId="57544C0D" w:rsidR="00FB5F84" w:rsidRPr="004C7FA9" w:rsidRDefault="00FB5F84" w:rsidP="00FB5F84">
      <w:pPr>
        <w:spacing w:before="120" w:after="120"/>
        <w:rPr>
          <w:b/>
          <w:lang w:val="fr-FR"/>
        </w:rPr>
      </w:pPr>
      <w:r>
        <w:rPr>
          <w:b/>
          <w:bCs/>
          <w:lang w:val="fr-FR"/>
        </w:rPr>
        <w:t xml:space="preserve">Groupe de travail de l’éclairage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de la signalisation lumineuse</w:t>
      </w:r>
    </w:p>
    <w:p w14:paraId="7B33A3F6" w14:textId="77777777" w:rsidR="00FB5F84" w:rsidRPr="004C7FA9" w:rsidRDefault="00FB5F84" w:rsidP="00FB5F84">
      <w:pPr>
        <w:rPr>
          <w:b/>
          <w:lang w:val="fr-FR"/>
        </w:rPr>
      </w:pPr>
      <w:r>
        <w:rPr>
          <w:b/>
          <w:bCs/>
          <w:lang w:val="fr-FR"/>
        </w:rPr>
        <w:t>Quatre-vingt-septième session</w:t>
      </w:r>
    </w:p>
    <w:p w14:paraId="07261EC3" w14:textId="77777777" w:rsidR="00FB5F84" w:rsidRPr="004C7FA9" w:rsidRDefault="00FB5F84" w:rsidP="00FB5F84">
      <w:pPr>
        <w:rPr>
          <w:bCs/>
          <w:lang w:val="fr-FR"/>
        </w:rPr>
      </w:pPr>
      <w:r>
        <w:rPr>
          <w:lang w:val="fr-FR"/>
        </w:rPr>
        <w:t>Genève, 25-28 octobre 2022</w:t>
      </w:r>
    </w:p>
    <w:p w14:paraId="5C76E532" w14:textId="77777777" w:rsidR="00FB5F84" w:rsidRPr="004C7FA9" w:rsidRDefault="00FB5F84" w:rsidP="00FB5F84">
      <w:pPr>
        <w:ind w:right="1134"/>
        <w:rPr>
          <w:bCs/>
          <w:lang w:val="fr-FR"/>
        </w:rPr>
      </w:pPr>
      <w:r>
        <w:rPr>
          <w:lang w:val="fr-FR"/>
        </w:rPr>
        <w:t>Point 6 a) de l’ordre du jour provisoire</w:t>
      </w:r>
    </w:p>
    <w:p w14:paraId="58439E82" w14:textId="77777777" w:rsidR="00FB5F84" w:rsidRPr="004C7FA9" w:rsidRDefault="00FB5F84" w:rsidP="00FB5F84">
      <w:pPr>
        <w:ind w:right="1467"/>
        <w:jc w:val="both"/>
        <w:rPr>
          <w:b/>
          <w:bCs/>
          <w:lang w:val="fr-FR"/>
        </w:rPr>
      </w:pPr>
      <w:r>
        <w:rPr>
          <w:b/>
          <w:bCs/>
          <w:lang w:val="fr-FR"/>
        </w:rPr>
        <w:t>Règlements ONU concernant l’installation :</w:t>
      </w:r>
    </w:p>
    <w:p w14:paraId="3524B7EB" w14:textId="2BD35E98" w:rsidR="00FB5F84" w:rsidRPr="004C7FA9" w:rsidRDefault="00FB5F84" w:rsidP="00FB5F84">
      <w:pPr>
        <w:ind w:right="1467"/>
        <w:rPr>
          <w:b/>
          <w:bCs/>
          <w:lang w:val="fr-FR"/>
        </w:rPr>
      </w:pPr>
      <w:r>
        <w:rPr>
          <w:b/>
          <w:bCs/>
          <w:lang w:val="fr-FR"/>
        </w:rPr>
        <w:t>Règlement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 48 (Installation des dispositifs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d’éclairage et de signalisation lumineuse)</w:t>
      </w:r>
    </w:p>
    <w:p w14:paraId="5CB09247" w14:textId="77777777" w:rsidR="00FB5F84" w:rsidRPr="004C7FA9" w:rsidRDefault="00FB5F84" w:rsidP="00FB5F8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de complément aux séries 03, 04, 05, 06, 07 et 08 d’amendements au Règlement ONU n</w:t>
      </w:r>
      <w:r>
        <w:rPr>
          <w:bCs/>
          <w:vertAlign w:val="superscript"/>
          <w:lang w:val="fr-FR"/>
        </w:rPr>
        <w:t>o</w:t>
      </w:r>
      <w:r>
        <w:rPr>
          <w:bCs/>
          <w:lang w:val="fr-FR"/>
        </w:rPr>
        <w:t xml:space="preserve"> 48</w:t>
      </w:r>
    </w:p>
    <w:p w14:paraId="7CE89ACF" w14:textId="228B3CE5" w:rsidR="00FB5F84" w:rsidRPr="004C7FA9" w:rsidRDefault="00FB5F84" w:rsidP="00FB5F84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Communication des experts du Groupe de travail « Bruxelles 1952 »</w:t>
      </w:r>
      <w:r w:rsidRPr="00FB5F84">
        <w:rPr>
          <w:b w:val="0"/>
          <w:bCs/>
          <w:szCs w:val="24"/>
          <w:lang w:val="fr-FR"/>
        </w:rPr>
        <w:footnoteReference w:customMarkFollows="1" w:id="2"/>
        <w:t>*</w:t>
      </w:r>
    </w:p>
    <w:p w14:paraId="08BD86E2" w14:textId="4DC5E74B" w:rsidR="00F9573C" w:rsidRDefault="00FB5F84" w:rsidP="00FB5F84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présent document, établi par les experts du Groupe de travail « Bruxelles 1952 » (GTB), vise à préciser et normaliser l’utilisation des feux de position latéraux clignotants sur tous les types de véhicules</w:t>
      </w:r>
      <w:r w:rsidR="003E7F2A" w:rsidRPr="003E7F2A">
        <w:rPr>
          <w:lang w:val="fr-FR"/>
        </w:rPr>
        <w:t>.</w:t>
      </w:r>
      <w:r>
        <w:rPr>
          <w:lang w:val="fr-FR"/>
        </w:rPr>
        <w:t xml:space="preserve"> Les modifications qu’il est proposé d’apporter au texte actuel du Règlement ONU figurent en caractères gras pour les ajouts et biffés pour les suppressions</w:t>
      </w:r>
      <w:r w:rsidR="003E7F2A" w:rsidRPr="003E7F2A">
        <w:rPr>
          <w:lang w:val="fr-FR"/>
        </w:rPr>
        <w:t>.</w:t>
      </w:r>
    </w:p>
    <w:p w14:paraId="27251F50" w14:textId="562F0EBC" w:rsidR="00FB5F84" w:rsidRDefault="00FB5F84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5923ECD2" w14:textId="0BDCEF85" w:rsidR="00FB5F84" w:rsidRPr="004C7FA9" w:rsidRDefault="00FB5F84" w:rsidP="00FB5F84">
      <w:pPr>
        <w:pStyle w:val="HChG"/>
        <w:rPr>
          <w:lang w:val="fr-FR"/>
        </w:rPr>
      </w:pPr>
      <w:r>
        <w:rPr>
          <w:bCs/>
          <w:lang w:val="fr-FR"/>
        </w:rPr>
        <w:lastRenderedPageBreak/>
        <w:tab/>
        <w:t>I</w:t>
      </w:r>
      <w:r w:rsidR="003E7F2A" w:rsidRPr="003E7F2A">
        <w:rPr>
          <w:bCs/>
          <w:lang w:val="fr-FR"/>
        </w:rPr>
        <w:t>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52411A44" w14:textId="22BF827B" w:rsidR="00FB5F84" w:rsidRPr="004C7FA9" w:rsidRDefault="00FB5F84" w:rsidP="00FB5F84">
      <w:pPr>
        <w:pStyle w:val="HChG"/>
        <w:spacing w:before="0" w:after="120"/>
        <w:ind w:left="2268"/>
        <w:rPr>
          <w:b w:val="0"/>
          <w:sz w:val="14"/>
          <w:szCs w:val="14"/>
          <w:lang w:val="fr-FR"/>
        </w:rPr>
      </w:pPr>
      <w:r w:rsidRPr="004C7FA9">
        <w:rPr>
          <w:b w:val="0"/>
          <w:i/>
          <w:iCs/>
          <w:sz w:val="20"/>
          <w:szCs w:val="14"/>
          <w:lang w:val="fr-FR"/>
        </w:rPr>
        <w:t>Paragraphe 6</w:t>
      </w:r>
      <w:r w:rsidR="003E7F2A" w:rsidRPr="003E7F2A">
        <w:rPr>
          <w:b w:val="0"/>
          <w:i/>
          <w:iCs/>
          <w:sz w:val="20"/>
          <w:szCs w:val="14"/>
          <w:lang w:val="fr-FR"/>
        </w:rPr>
        <w:t>.</w:t>
      </w:r>
      <w:r w:rsidRPr="004C7FA9">
        <w:rPr>
          <w:b w:val="0"/>
          <w:i/>
          <w:iCs/>
          <w:sz w:val="20"/>
          <w:szCs w:val="14"/>
          <w:lang w:val="fr-FR"/>
        </w:rPr>
        <w:t>18</w:t>
      </w:r>
      <w:r w:rsidR="003E7F2A" w:rsidRPr="003E7F2A">
        <w:rPr>
          <w:b w:val="0"/>
          <w:i/>
          <w:iCs/>
          <w:sz w:val="20"/>
          <w:szCs w:val="14"/>
          <w:lang w:val="fr-FR"/>
        </w:rPr>
        <w:t>.</w:t>
      </w:r>
      <w:r w:rsidRPr="004C7FA9">
        <w:rPr>
          <w:b w:val="0"/>
          <w:i/>
          <w:iCs/>
          <w:sz w:val="20"/>
          <w:szCs w:val="14"/>
          <w:lang w:val="fr-FR"/>
        </w:rPr>
        <w:t>7</w:t>
      </w:r>
      <w:r w:rsidRPr="004C7FA9">
        <w:rPr>
          <w:b w:val="0"/>
          <w:sz w:val="20"/>
          <w:szCs w:val="14"/>
          <w:lang w:val="fr-FR"/>
        </w:rPr>
        <w:t>, lire :</w:t>
      </w:r>
    </w:p>
    <w:p w14:paraId="269984B6" w14:textId="2690BB5F" w:rsidR="00FB5F84" w:rsidRPr="004C7FA9" w:rsidRDefault="00FB5F84" w:rsidP="00FB5F84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6</w:t>
      </w:r>
      <w:r w:rsidR="003E7F2A" w:rsidRPr="003E7F2A">
        <w:rPr>
          <w:lang w:val="fr-FR"/>
        </w:rPr>
        <w:t>.</w:t>
      </w:r>
      <w:r>
        <w:rPr>
          <w:lang w:val="fr-FR"/>
        </w:rPr>
        <w:t>18</w:t>
      </w:r>
      <w:r w:rsidR="003E7F2A" w:rsidRPr="003E7F2A">
        <w:rPr>
          <w:lang w:val="fr-FR"/>
        </w:rPr>
        <w:t>.</w:t>
      </w:r>
      <w:r>
        <w:rPr>
          <w:lang w:val="fr-FR"/>
        </w:rPr>
        <w:t>7</w:t>
      </w:r>
      <w:r>
        <w:rPr>
          <w:lang w:val="fr-FR"/>
        </w:rPr>
        <w:tab/>
        <w:t>Branchements électriques</w:t>
      </w:r>
    </w:p>
    <w:p w14:paraId="6A850412" w14:textId="1C972585" w:rsidR="00FB5F84" w:rsidRPr="004C7FA9" w:rsidRDefault="00FB5F84" w:rsidP="00FB5F84">
      <w:pPr>
        <w:spacing w:after="120"/>
        <w:ind w:left="2268" w:right="1134"/>
        <w:jc w:val="both"/>
        <w:rPr>
          <w:strike/>
          <w:lang w:val="fr-FR"/>
        </w:rPr>
      </w:pPr>
      <w:r>
        <w:rPr>
          <w:strike/>
          <w:lang w:val="fr-FR"/>
        </w:rPr>
        <w:t>Sur les véhicules des catégories M</w:t>
      </w:r>
      <w:r>
        <w:rPr>
          <w:strike/>
          <w:vertAlign w:val="subscript"/>
          <w:lang w:val="fr-FR"/>
        </w:rPr>
        <w:t>1</w:t>
      </w:r>
      <w:r>
        <w:rPr>
          <w:strike/>
          <w:lang w:val="fr-FR"/>
        </w:rPr>
        <w:t xml:space="preserve"> et N</w:t>
      </w:r>
      <w:r>
        <w:rPr>
          <w:strike/>
          <w:vertAlign w:val="subscript"/>
          <w:lang w:val="fr-FR"/>
        </w:rPr>
        <w:t>1</w:t>
      </w:r>
      <w:r>
        <w:rPr>
          <w:strike/>
          <w:lang w:val="fr-FR"/>
        </w:rPr>
        <w:t xml:space="preserve"> de moins de 6 m de long, les feux de position latéraux jaune-auto peuvent être montés de façon à clignoter, à condition qu’ils clignotent en phase avec les feux indicateurs de direction situés du même côté du véhicule et à la même fréquence qu’eux</w:t>
      </w:r>
      <w:r w:rsidR="003E7F2A" w:rsidRPr="003E7F2A">
        <w:rPr>
          <w:strike/>
          <w:lang w:val="fr-FR"/>
        </w:rPr>
        <w:t>.</w:t>
      </w:r>
    </w:p>
    <w:p w14:paraId="0BFA0B19" w14:textId="78EB970E" w:rsidR="00FB5F84" w:rsidRPr="004C7FA9" w:rsidRDefault="00FB5F84" w:rsidP="00FB5F84">
      <w:pPr>
        <w:spacing w:after="120"/>
        <w:ind w:left="2268" w:right="1134"/>
        <w:jc w:val="both"/>
        <w:rPr>
          <w:i/>
          <w:iCs/>
          <w:lang w:val="fr-FR"/>
        </w:rPr>
      </w:pPr>
      <w:r>
        <w:rPr>
          <w:strike/>
          <w:lang w:val="fr-FR"/>
        </w:rPr>
        <w:t>Sur les véhicules des catégories M</w:t>
      </w:r>
      <w:r>
        <w:rPr>
          <w:strike/>
          <w:vertAlign w:val="subscript"/>
          <w:lang w:val="fr-FR"/>
        </w:rPr>
        <w:t>2</w:t>
      </w:r>
      <w:r>
        <w:rPr>
          <w:strike/>
          <w:lang w:val="fr-FR"/>
        </w:rPr>
        <w:t>, M</w:t>
      </w:r>
      <w:r>
        <w:rPr>
          <w:strike/>
          <w:vertAlign w:val="subscript"/>
          <w:lang w:val="fr-FR"/>
        </w:rPr>
        <w:t>3</w:t>
      </w:r>
      <w:r>
        <w:rPr>
          <w:strike/>
          <w:lang w:val="fr-FR"/>
        </w:rPr>
        <w:t>, N</w:t>
      </w:r>
      <w:r>
        <w:rPr>
          <w:strike/>
          <w:vertAlign w:val="subscript"/>
          <w:lang w:val="fr-FR"/>
        </w:rPr>
        <w:t>2</w:t>
      </w:r>
      <w:r>
        <w:rPr>
          <w:strike/>
          <w:lang w:val="fr-FR"/>
        </w:rPr>
        <w:t>, N</w:t>
      </w:r>
      <w:r>
        <w:rPr>
          <w:strike/>
          <w:vertAlign w:val="subscript"/>
          <w:lang w:val="fr-FR"/>
        </w:rPr>
        <w:t>3</w:t>
      </w:r>
      <w:r>
        <w:rPr>
          <w:strike/>
          <w:lang w:val="fr-FR"/>
        </w:rPr>
        <w:t>, O</w:t>
      </w:r>
      <w:r>
        <w:rPr>
          <w:strike/>
          <w:vertAlign w:val="subscript"/>
          <w:lang w:val="fr-FR"/>
        </w:rPr>
        <w:t>3</w:t>
      </w:r>
      <w:r>
        <w:rPr>
          <w:strike/>
          <w:lang w:val="fr-FR"/>
        </w:rPr>
        <w:t xml:space="preserve"> et O</w:t>
      </w:r>
      <w:r>
        <w:rPr>
          <w:strike/>
          <w:vertAlign w:val="subscript"/>
          <w:lang w:val="fr-FR"/>
        </w:rPr>
        <w:t>4</w:t>
      </w:r>
      <w:r>
        <w:rPr>
          <w:strike/>
          <w:lang w:val="fr-FR"/>
        </w:rPr>
        <w:t xml:space="preserve">, </w:t>
      </w:r>
      <w:proofErr w:type="spellStart"/>
      <w:r>
        <w:rPr>
          <w:strike/>
          <w:lang w:val="fr-FR"/>
        </w:rPr>
        <w:t>l</w:t>
      </w:r>
      <w:r>
        <w:rPr>
          <w:b/>
          <w:bCs/>
          <w:lang w:val="fr-FR"/>
        </w:rPr>
        <w:t>L</w:t>
      </w:r>
      <w:r>
        <w:rPr>
          <w:lang w:val="fr-FR"/>
        </w:rPr>
        <w:t>es</w:t>
      </w:r>
      <w:proofErr w:type="spellEnd"/>
      <w:r>
        <w:rPr>
          <w:lang w:val="fr-FR"/>
        </w:rPr>
        <w:t xml:space="preserve"> feux de position latéraux jaune-auto </w:t>
      </w:r>
      <w:r>
        <w:rPr>
          <w:strike/>
          <w:lang w:val="fr-FR"/>
        </w:rPr>
        <w:t>obligatoires</w:t>
      </w:r>
      <w:r>
        <w:rPr>
          <w:lang w:val="fr-FR"/>
        </w:rPr>
        <w:t xml:space="preserve"> peuvent clignoter </w:t>
      </w:r>
      <w:r>
        <w:rPr>
          <w:strike/>
          <w:lang w:val="fr-FR"/>
        </w:rPr>
        <w:t>simultanément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en phase </w:t>
      </w:r>
      <w:r>
        <w:rPr>
          <w:lang w:val="fr-FR"/>
        </w:rPr>
        <w:t xml:space="preserve">avec les feux indicateurs de direction situés du même côté du véhicule </w:t>
      </w:r>
      <w:r>
        <w:rPr>
          <w:b/>
          <w:bCs/>
          <w:lang w:val="fr-FR"/>
        </w:rPr>
        <w:t>et à la même fréquence qu’eux</w:t>
      </w:r>
      <w:r w:rsidR="003E7F2A" w:rsidRPr="003E7F2A">
        <w:rPr>
          <w:lang w:val="fr-FR"/>
        </w:rPr>
        <w:t>.</w:t>
      </w:r>
      <w:r>
        <w:rPr>
          <w:lang w:val="fr-FR"/>
        </w:rPr>
        <w:t xml:space="preserve"> Toutefois, si des feux indicateurs de direction de la catégorie</w:t>
      </w:r>
      <w:r w:rsidR="003E7F2A">
        <w:rPr>
          <w:lang w:val="fr-FR"/>
        </w:rPr>
        <w:t> </w:t>
      </w:r>
      <w:r>
        <w:rPr>
          <w:lang w:val="fr-FR"/>
        </w:rPr>
        <w:t>5 sont installés sur le côté du véhicule conformément au paragraphe</w:t>
      </w:r>
      <w:r w:rsidR="00F54196">
        <w:rPr>
          <w:lang w:val="fr-FR"/>
        </w:rPr>
        <w:t> </w:t>
      </w:r>
      <w:r>
        <w:rPr>
          <w:lang w:val="fr-FR"/>
        </w:rPr>
        <w:t>6</w:t>
      </w:r>
      <w:r w:rsidR="003E7F2A" w:rsidRPr="003E7F2A">
        <w:rPr>
          <w:lang w:val="fr-FR"/>
        </w:rPr>
        <w:t>.</w:t>
      </w:r>
      <w:r>
        <w:rPr>
          <w:lang w:val="fr-FR"/>
        </w:rPr>
        <w:t>5</w:t>
      </w:r>
      <w:r w:rsidR="003E7F2A" w:rsidRPr="003E7F2A">
        <w:rPr>
          <w:lang w:val="fr-FR"/>
        </w:rPr>
        <w:t>.</w:t>
      </w:r>
      <w:r>
        <w:rPr>
          <w:lang w:val="fr-FR"/>
        </w:rPr>
        <w:t>3</w:t>
      </w:r>
      <w:r w:rsidR="003E7F2A" w:rsidRPr="003E7F2A">
        <w:rPr>
          <w:lang w:val="fr-FR"/>
        </w:rPr>
        <w:t>.</w:t>
      </w:r>
      <w:r>
        <w:rPr>
          <w:lang w:val="fr-FR"/>
        </w:rPr>
        <w:t>1, les feux de position latéraux jaune-auto ne doivent pas clignoter</w:t>
      </w:r>
      <w:r w:rsidR="003E7F2A" w:rsidRPr="003E7F2A">
        <w:rPr>
          <w:lang w:val="fr-FR"/>
        </w:rPr>
        <w:t>.</w:t>
      </w:r>
      <w:r>
        <w:rPr>
          <w:lang w:val="fr-FR"/>
        </w:rPr>
        <w:t> »</w:t>
      </w:r>
      <w:r w:rsidR="003E7F2A" w:rsidRPr="003E7F2A">
        <w:rPr>
          <w:lang w:val="fr-FR"/>
        </w:rPr>
        <w:t>.</w:t>
      </w:r>
    </w:p>
    <w:p w14:paraId="1288686B" w14:textId="31C21A77" w:rsidR="00FB5F84" w:rsidRPr="004C7FA9" w:rsidRDefault="00FB5F84" w:rsidP="00FB5F84">
      <w:pPr>
        <w:pStyle w:val="HChG"/>
        <w:rPr>
          <w:lang w:val="fr-FR"/>
        </w:rPr>
      </w:pPr>
      <w:r>
        <w:rPr>
          <w:lang w:val="fr-FR"/>
        </w:rPr>
        <w:tab/>
        <w:t>II</w:t>
      </w:r>
      <w:r w:rsidR="003E7F2A" w:rsidRPr="003E7F2A">
        <w:rPr>
          <w:lang w:val="fr-FR"/>
        </w:rPr>
        <w:t>.</w:t>
      </w:r>
      <w:r>
        <w:rPr>
          <w:lang w:val="fr-FR"/>
        </w:rPr>
        <w:tab/>
        <w:t>Justification</w:t>
      </w:r>
    </w:p>
    <w:p w14:paraId="161A9C67" w14:textId="4F36D80C" w:rsidR="00FB5F84" w:rsidRPr="004C7FA9" w:rsidRDefault="00FB5F84" w:rsidP="00FB5F84">
      <w:pPr>
        <w:pStyle w:val="SingleTxtG"/>
        <w:rPr>
          <w:bCs/>
          <w:iCs/>
          <w:lang w:val="fr-FR"/>
        </w:rPr>
      </w:pPr>
      <w:r>
        <w:rPr>
          <w:lang w:val="fr-FR"/>
        </w:rPr>
        <w:t>1</w:t>
      </w:r>
      <w:r w:rsidR="003E7F2A" w:rsidRPr="003E7F2A">
        <w:rPr>
          <w:lang w:val="fr-FR"/>
        </w:rPr>
        <w:t>.</w:t>
      </w:r>
      <w:r>
        <w:rPr>
          <w:lang w:val="fr-FR"/>
        </w:rPr>
        <w:tab/>
        <w:t>Rien ne semble justifier que la disposition du paragraphe 6</w:t>
      </w:r>
      <w:r w:rsidR="003E7F2A" w:rsidRPr="003E7F2A">
        <w:rPr>
          <w:lang w:val="fr-FR"/>
        </w:rPr>
        <w:t>.</w:t>
      </w:r>
      <w:r>
        <w:rPr>
          <w:lang w:val="fr-FR"/>
        </w:rPr>
        <w:t>18</w:t>
      </w:r>
      <w:r w:rsidR="003E7F2A" w:rsidRPr="003E7F2A">
        <w:rPr>
          <w:lang w:val="fr-FR"/>
        </w:rPr>
        <w:t>.</w:t>
      </w:r>
      <w:r>
        <w:rPr>
          <w:lang w:val="fr-FR"/>
        </w:rPr>
        <w:t>7 soit limitée aux véhicules des catégories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de moins de 6 m de long</w:t>
      </w:r>
      <w:r w:rsidR="003E7F2A" w:rsidRPr="003E7F2A">
        <w:rPr>
          <w:lang w:val="fr-FR"/>
        </w:rPr>
        <w:t>.</w:t>
      </w:r>
      <w:r>
        <w:rPr>
          <w:lang w:val="fr-FR"/>
        </w:rPr>
        <w:t xml:space="preserve"> Il est donc proposé de l’étendre aux véhicules de ces catégories mesurant plus de 6 m de long</w:t>
      </w:r>
      <w:r w:rsidR="003E7F2A" w:rsidRPr="003E7F2A">
        <w:rPr>
          <w:lang w:val="fr-FR"/>
        </w:rPr>
        <w:t>.</w:t>
      </w:r>
    </w:p>
    <w:p w14:paraId="15EED27E" w14:textId="37B5A6BF" w:rsidR="00FB5F84" w:rsidRPr="004C7FA9" w:rsidRDefault="00FB5F84" w:rsidP="00FB5F84">
      <w:pPr>
        <w:spacing w:after="120"/>
        <w:ind w:left="1134" w:right="1134"/>
        <w:jc w:val="both"/>
        <w:rPr>
          <w:bCs/>
          <w:iCs/>
          <w:lang w:val="fr-FR"/>
        </w:rPr>
      </w:pPr>
      <w:r>
        <w:rPr>
          <w:lang w:val="fr-FR"/>
        </w:rPr>
        <w:t>2</w:t>
      </w:r>
      <w:r w:rsidR="003E7F2A" w:rsidRPr="003E7F2A">
        <w:rPr>
          <w:lang w:val="fr-FR"/>
        </w:rPr>
        <w:t>.</w:t>
      </w:r>
      <w:r>
        <w:rPr>
          <w:lang w:val="fr-FR"/>
        </w:rPr>
        <w:tab/>
        <w:t>Les véhicules des catégories O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O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peuvent aussi être équipés de feux de position latéraux jaune-auto qui clignotent, puisque rien ne justifie que cette possibilité ne s’applique pas à ces véhicules</w:t>
      </w:r>
      <w:r w:rsidR="003E7F2A" w:rsidRPr="003E7F2A">
        <w:rPr>
          <w:lang w:val="fr-FR"/>
        </w:rPr>
        <w:t>.</w:t>
      </w:r>
    </w:p>
    <w:p w14:paraId="060DF2A9" w14:textId="54B9E8B3" w:rsidR="00FB5F84" w:rsidRPr="004C7FA9" w:rsidRDefault="00FB5F84" w:rsidP="00FB5F84">
      <w:pPr>
        <w:spacing w:after="120"/>
        <w:ind w:left="1134" w:right="1134"/>
        <w:jc w:val="both"/>
        <w:rPr>
          <w:bCs/>
          <w:iCs/>
          <w:lang w:val="fr-FR"/>
        </w:rPr>
      </w:pPr>
      <w:r>
        <w:rPr>
          <w:lang w:val="fr-FR"/>
        </w:rPr>
        <w:t>3</w:t>
      </w:r>
      <w:r w:rsidR="003E7F2A" w:rsidRPr="003E7F2A">
        <w:rPr>
          <w:lang w:val="fr-FR"/>
        </w:rPr>
        <w:t>.</w:t>
      </w:r>
      <w:r>
        <w:rPr>
          <w:lang w:val="fr-FR"/>
        </w:rPr>
        <w:tab/>
        <w:t>Les feux de position latéraux jaune-auto facultatifs peuvent désormais clignoter sur les véhicules des catégories M</w:t>
      </w:r>
      <w:r>
        <w:rPr>
          <w:vertAlign w:val="subscript"/>
          <w:lang w:val="fr-FR"/>
        </w:rPr>
        <w:t>2</w:t>
      </w:r>
      <w:r>
        <w:rPr>
          <w:lang w:val="fr-FR"/>
        </w:rPr>
        <w:t>, M</w:t>
      </w:r>
      <w:r>
        <w:rPr>
          <w:vertAlign w:val="subscript"/>
          <w:lang w:val="fr-FR"/>
        </w:rPr>
        <w:t>3</w:t>
      </w:r>
      <w:r>
        <w:rPr>
          <w:lang w:val="fr-FR"/>
        </w:rPr>
        <w:t>, N</w:t>
      </w:r>
      <w:r>
        <w:rPr>
          <w:vertAlign w:val="subscript"/>
          <w:lang w:val="fr-FR"/>
        </w:rPr>
        <w:t>2</w:t>
      </w:r>
      <w:r>
        <w:rPr>
          <w:lang w:val="fr-FR"/>
        </w:rPr>
        <w:t>, N</w:t>
      </w:r>
      <w:r>
        <w:rPr>
          <w:vertAlign w:val="subscript"/>
          <w:lang w:val="fr-FR"/>
        </w:rPr>
        <w:t>3</w:t>
      </w:r>
      <w:r>
        <w:rPr>
          <w:lang w:val="fr-FR"/>
        </w:rPr>
        <w:t>, N</w:t>
      </w:r>
      <w:r>
        <w:rPr>
          <w:vertAlign w:val="subscript"/>
          <w:lang w:val="fr-FR"/>
        </w:rPr>
        <w:t>2</w:t>
      </w:r>
      <w:r>
        <w:rPr>
          <w:lang w:val="fr-FR"/>
        </w:rPr>
        <w:t>G, N</w:t>
      </w:r>
      <w:r>
        <w:rPr>
          <w:vertAlign w:val="subscript"/>
          <w:lang w:val="fr-FR"/>
        </w:rPr>
        <w:t>3</w:t>
      </w:r>
      <w:r>
        <w:rPr>
          <w:lang w:val="fr-FR"/>
        </w:rPr>
        <w:t>G, M</w:t>
      </w:r>
      <w:r>
        <w:rPr>
          <w:vertAlign w:val="subscript"/>
          <w:lang w:val="fr-FR"/>
        </w:rPr>
        <w:t>2</w:t>
      </w:r>
      <w:r>
        <w:rPr>
          <w:lang w:val="fr-FR"/>
        </w:rPr>
        <w:t>G, M</w:t>
      </w:r>
      <w:r>
        <w:rPr>
          <w:vertAlign w:val="subscript"/>
          <w:lang w:val="fr-FR"/>
        </w:rPr>
        <w:t>3</w:t>
      </w:r>
      <w:r>
        <w:rPr>
          <w:lang w:val="fr-FR"/>
        </w:rPr>
        <w:t>G (véhicules tout-terrain), O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et O</w:t>
      </w:r>
      <w:r>
        <w:rPr>
          <w:vertAlign w:val="subscript"/>
          <w:lang w:val="fr-FR"/>
        </w:rPr>
        <w:t>4</w:t>
      </w:r>
      <w:r w:rsidR="003E7F2A" w:rsidRPr="003E7F2A">
        <w:rPr>
          <w:lang w:val="fr-FR"/>
        </w:rPr>
        <w:t>.</w:t>
      </w:r>
      <w:r>
        <w:rPr>
          <w:lang w:val="fr-FR"/>
        </w:rPr>
        <w:t xml:space="preserve"> Auparavant, ce n’était le cas que sur les véhicules des catégories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 w:rsidR="003E7F2A" w:rsidRPr="003E7F2A">
        <w:rPr>
          <w:lang w:val="fr-FR"/>
        </w:rPr>
        <w:t>.</w:t>
      </w:r>
    </w:p>
    <w:p w14:paraId="665537DB" w14:textId="501491E5" w:rsidR="00FB5F84" w:rsidRDefault="00FB5F84" w:rsidP="00FB5F84">
      <w:pPr>
        <w:pStyle w:val="SingleTxtG"/>
        <w:rPr>
          <w:lang w:val="fr-FR"/>
        </w:rPr>
      </w:pPr>
      <w:r>
        <w:rPr>
          <w:lang w:val="fr-FR"/>
        </w:rPr>
        <w:t>4</w:t>
      </w:r>
      <w:r w:rsidR="003E7F2A" w:rsidRPr="003E7F2A">
        <w:rPr>
          <w:lang w:val="fr-FR"/>
        </w:rPr>
        <w:t>.</w:t>
      </w:r>
      <w:r>
        <w:rPr>
          <w:lang w:val="fr-FR"/>
        </w:rPr>
        <w:tab/>
        <w:t>Avec cette proposition, les feux de position latéraux jaune-auto, qu’ils soient facultatifs ou obligatoires, pourront clignoter en phase avec les feux indicateurs de direction et à la même fréquence qu’eux sur tous les véhicules (ce qui n’était pas le cas auparavant)</w:t>
      </w:r>
      <w:r w:rsidR="003E7F2A" w:rsidRPr="003E7F2A">
        <w:rPr>
          <w:lang w:val="fr-FR"/>
        </w:rPr>
        <w:t>.</w:t>
      </w:r>
      <w:r>
        <w:rPr>
          <w:lang w:val="fr-FR"/>
        </w:rPr>
        <w:t xml:space="preserve"> Cela permettra de rendre plus visible la fonction d’indication de direction et d’améliorer la sécurité</w:t>
      </w:r>
      <w:r w:rsidR="003E7F2A" w:rsidRPr="003E7F2A">
        <w:rPr>
          <w:lang w:val="fr-FR"/>
        </w:rPr>
        <w:t>.</w:t>
      </w:r>
    </w:p>
    <w:p w14:paraId="0CD59199" w14:textId="06E5D809" w:rsidR="00FB5F84" w:rsidRPr="00FB5F84" w:rsidRDefault="00FB5F84" w:rsidP="00FB5F84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5F84" w:rsidRPr="00FB5F84" w:rsidSect="009D74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B2E4" w14:textId="77777777" w:rsidR="00544445" w:rsidRDefault="00544445" w:rsidP="00F95C08">
      <w:pPr>
        <w:spacing w:line="240" w:lineRule="auto"/>
      </w:pPr>
    </w:p>
  </w:endnote>
  <w:endnote w:type="continuationSeparator" w:id="0">
    <w:p w14:paraId="488A7D26" w14:textId="77777777" w:rsidR="00544445" w:rsidRPr="00AC3823" w:rsidRDefault="00544445" w:rsidP="00AC3823">
      <w:pPr>
        <w:pStyle w:val="Pieddepage"/>
      </w:pPr>
    </w:p>
  </w:endnote>
  <w:endnote w:type="continuationNotice" w:id="1">
    <w:p w14:paraId="290A5E49" w14:textId="77777777" w:rsidR="00544445" w:rsidRDefault="005444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E87B" w14:textId="0822475E" w:rsidR="009D749A" w:rsidRPr="009D749A" w:rsidRDefault="009D749A" w:rsidP="009D749A">
    <w:pPr>
      <w:pStyle w:val="Pieddepage"/>
      <w:tabs>
        <w:tab w:val="right" w:pos="9638"/>
      </w:tabs>
    </w:pPr>
    <w:r w:rsidRPr="009D749A">
      <w:rPr>
        <w:b/>
        <w:sz w:val="18"/>
      </w:rPr>
      <w:fldChar w:fldCharType="begin"/>
    </w:r>
    <w:r w:rsidRPr="009D749A">
      <w:rPr>
        <w:b/>
        <w:sz w:val="18"/>
      </w:rPr>
      <w:instrText xml:space="preserve"> PAGE  \* MERGEFORMAT </w:instrText>
    </w:r>
    <w:r w:rsidRPr="009D749A">
      <w:rPr>
        <w:b/>
        <w:sz w:val="18"/>
      </w:rPr>
      <w:fldChar w:fldCharType="separate"/>
    </w:r>
    <w:r w:rsidRPr="009D749A">
      <w:rPr>
        <w:b/>
        <w:noProof/>
        <w:sz w:val="18"/>
      </w:rPr>
      <w:t>2</w:t>
    </w:r>
    <w:r w:rsidRPr="009D749A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3E7F2A" w:rsidRPr="003E7F2A">
      <w:t>.</w:t>
    </w:r>
    <w:r>
      <w:t>22-11710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AD33" w14:textId="18BFA7A7" w:rsidR="009D749A" w:rsidRPr="009D749A" w:rsidRDefault="009D749A" w:rsidP="009D749A">
    <w:pPr>
      <w:pStyle w:val="Pieddepage"/>
      <w:tabs>
        <w:tab w:val="right" w:pos="9638"/>
      </w:tabs>
      <w:rPr>
        <w:b/>
        <w:sz w:val="18"/>
      </w:rPr>
    </w:pPr>
    <w:r>
      <w:t>GE</w:t>
    </w:r>
    <w:r w:rsidR="003E7F2A" w:rsidRPr="003E7F2A">
      <w:t>.</w:t>
    </w:r>
    <w:r>
      <w:t>22-11710</w:t>
    </w:r>
    <w:r>
      <w:tab/>
    </w:r>
    <w:r w:rsidRPr="009D749A">
      <w:rPr>
        <w:b/>
        <w:sz w:val="18"/>
      </w:rPr>
      <w:fldChar w:fldCharType="begin"/>
    </w:r>
    <w:r w:rsidRPr="009D749A">
      <w:rPr>
        <w:b/>
        <w:sz w:val="18"/>
      </w:rPr>
      <w:instrText xml:space="preserve"> PAGE  \* MERGEFORMAT </w:instrText>
    </w:r>
    <w:r w:rsidRPr="009D749A">
      <w:rPr>
        <w:b/>
        <w:sz w:val="18"/>
      </w:rPr>
      <w:fldChar w:fldCharType="separate"/>
    </w:r>
    <w:r w:rsidRPr="009D749A">
      <w:rPr>
        <w:b/>
        <w:noProof/>
        <w:sz w:val="18"/>
      </w:rPr>
      <w:t>3</w:t>
    </w:r>
    <w:r w:rsidRPr="009D74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E5FD" w14:textId="186CDF81" w:rsidR="007F20FA" w:rsidRPr="009D749A" w:rsidRDefault="009D749A" w:rsidP="009D749A">
    <w:pPr>
      <w:pStyle w:val="Pieddepage"/>
      <w:spacing w:before="120"/>
      <w:rPr>
        <w:sz w:val="20"/>
      </w:rPr>
    </w:pPr>
    <w:r>
      <w:rPr>
        <w:sz w:val="20"/>
      </w:rPr>
      <w:t>GE</w:t>
    </w:r>
    <w:r w:rsidR="003E7F2A" w:rsidRPr="003E7F2A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7A070EE" wp14:editId="1AE12AF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22-11710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6F2253F" wp14:editId="5CE0C73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050922    060922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531" w14:textId="77777777" w:rsidR="00544445" w:rsidRPr="00AC3823" w:rsidRDefault="0054444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B81A8E" w14:textId="77777777" w:rsidR="00544445" w:rsidRPr="00AC3823" w:rsidRDefault="0054444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92A99A7" w14:textId="77777777" w:rsidR="00544445" w:rsidRPr="00AC3823" w:rsidRDefault="00544445">
      <w:pPr>
        <w:spacing w:line="240" w:lineRule="auto"/>
        <w:rPr>
          <w:sz w:val="2"/>
          <w:szCs w:val="2"/>
        </w:rPr>
      </w:pPr>
    </w:p>
  </w:footnote>
  <w:footnote w:id="2">
    <w:p w14:paraId="36D1893B" w14:textId="4C64D47C" w:rsidR="00FB5F84" w:rsidRPr="004C7FA9" w:rsidRDefault="00FB5F84" w:rsidP="00FB5F84">
      <w:pPr>
        <w:pStyle w:val="Notedebasdepage"/>
        <w:rPr>
          <w:lang w:val="fr-FR"/>
        </w:rPr>
      </w:pPr>
      <w:r w:rsidRPr="00FB5F84">
        <w:rPr>
          <w:sz w:val="20"/>
          <w:lang w:val="fr-FR"/>
        </w:rPr>
        <w:tab/>
        <w:t>*</w:t>
      </w:r>
      <w:r w:rsidRPr="00FB5F84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</w:t>
      </w:r>
      <w:r w:rsidR="003E7F2A" w:rsidRPr="003E7F2A">
        <w:rPr>
          <w:lang w:val="fr-FR"/>
        </w:rPr>
        <w:t>.</w:t>
      </w:r>
      <w:r>
        <w:rPr>
          <w:lang w:val="fr-FR"/>
        </w:rPr>
        <w:t xml:space="preserve"> 20), par</w:t>
      </w:r>
      <w:r w:rsidR="003E7F2A" w:rsidRPr="003E7F2A">
        <w:rPr>
          <w:lang w:val="fr-FR"/>
        </w:rPr>
        <w:t>.</w:t>
      </w:r>
      <w:r>
        <w:rPr>
          <w:lang w:val="fr-FR"/>
        </w:rPr>
        <w:t xml:space="preserve"> 20</w:t>
      </w:r>
      <w:r w:rsidR="003E7F2A" w:rsidRPr="003E7F2A">
        <w:rPr>
          <w:lang w:val="fr-FR"/>
        </w:rPr>
        <w:t>.</w:t>
      </w:r>
      <w:r>
        <w:rPr>
          <w:lang w:val="fr-FR"/>
        </w:rPr>
        <w:t>76), le Forum mondial a pour mission d’élaborer, d’harmoniser et de mettre à jour les Règlements ONU en vue d’améliorer les caractéristiques fonctionnelles des véhicules</w:t>
      </w:r>
      <w:r w:rsidR="003E7F2A" w:rsidRPr="003E7F2A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3E7F2A" w:rsidRPr="003E7F2A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A49E" w14:textId="1782497C" w:rsidR="009D749A" w:rsidRPr="009D749A" w:rsidRDefault="009D749A">
    <w:pPr>
      <w:pStyle w:val="En-tte"/>
    </w:pPr>
    <w:fldSimple w:instr=" TITLE  \* MERGEFORMAT ">
      <w:r w:rsidR="000C1464">
        <w:t>ECE/TRANS/WP.29/GRE/2022/19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894B" w14:textId="3A049552" w:rsidR="009D749A" w:rsidRPr="009D749A" w:rsidRDefault="009D749A" w:rsidP="009D749A">
    <w:pPr>
      <w:pStyle w:val="En-tte"/>
      <w:jc w:val="right"/>
    </w:pPr>
    <w:fldSimple w:instr=" TITLE  \* MERGEFORMAT ">
      <w:r w:rsidR="000C1464">
        <w:t>ECE/TRANS/WP.29/GRE/2022/19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45"/>
    <w:rsid w:val="00017F94"/>
    <w:rsid w:val="00023842"/>
    <w:rsid w:val="000334F9"/>
    <w:rsid w:val="00045FEB"/>
    <w:rsid w:val="0007796D"/>
    <w:rsid w:val="000B7790"/>
    <w:rsid w:val="000C1464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E7F2A"/>
    <w:rsid w:val="00421996"/>
    <w:rsid w:val="00441C3B"/>
    <w:rsid w:val="00446FE5"/>
    <w:rsid w:val="00452396"/>
    <w:rsid w:val="00477EB2"/>
    <w:rsid w:val="004837D8"/>
    <w:rsid w:val="004E2EED"/>
    <w:rsid w:val="004E468C"/>
    <w:rsid w:val="00544445"/>
    <w:rsid w:val="005505B7"/>
    <w:rsid w:val="00573BE5"/>
    <w:rsid w:val="00586ED3"/>
    <w:rsid w:val="00596AA9"/>
    <w:rsid w:val="0071601D"/>
    <w:rsid w:val="00741919"/>
    <w:rsid w:val="007A62E6"/>
    <w:rsid w:val="007F20FA"/>
    <w:rsid w:val="0080684C"/>
    <w:rsid w:val="00871C75"/>
    <w:rsid w:val="008776DC"/>
    <w:rsid w:val="008D5EF9"/>
    <w:rsid w:val="008F30F9"/>
    <w:rsid w:val="009446C0"/>
    <w:rsid w:val="009705C8"/>
    <w:rsid w:val="009C1CF4"/>
    <w:rsid w:val="009D749A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54196"/>
    <w:rsid w:val="00F660DF"/>
    <w:rsid w:val="00F94664"/>
    <w:rsid w:val="00F9573C"/>
    <w:rsid w:val="00F95C08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FA052"/>
  <w15:docId w15:val="{F77A028A-D712-46F6-BA46-ADDFB91A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FB5F8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FB5F84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383</Words>
  <Characters>2684</Characters>
  <Application>Microsoft Office Word</Application>
  <DocSecurity>0</DocSecurity>
  <Lines>223</Lines>
  <Paragraphs>122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ECE/TRANS/WP.29/GRE/2022/19</vt:lpstr>
    </vt:vector>
  </TitlesOfParts>
  <Company>DCM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ECE/TRANS/WP.29/GRE/2022/19</dc:title>
  <dc:subject/>
  <dc:creator>Maud DARICHE</dc:creator>
  <cp:keywords/>
  <cp:lastModifiedBy>Maud Dariche</cp:lastModifiedBy>
  <cp:revision>3</cp:revision>
  <cp:lastPrinted>2022-09-06T08:52:00Z</cp:lastPrinted>
  <dcterms:created xsi:type="dcterms:W3CDTF">2022-09-06T08:52:00Z</dcterms:created>
  <dcterms:modified xsi:type="dcterms:W3CDTF">2022-09-06T08:54:00Z</dcterms:modified>
</cp:coreProperties>
</file>