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5B0501" w14:paraId="0090B830" w14:textId="77777777" w:rsidTr="00C97039">
        <w:trPr>
          <w:trHeight w:hRule="exact" w:val="851"/>
        </w:trPr>
        <w:tc>
          <w:tcPr>
            <w:tcW w:w="1276" w:type="dxa"/>
            <w:tcBorders>
              <w:bottom w:val="single" w:sz="4" w:space="0" w:color="auto"/>
            </w:tcBorders>
          </w:tcPr>
          <w:p w14:paraId="3840FF47" w14:textId="77777777" w:rsidR="00F35BAF" w:rsidRPr="005B0501" w:rsidRDefault="00F35BAF" w:rsidP="0030413A"/>
        </w:tc>
        <w:tc>
          <w:tcPr>
            <w:tcW w:w="2268" w:type="dxa"/>
            <w:tcBorders>
              <w:bottom w:val="single" w:sz="4" w:space="0" w:color="auto"/>
            </w:tcBorders>
            <w:vAlign w:val="bottom"/>
          </w:tcPr>
          <w:p w14:paraId="308E0941" w14:textId="77777777" w:rsidR="00F35BAF" w:rsidRPr="005B0501" w:rsidRDefault="00F35BAF" w:rsidP="00C97039">
            <w:pPr>
              <w:spacing w:after="80" w:line="300" w:lineRule="exact"/>
              <w:rPr>
                <w:sz w:val="28"/>
              </w:rPr>
            </w:pPr>
            <w:r w:rsidRPr="005B0501">
              <w:rPr>
                <w:sz w:val="28"/>
              </w:rPr>
              <w:t>Nations Unies</w:t>
            </w:r>
          </w:p>
        </w:tc>
        <w:tc>
          <w:tcPr>
            <w:tcW w:w="6095" w:type="dxa"/>
            <w:gridSpan w:val="2"/>
            <w:tcBorders>
              <w:bottom w:val="single" w:sz="4" w:space="0" w:color="auto"/>
            </w:tcBorders>
            <w:vAlign w:val="bottom"/>
          </w:tcPr>
          <w:p w14:paraId="5405E0DF" w14:textId="583D4A94" w:rsidR="00F35BAF" w:rsidRPr="005B0501" w:rsidRDefault="0030413A" w:rsidP="0030413A">
            <w:pPr>
              <w:jc w:val="right"/>
            </w:pPr>
            <w:r w:rsidRPr="005B0501">
              <w:rPr>
                <w:sz w:val="40"/>
              </w:rPr>
              <w:t>ECE</w:t>
            </w:r>
            <w:r w:rsidRPr="005B0501">
              <w:t>/TRANS/WP.29/GRE/2022/18</w:t>
            </w:r>
          </w:p>
        </w:tc>
      </w:tr>
      <w:tr w:rsidR="00F35BAF" w:rsidRPr="005B0501" w14:paraId="70CF7429" w14:textId="77777777" w:rsidTr="00C97039">
        <w:trPr>
          <w:trHeight w:hRule="exact" w:val="2835"/>
        </w:trPr>
        <w:tc>
          <w:tcPr>
            <w:tcW w:w="1276" w:type="dxa"/>
            <w:tcBorders>
              <w:top w:val="single" w:sz="4" w:space="0" w:color="auto"/>
              <w:bottom w:val="single" w:sz="12" w:space="0" w:color="auto"/>
            </w:tcBorders>
          </w:tcPr>
          <w:p w14:paraId="4AF6AF80" w14:textId="77777777" w:rsidR="00F35BAF" w:rsidRPr="005B0501" w:rsidRDefault="00F35BAF" w:rsidP="00C97039">
            <w:pPr>
              <w:spacing w:before="120"/>
              <w:jc w:val="center"/>
            </w:pPr>
            <w:r w:rsidRPr="005B0501">
              <w:rPr>
                <w:noProof/>
                <w:lang w:eastAsia="fr-CH"/>
              </w:rPr>
              <w:drawing>
                <wp:inline distT="0" distB="0" distL="0" distR="0" wp14:anchorId="3FCFA134" wp14:editId="1B6810C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B7A5D4" w14:textId="77777777" w:rsidR="00F35BAF" w:rsidRPr="005B0501" w:rsidRDefault="00F35BAF" w:rsidP="00C97039">
            <w:pPr>
              <w:spacing w:before="120" w:line="420" w:lineRule="exact"/>
              <w:rPr>
                <w:b/>
                <w:sz w:val="40"/>
                <w:szCs w:val="40"/>
              </w:rPr>
            </w:pPr>
            <w:r w:rsidRPr="005B0501">
              <w:rPr>
                <w:b/>
                <w:sz w:val="40"/>
                <w:szCs w:val="40"/>
              </w:rPr>
              <w:t>Conseil économique et social</w:t>
            </w:r>
          </w:p>
        </w:tc>
        <w:tc>
          <w:tcPr>
            <w:tcW w:w="2835" w:type="dxa"/>
            <w:tcBorders>
              <w:top w:val="single" w:sz="4" w:space="0" w:color="auto"/>
              <w:bottom w:val="single" w:sz="12" w:space="0" w:color="auto"/>
            </w:tcBorders>
          </w:tcPr>
          <w:p w14:paraId="50C9BC2A" w14:textId="77777777" w:rsidR="00F35BAF" w:rsidRPr="005B0501" w:rsidRDefault="0030413A" w:rsidP="00C97039">
            <w:pPr>
              <w:spacing w:before="240"/>
            </w:pPr>
            <w:r w:rsidRPr="005B0501">
              <w:t>Distr. générale</w:t>
            </w:r>
          </w:p>
          <w:p w14:paraId="11595FEF" w14:textId="77777777" w:rsidR="0030413A" w:rsidRPr="005B0501" w:rsidRDefault="0030413A" w:rsidP="0030413A">
            <w:pPr>
              <w:spacing w:line="240" w:lineRule="exact"/>
            </w:pPr>
            <w:r w:rsidRPr="005B0501">
              <w:t>27 juillet 2022</w:t>
            </w:r>
          </w:p>
          <w:p w14:paraId="0BB51365" w14:textId="77777777" w:rsidR="0030413A" w:rsidRPr="005B0501" w:rsidRDefault="0030413A" w:rsidP="0030413A">
            <w:pPr>
              <w:spacing w:line="240" w:lineRule="exact"/>
            </w:pPr>
            <w:r w:rsidRPr="005B0501">
              <w:t>Français</w:t>
            </w:r>
          </w:p>
          <w:p w14:paraId="4461A3A3" w14:textId="6E9D1DCF" w:rsidR="0030413A" w:rsidRPr="005B0501" w:rsidRDefault="0030413A" w:rsidP="0030413A">
            <w:pPr>
              <w:spacing w:line="240" w:lineRule="exact"/>
            </w:pPr>
            <w:r w:rsidRPr="005B0501">
              <w:t>Original</w:t>
            </w:r>
            <w:r w:rsidR="00EB6374" w:rsidRPr="005B0501">
              <w:t> :</w:t>
            </w:r>
            <w:r w:rsidRPr="005B0501">
              <w:t xml:space="preserve"> anglais</w:t>
            </w:r>
          </w:p>
        </w:tc>
      </w:tr>
    </w:tbl>
    <w:p w14:paraId="61A841D4" w14:textId="77777777" w:rsidR="007F20FA" w:rsidRPr="005B0501" w:rsidRDefault="007F20FA" w:rsidP="007F20FA">
      <w:pPr>
        <w:spacing w:before="120"/>
        <w:rPr>
          <w:b/>
          <w:sz w:val="28"/>
          <w:szCs w:val="28"/>
        </w:rPr>
      </w:pPr>
      <w:r w:rsidRPr="005B0501">
        <w:rPr>
          <w:b/>
          <w:sz w:val="28"/>
          <w:szCs w:val="28"/>
        </w:rPr>
        <w:t>Commission économique pour l’Europe</w:t>
      </w:r>
    </w:p>
    <w:p w14:paraId="0EF24274" w14:textId="77777777" w:rsidR="007F20FA" w:rsidRPr="005B0501" w:rsidRDefault="007F20FA" w:rsidP="007F20FA">
      <w:pPr>
        <w:spacing w:before="120"/>
        <w:rPr>
          <w:sz w:val="28"/>
          <w:szCs w:val="28"/>
        </w:rPr>
      </w:pPr>
      <w:r w:rsidRPr="005B0501">
        <w:rPr>
          <w:sz w:val="28"/>
          <w:szCs w:val="28"/>
        </w:rPr>
        <w:t>Comité des transports intérieurs</w:t>
      </w:r>
    </w:p>
    <w:p w14:paraId="701A1313" w14:textId="56C0E78F" w:rsidR="00F368F4" w:rsidRPr="005B0501" w:rsidRDefault="00F368F4" w:rsidP="00F368F4">
      <w:pPr>
        <w:spacing w:before="120"/>
        <w:rPr>
          <w:b/>
          <w:sz w:val="24"/>
          <w:szCs w:val="24"/>
        </w:rPr>
      </w:pPr>
      <w:r w:rsidRPr="005B0501">
        <w:rPr>
          <w:b/>
          <w:bCs/>
          <w:sz w:val="24"/>
          <w:szCs w:val="24"/>
        </w:rPr>
        <w:t xml:space="preserve">Forum mondial de l’harmonisation </w:t>
      </w:r>
      <w:r w:rsidR="005B0501">
        <w:rPr>
          <w:b/>
          <w:bCs/>
          <w:sz w:val="24"/>
          <w:szCs w:val="24"/>
        </w:rPr>
        <w:br/>
      </w:r>
      <w:r w:rsidRPr="005B0501">
        <w:rPr>
          <w:b/>
          <w:bCs/>
          <w:sz w:val="24"/>
          <w:szCs w:val="24"/>
        </w:rPr>
        <w:t>des Règlements concernant les véhicules</w:t>
      </w:r>
    </w:p>
    <w:p w14:paraId="335AA9DA" w14:textId="77777777" w:rsidR="00F368F4" w:rsidRPr="005B0501" w:rsidRDefault="00F368F4" w:rsidP="005B0501">
      <w:pPr>
        <w:spacing w:before="120"/>
        <w:rPr>
          <w:b/>
          <w:bCs/>
        </w:rPr>
      </w:pPr>
      <w:r w:rsidRPr="005B0501">
        <w:rPr>
          <w:b/>
          <w:bCs/>
        </w:rPr>
        <w:t>Groupe de travail de l’éclairage et de la signalisation lumineuse</w:t>
      </w:r>
    </w:p>
    <w:p w14:paraId="3832E40A" w14:textId="77777777" w:rsidR="00F368F4" w:rsidRPr="005B0501" w:rsidRDefault="00F368F4" w:rsidP="005B0501">
      <w:pPr>
        <w:spacing w:before="120"/>
        <w:rPr>
          <w:b/>
          <w:bCs/>
        </w:rPr>
      </w:pPr>
      <w:r w:rsidRPr="005B0501">
        <w:rPr>
          <w:b/>
          <w:bCs/>
        </w:rPr>
        <w:t>Quatre-vingt-septième session</w:t>
      </w:r>
    </w:p>
    <w:p w14:paraId="1363374A" w14:textId="77777777" w:rsidR="00F368F4" w:rsidRPr="005B0501" w:rsidRDefault="00F368F4" w:rsidP="005B0501">
      <w:r w:rsidRPr="005B0501">
        <w:t>Genève, 25-28 octobre 2022</w:t>
      </w:r>
    </w:p>
    <w:p w14:paraId="604CDBAF" w14:textId="77777777" w:rsidR="00F368F4" w:rsidRPr="005B0501" w:rsidRDefault="00F368F4" w:rsidP="005B0501">
      <w:r w:rsidRPr="005B0501">
        <w:t>Point 6 a) de l’ordre du jour provisoire</w:t>
      </w:r>
    </w:p>
    <w:p w14:paraId="096BB188" w14:textId="2E3EAD08" w:rsidR="00F368F4" w:rsidRPr="005B0501" w:rsidRDefault="00F368F4" w:rsidP="005B0501">
      <w:pPr>
        <w:rPr>
          <w:b/>
          <w:bCs/>
        </w:rPr>
      </w:pPr>
      <w:r w:rsidRPr="005B0501">
        <w:rPr>
          <w:b/>
          <w:bCs/>
        </w:rPr>
        <w:t>Règlements ONU concernant l’installation</w:t>
      </w:r>
      <w:r w:rsidR="00EB6374" w:rsidRPr="005B0501">
        <w:rPr>
          <w:b/>
          <w:bCs/>
        </w:rPr>
        <w:t> :</w:t>
      </w:r>
      <w:r w:rsidR="005B0501" w:rsidRPr="005B0501">
        <w:rPr>
          <w:b/>
          <w:bCs/>
        </w:rPr>
        <w:br/>
      </w:r>
      <w:r w:rsidRPr="005B0501">
        <w:rPr>
          <w:b/>
          <w:bCs/>
        </w:rPr>
        <w:t xml:space="preserve">Règlement ONU </w:t>
      </w:r>
      <w:r w:rsidRPr="005B0501">
        <w:rPr>
          <w:rFonts w:eastAsia="MS Mincho"/>
          <w:b/>
          <w:bCs/>
        </w:rPr>
        <w:t>n</w:t>
      </w:r>
      <w:r w:rsidRPr="005B0501">
        <w:rPr>
          <w:rFonts w:eastAsia="MS Mincho"/>
          <w:b/>
          <w:bCs/>
          <w:vertAlign w:val="superscript"/>
        </w:rPr>
        <w:t>o</w:t>
      </w:r>
      <w:r w:rsidRPr="005B0501">
        <w:rPr>
          <w:rFonts w:eastAsia="MS Mincho"/>
          <w:b/>
          <w:bCs/>
        </w:rPr>
        <w:t> </w:t>
      </w:r>
      <w:r w:rsidRPr="005B0501">
        <w:rPr>
          <w:b/>
          <w:bCs/>
        </w:rPr>
        <w:t xml:space="preserve">48 (Installation des dispositifs </w:t>
      </w:r>
      <w:r w:rsidR="005B0501">
        <w:rPr>
          <w:b/>
          <w:bCs/>
        </w:rPr>
        <w:br/>
      </w:r>
      <w:r w:rsidRPr="005B0501">
        <w:rPr>
          <w:b/>
          <w:bCs/>
        </w:rPr>
        <w:t>d’éclairage et de signalisation lumineuse)</w:t>
      </w:r>
    </w:p>
    <w:p w14:paraId="038652E6" w14:textId="77777777" w:rsidR="00F368F4" w:rsidRPr="005B0501" w:rsidRDefault="00F368F4" w:rsidP="005B0501">
      <w:pPr>
        <w:pStyle w:val="HChG"/>
      </w:pPr>
      <w:r w:rsidRPr="005B0501">
        <w:tab/>
      </w:r>
      <w:r w:rsidRPr="005B0501">
        <w:tab/>
        <w:t xml:space="preserve">Proposition de complément aux séries 06, 07 et 08 d’amendements au Règlement ONU </w:t>
      </w:r>
      <w:r w:rsidRPr="005B0501">
        <w:rPr>
          <w:rFonts w:eastAsia="MS Mincho"/>
        </w:rPr>
        <w:t>n</w:t>
      </w:r>
      <w:r w:rsidRPr="005B0501">
        <w:rPr>
          <w:rFonts w:eastAsia="MS Mincho"/>
          <w:vertAlign w:val="superscript"/>
        </w:rPr>
        <w:t>o</w:t>
      </w:r>
      <w:r w:rsidRPr="005B0501">
        <w:rPr>
          <w:rFonts w:eastAsia="MS Mincho"/>
        </w:rPr>
        <w:t> </w:t>
      </w:r>
      <w:r w:rsidRPr="005B0501">
        <w:t>48</w:t>
      </w:r>
    </w:p>
    <w:p w14:paraId="532706A3" w14:textId="0E0CFEA5" w:rsidR="00F368F4" w:rsidRPr="005B0501" w:rsidRDefault="005B0501" w:rsidP="005B0501">
      <w:pPr>
        <w:pStyle w:val="H1G"/>
      </w:pPr>
      <w:r>
        <w:tab/>
      </w:r>
      <w:r>
        <w:tab/>
      </w:r>
      <w:r w:rsidR="00F368F4" w:rsidRPr="005B0501">
        <w:t xml:space="preserve">Communication des experts du Groupe de travail </w:t>
      </w:r>
      <w:r w:rsidRPr="005B0501">
        <w:t>«</w:t>
      </w:r>
      <w:r>
        <w:t> </w:t>
      </w:r>
      <w:r w:rsidR="00F368F4" w:rsidRPr="005B0501">
        <w:t>Bruxelles 1952</w:t>
      </w:r>
      <w:r>
        <w:t> </w:t>
      </w:r>
      <w:r w:rsidRPr="005B0501">
        <w:t>»</w:t>
      </w:r>
      <w:r w:rsidR="00F368F4" w:rsidRPr="005B0501">
        <w:rPr>
          <w:b w:val="0"/>
          <w:bCs/>
          <w:sz w:val="20"/>
        </w:rPr>
        <w:footnoteReference w:customMarkFollows="1" w:id="2"/>
        <w:t>*</w:t>
      </w:r>
    </w:p>
    <w:p w14:paraId="1B368730" w14:textId="26694F62" w:rsidR="00F368F4" w:rsidRPr="005B0501" w:rsidRDefault="00F368F4" w:rsidP="005B0501">
      <w:pPr>
        <w:pStyle w:val="SingleTxtG"/>
        <w:ind w:firstLine="567"/>
      </w:pPr>
      <w:r w:rsidRPr="005B0501">
        <w:t xml:space="preserve">Le présent document, établi par les experts du Groupe de travail </w:t>
      </w:r>
      <w:r w:rsidR="005B0501" w:rsidRPr="005B0501">
        <w:t>«</w:t>
      </w:r>
      <w:r w:rsidR="005B0501">
        <w:t> </w:t>
      </w:r>
      <w:r w:rsidRPr="005B0501">
        <w:t>Bruxelles 1952</w:t>
      </w:r>
      <w:r w:rsidR="005B0501">
        <w:t> </w:t>
      </w:r>
      <w:r w:rsidR="005B0501" w:rsidRPr="005B0501">
        <w:t>»</w:t>
      </w:r>
      <w:r w:rsidRPr="005B0501">
        <w:t xml:space="preserve"> (GTB), vise à rectifier certaines erreurs relevées dans le texte. Les modifications qu’il est proposé d’apporter au texte actuel du Règlement ONU figurent en caractères gras pour les ajouts et biffés pour les suppressions.</w:t>
      </w:r>
    </w:p>
    <w:p w14:paraId="71EA97A0" w14:textId="760491E2" w:rsidR="00F368F4" w:rsidRPr="005B0501" w:rsidRDefault="00F368F4">
      <w:pPr>
        <w:suppressAutoHyphens w:val="0"/>
        <w:kinsoku/>
        <w:overflowPunct/>
        <w:autoSpaceDE/>
        <w:autoSpaceDN/>
        <w:adjustRightInd/>
        <w:snapToGrid/>
        <w:spacing w:after="200" w:line="276" w:lineRule="auto"/>
      </w:pPr>
      <w:r w:rsidRPr="005B0501">
        <w:br w:type="page"/>
      </w:r>
    </w:p>
    <w:p w14:paraId="718D0561" w14:textId="77777777" w:rsidR="00F368F4" w:rsidRPr="005B0501" w:rsidRDefault="00F368F4" w:rsidP="005B0501">
      <w:pPr>
        <w:pStyle w:val="HChG"/>
      </w:pPr>
      <w:r w:rsidRPr="005B0501">
        <w:lastRenderedPageBreak/>
        <w:tab/>
        <w:t>I.</w:t>
      </w:r>
      <w:r w:rsidRPr="005B0501">
        <w:tab/>
        <w:t>Proposition</w:t>
      </w:r>
    </w:p>
    <w:p w14:paraId="4A146036" w14:textId="7C368067" w:rsidR="00F368F4" w:rsidRPr="005B0501" w:rsidRDefault="005B0501" w:rsidP="005B0501">
      <w:pPr>
        <w:pStyle w:val="H1G"/>
        <w:rPr>
          <w:rFonts w:eastAsia="SimSun"/>
        </w:rPr>
      </w:pPr>
      <w:r>
        <w:tab/>
      </w:r>
      <w:r w:rsidR="00F368F4" w:rsidRPr="005B0501">
        <w:t>A.</w:t>
      </w:r>
      <w:r w:rsidR="00F368F4" w:rsidRPr="005B0501">
        <w:tab/>
        <w:t>Proposition de nouveau complément à la série 06 d’amendements au</w:t>
      </w:r>
      <w:r>
        <w:t> </w:t>
      </w:r>
      <w:r w:rsidR="00F368F4" w:rsidRPr="005B0501">
        <w:t xml:space="preserve">Règlement ONU </w:t>
      </w:r>
      <w:r w:rsidR="00F368F4" w:rsidRPr="005B0501">
        <w:rPr>
          <w:rFonts w:eastAsia="MS Mincho"/>
        </w:rPr>
        <w:t>n</w:t>
      </w:r>
      <w:r w:rsidR="00F368F4" w:rsidRPr="005B0501">
        <w:rPr>
          <w:rFonts w:eastAsia="MS Mincho"/>
          <w:vertAlign w:val="superscript"/>
        </w:rPr>
        <w:t>o</w:t>
      </w:r>
      <w:r w:rsidR="00F368F4" w:rsidRPr="005B0501">
        <w:rPr>
          <w:rFonts w:eastAsia="MS Mincho"/>
        </w:rPr>
        <w:t> </w:t>
      </w:r>
      <w:r w:rsidR="00F368F4" w:rsidRPr="005B0501">
        <w:t>48</w:t>
      </w:r>
    </w:p>
    <w:p w14:paraId="0ABBC8C5" w14:textId="51E8ECD9" w:rsidR="00F368F4" w:rsidRPr="005B0501" w:rsidRDefault="00F368F4" w:rsidP="004E58D6">
      <w:pPr>
        <w:pStyle w:val="SingleTxtG"/>
        <w:keepNext/>
      </w:pPr>
      <w:r w:rsidRPr="005B0501">
        <w:rPr>
          <w:i/>
          <w:iCs/>
        </w:rPr>
        <w:t>Paragraphe 6.1.8.1</w:t>
      </w:r>
      <w:r w:rsidRPr="005B0501">
        <w:t>, lire</w:t>
      </w:r>
      <w:r w:rsidR="00EB6374" w:rsidRPr="005B0501">
        <w:t> :</w:t>
      </w:r>
    </w:p>
    <w:p w14:paraId="6111D62D" w14:textId="607CCEFE" w:rsidR="00F368F4" w:rsidRPr="005B0501" w:rsidRDefault="005B0501" w:rsidP="00295078">
      <w:pPr>
        <w:pStyle w:val="SingleTxtG"/>
        <w:ind w:left="2268" w:hanging="1134"/>
        <w:rPr>
          <w:i/>
        </w:rPr>
      </w:pPr>
      <w:r w:rsidRPr="005B0501">
        <w:t>«</w:t>
      </w:r>
      <w:r>
        <w:t> </w:t>
      </w:r>
      <w:r w:rsidR="00F368F4" w:rsidRPr="005B0501">
        <w:rPr>
          <w:bCs/>
        </w:rPr>
        <w:t>6.1.8.1</w:t>
      </w:r>
      <w:r w:rsidR="00F368F4" w:rsidRPr="005B0501">
        <w:rPr>
          <w:bCs/>
        </w:rPr>
        <w:tab/>
        <w:t xml:space="preserve">Si les feux de route sont commandés automatiquement, comme décrit au </w:t>
      </w:r>
      <w:r w:rsidR="00F368F4" w:rsidRPr="00295078">
        <w:t>paragraphe</w:t>
      </w:r>
      <w:r w:rsidR="00F368F4" w:rsidRPr="005B0501">
        <w:rPr>
          <w:bCs/>
        </w:rPr>
        <w:t xml:space="preserve"> </w:t>
      </w:r>
      <w:r w:rsidR="00F368F4" w:rsidRPr="005B0501">
        <w:rPr>
          <w:bCs/>
          <w:strike/>
        </w:rPr>
        <w:t xml:space="preserve">6.1.7.1 </w:t>
      </w:r>
      <w:r w:rsidR="00F368F4" w:rsidRPr="005B0501">
        <w:rPr>
          <w:b/>
        </w:rPr>
        <w:t xml:space="preserve">6.1.7.2 </w:t>
      </w:r>
      <w:r w:rsidR="00F368F4" w:rsidRPr="005B0501">
        <w:rPr>
          <w:bCs/>
        </w:rPr>
        <w:t>ci-dessus, il doit être indiqué au conducteur que la commande automatique de la fonction feu de route est activée. Cette information doit rester visible aussi longtemps que le fonctionnement automatique est activé.</w:t>
      </w:r>
      <w:r>
        <w:t> </w:t>
      </w:r>
      <w:r w:rsidRPr="005B0501">
        <w:t>»</w:t>
      </w:r>
      <w:r w:rsidR="00F368F4" w:rsidRPr="005B0501">
        <w:rPr>
          <w:bCs/>
        </w:rPr>
        <w:t>.</w:t>
      </w:r>
    </w:p>
    <w:p w14:paraId="0452676D" w14:textId="3584D75D" w:rsidR="00F368F4" w:rsidRPr="005B0501" w:rsidRDefault="00F368F4" w:rsidP="004E58D6">
      <w:pPr>
        <w:pStyle w:val="SingleTxtG"/>
        <w:keepNext/>
        <w:rPr>
          <w:szCs w:val="16"/>
        </w:rPr>
      </w:pPr>
      <w:r w:rsidRPr="004E58D6">
        <w:rPr>
          <w:i/>
          <w:iCs/>
        </w:rPr>
        <w:t>Paragraphe 6.1.9.3.1</w:t>
      </w:r>
      <w:r w:rsidRPr="004B55BF">
        <w:rPr>
          <w:iCs/>
        </w:rPr>
        <w:t xml:space="preserve">, </w:t>
      </w:r>
      <w:r w:rsidRPr="005B0501">
        <w:t>lire</w:t>
      </w:r>
      <w:r w:rsidR="00EB6374" w:rsidRPr="005B0501">
        <w:t> :</w:t>
      </w:r>
    </w:p>
    <w:p w14:paraId="6856635D" w14:textId="57F2A803" w:rsidR="00F368F4" w:rsidRPr="005B0501" w:rsidRDefault="005B0501" w:rsidP="00295078">
      <w:pPr>
        <w:pStyle w:val="SingleTxtG"/>
        <w:ind w:left="2268" w:hanging="1134"/>
        <w:rPr>
          <w:bCs/>
        </w:rPr>
      </w:pPr>
      <w:r w:rsidRPr="005B0501">
        <w:t>«</w:t>
      </w:r>
      <w:r>
        <w:t> </w:t>
      </w:r>
      <w:r w:rsidR="00F368F4" w:rsidRPr="005B0501">
        <w:rPr>
          <w:bCs/>
        </w:rPr>
        <w:t>6.1.9.3.1</w:t>
      </w:r>
      <w:r w:rsidR="00F368F4" w:rsidRPr="005B0501">
        <w:rPr>
          <w:bCs/>
        </w:rPr>
        <w:tab/>
        <w:t xml:space="preserve">Le système de capteurs utilisé pour commander l’allumage et l’extinction </w:t>
      </w:r>
      <w:r w:rsidR="00F368F4" w:rsidRPr="00295078">
        <w:t>automatiques</w:t>
      </w:r>
      <w:r w:rsidR="00F368F4" w:rsidRPr="005B0501">
        <w:rPr>
          <w:bCs/>
        </w:rPr>
        <w:t xml:space="preserve"> des feux de route, tel qu’il est décrit au paragraphe </w:t>
      </w:r>
      <w:r w:rsidR="00F368F4" w:rsidRPr="005B0501">
        <w:rPr>
          <w:strike/>
        </w:rPr>
        <w:t>6.1.7.1</w:t>
      </w:r>
      <w:r w:rsidR="00F368F4" w:rsidRPr="005B0501">
        <w:t xml:space="preserve"> </w:t>
      </w:r>
      <w:r w:rsidR="00F368F4" w:rsidRPr="005B0501">
        <w:rPr>
          <w:b/>
          <w:bCs/>
        </w:rPr>
        <w:t>6.1.7.2</w:t>
      </w:r>
      <w:r w:rsidR="00F368F4" w:rsidRPr="005B0501">
        <w:rPr>
          <w:bCs/>
        </w:rPr>
        <w:t>, doit répondre aux prescriptions suivantes</w:t>
      </w:r>
      <w:r w:rsidR="00EB6374" w:rsidRPr="005B0501">
        <w:rPr>
          <w:bCs/>
        </w:rPr>
        <w:t> :</w:t>
      </w:r>
    </w:p>
    <w:p w14:paraId="552ECB6A" w14:textId="77777777" w:rsidR="00F368F4" w:rsidRPr="005B0501" w:rsidRDefault="00F368F4" w:rsidP="00295078">
      <w:pPr>
        <w:pStyle w:val="SingleTxtG"/>
        <w:ind w:left="2268" w:hanging="1134"/>
        <w:rPr>
          <w:bCs/>
        </w:rPr>
      </w:pPr>
      <w:r w:rsidRPr="005B0501">
        <w:rPr>
          <w:bCs/>
        </w:rPr>
        <w:t>6.1.9.3.1.1</w:t>
      </w:r>
      <w:r w:rsidRPr="005B0501">
        <w:rPr>
          <w:bCs/>
        </w:rPr>
        <w:tab/>
      </w:r>
      <w:r w:rsidRPr="00295078">
        <w:t>Les</w:t>
      </w:r>
      <w:r w:rsidRPr="005B0501">
        <w:rPr>
          <w:bCs/>
        </w:rPr>
        <w:t xml:space="preserve"> limites des champs minimums dans lesquels le capteur est capable de détecter la lumière émise ou réfléchie par d’autres véhicules, conformément à la définition qui en est donnée au paragraphe </w:t>
      </w:r>
      <w:r w:rsidRPr="005B0501">
        <w:rPr>
          <w:strike/>
        </w:rPr>
        <w:t xml:space="preserve">6.1.7.1 </w:t>
      </w:r>
      <w:r w:rsidRPr="005B0501">
        <w:rPr>
          <w:b/>
          <w:bCs/>
        </w:rPr>
        <w:t>6.1.7.2</w:t>
      </w:r>
      <w:r w:rsidRPr="005B0501">
        <w:rPr>
          <w:bCs/>
        </w:rPr>
        <w:t>, sont définies par les angles indiqués ci-après.</w:t>
      </w:r>
    </w:p>
    <w:p w14:paraId="7F3E792C" w14:textId="3E4D87DF" w:rsidR="00F368F4" w:rsidRPr="005B0501" w:rsidRDefault="00F368F4" w:rsidP="004B55BF">
      <w:pPr>
        <w:pStyle w:val="SingleTxtG"/>
        <w:keepNext/>
        <w:ind w:left="2268" w:hanging="1134"/>
        <w:rPr>
          <w:bCs/>
        </w:rPr>
      </w:pPr>
      <w:r w:rsidRPr="005B0501">
        <w:rPr>
          <w:bCs/>
        </w:rPr>
        <w:t>6.1.9.3.1.1.1</w:t>
      </w:r>
      <w:r w:rsidRPr="005B0501">
        <w:rPr>
          <w:bCs/>
        </w:rPr>
        <w:tab/>
      </w:r>
      <w:r w:rsidRPr="00295078">
        <w:t>Angles</w:t>
      </w:r>
      <w:r w:rsidRPr="005B0501">
        <w:rPr>
          <w:bCs/>
        </w:rPr>
        <w:t xml:space="preserve"> horizontaux</w:t>
      </w:r>
      <w:r w:rsidR="00EB6374" w:rsidRPr="005B0501">
        <w:rPr>
          <w:bCs/>
        </w:rPr>
        <w:t> :</w:t>
      </w:r>
      <w:r w:rsidRPr="005B0501">
        <w:rPr>
          <w:bCs/>
        </w:rPr>
        <w:t xml:space="preserve"> 15° à gauche et 15° à droite.</w:t>
      </w:r>
    </w:p>
    <w:p w14:paraId="1ABB7AC2" w14:textId="37F1E323" w:rsidR="00F368F4" w:rsidRPr="005B0501" w:rsidRDefault="00F368F4" w:rsidP="005A3A19">
      <w:pPr>
        <w:pStyle w:val="SingleTxtG"/>
        <w:ind w:left="2268"/>
      </w:pPr>
      <w:r w:rsidRPr="005B0501">
        <w:t>Angles verticaux</w:t>
      </w:r>
      <w:r w:rsidR="00EB6374" w:rsidRPr="005B0501">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4"/>
        <w:gridCol w:w="1417"/>
        <w:gridCol w:w="1418"/>
        <w:gridCol w:w="1421"/>
      </w:tblGrid>
      <w:tr w:rsidR="00F368F4" w:rsidRPr="005B0501" w14:paraId="43A5D58C" w14:textId="77777777" w:rsidTr="009A4DD1">
        <w:trPr>
          <w:tblHeader/>
        </w:trPr>
        <w:tc>
          <w:tcPr>
            <w:tcW w:w="3114" w:type="dxa"/>
            <w:shd w:val="clear" w:color="auto" w:fill="auto"/>
            <w:vAlign w:val="bottom"/>
          </w:tcPr>
          <w:p w14:paraId="25611C00" w14:textId="77777777" w:rsidR="00F368F4" w:rsidRPr="005B0501" w:rsidRDefault="00F368F4" w:rsidP="00A5686B">
            <w:pPr>
              <w:suppressAutoHyphens w:val="0"/>
              <w:spacing w:before="40" w:after="120" w:line="220" w:lineRule="exact"/>
              <w:ind w:left="113" w:right="113"/>
            </w:pPr>
            <w:r w:rsidRPr="005B0501">
              <w:t>Angle d’inclinaison vers le haut</w:t>
            </w:r>
          </w:p>
        </w:tc>
        <w:tc>
          <w:tcPr>
            <w:tcW w:w="4256" w:type="dxa"/>
            <w:gridSpan w:val="3"/>
            <w:shd w:val="clear" w:color="auto" w:fill="auto"/>
            <w:vAlign w:val="bottom"/>
          </w:tcPr>
          <w:p w14:paraId="197BF655" w14:textId="77777777" w:rsidR="00F368F4" w:rsidRPr="005B0501" w:rsidRDefault="00F368F4" w:rsidP="00A5686B">
            <w:pPr>
              <w:suppressAutoHyphens w:val="0"/>
              <w:spacing w:before="40" w:after="120" w:line="220" w:lineRule="exact"/>
              <w:ind w:left="113" w:right="113"/>
            </w:pPr>
            <w:r w:rsidRPr="005B0501">
              <w:t>5°</w:t>
            </w:r>
          </w:p>
        </w:tc>
      </w:tr>
      <w:tr w:rsidR="00F368F4" w:rsidRPr="005B0501" w14:paraId="4499EA45" w14:textId="77777777" w:rsidTr="009A4DD1">
        <w:tc>
          <w:tcPr>
            <w:tcW w:w="3114" w:type="dxa"/>
            <w:shd w:val="clear" w:color="auto" w:fill="auto"/>
          </w:tcPr>
          <w:p w14:paraId="4BFE3E51" w14:textId="77777777" w:rsidR="00F368F4" w:rsidRPr="005B0501" w:rsidRDefault="00F368F4" w:rsidP="00A5686B">
            <w:pPr>
              <w:suppressAutoHyphens w:val="0"/>
              <w:spacing w:before="40" w:after="120" w:line="220" w:lineRule="exact"/>
              <w:ind w:left="113" w:right="113"/>
              <w:rPr>
                <w:b/>
                <w:bCs/>
              </w:rPr>
            </w:pPr>
            <w:r w:rsidRPr="005B0501">
              <w:t xml:space="preserve">Hauteur de montage du capteur (mesuré </w:t>
            </w:r>
            <w:r w:rsidRPr="005B0501">
              <w:rPr>
                <w:bCs/>
              </w:rPr>
              <w:t>par rapport au sol à partir du centre de l’ouverture du capteur)</w:t>
            </w:r>
          </w:p>
        </w:tc>
        <w:tc>
          <w:tcPr>
            <w:tcW w:w="1417" w:type="dxa"/>
            <w:shd w:val="clear" w:color="auto" w:fill="auto"/>
          </w:tcPr>
          <w:p w14:paraId="73A976D3" w14:textId="1076AF97" w:rsidR="00F368F4" w:rsidRPr="005B0501" w:rsidRDefault="00F368F4" w:rsidP="00A5686B">
            <w:pPr>
              <w:suppressAutoHyphens w:val="0"/>
              <w:spacing w:before="40" w:after="120" w:line="220" w:lineRule="exact"/>
              <w:ind w:left="113" w:right="113"/>
            </w:pPr>
            <w:r w:rsidRPr="005B0501">
              <w:t>Moins de 2</w:t>
            </w:r>
            <w:r w:rsidR="0024530A">
              <w:t> </w:t>
            </w:r>
            <w:r w:rsidRPr="005B0501">
              <w:t>m</w:t>
            </w:r>
          </w:p>
        </w:tc>
        <w:tc>
          <w:tcPr>
            <w:tcW w:w="1418" w:type="dxa"/>
            <w:shd w:val="clear" w:color="auto" w:fill="auto"/>
          </w:tcPr>
          <w:p w14:paraId="47406ED8" w14:textId="0888D0BE" w:rsidR="00F368F4" w:rsidRPr="005B0501" w:rsidRDefault="00F368F4" w:rsidP="00A5686B">
            <w:pPr>
              <w:suppressAutoHyphens w:val="0"/>
              <w:spacing w:before="40" w:after="120" w:line="220" w:lineRule="exact"/>
              <w:ind w:left="113" w:right="113"/>
            </w:pPr>
            <w:r w:rsidRPr="005B0501">
              <w:t>Entre 1,5</w:t>
            </w:r>
            <w:r w:rsidR="0024530A">
              <w:t> </w:t>
            </w:r>
            <w:r w:rsidRPr="005B0501">
              <w:t>m et 2,5</w:t>
            </w:r>
            <w:r w:rsidR="0024530A">
              <w:t> </w:t>
            </w:r>
            <w:r w:rsidRPr="005B0501">
              <w:t>m</w:t>
            </w:r>
          </w:p>
        </w:tc>
        <w:tc>
          <w:tcPr>
            <w:tcW w:w="1421" w:type="dxa"/>
            <w:shd w:val="clear" w:color="auto" w:fill="auto"/>
          </w:tcPr>
          <w:p w14:paraId="0DE9276B" w14:textId="7C36398C" w:rsidR="00F368F4" w:rsidRPr="005B0501" w:rsidRDefault="00F368F4" w:rsidP="00A5686B">
            <w:pPr>
              <w:suppressAutoHyphens w:val="0"/>
              <w:spacing w:before="40" w:after="120" w:line="220" w:lineRule="exact"/>
              <w:ind w:left="113" w:right="113"/>
            </w:pPr>
            <w:r w:rsidRPr="005B0501">
              <w:t>Plus de 2,0</w:t>
            </w:r>
            <w:r w:rsidR="0024530A">
              <w:t> </w:t>
            </w:r>
            <w:r w:rsidRPr="005B0501">
              <w:t>m</w:t>
            </w:r>
          </w:p>
        </w:tc>
      </w:tr>
      <w:tr w:rsidR="00F368F4" w:rsidRPr="005B0501" w14:paraId="44D18F9F" w14:textId="77777777" w:rsidTr="009A4DD1">
        <w:tc>
          <w:tcPr>
            <w:tcW w:w="3114" w:type="dxa"/>
            <w:shd w:val="clear" w:color="auto" w:fill="auto"/>
          </w:tcPr>
          <w:p w14:paraId="5FBD2DF5" w14:textId="77777777" w:rsidR="00F368F4" w:rsidRPr="005B0501" w:rsidRDefault="00F368F4" w:rsidP="00A5686B">
            <w:pPr>
              <w:suppressAutoHyphens w:val="0"/>
              <w:spacing w:before="40" w:after="120" w:line="220" w:lineRule="exact"/>
              <w:ind w:left="113" w:right="113"/>
            </w:pPr>
            <w:r w:rsidRPr="005B0501">
              <w:t>Angle d’inclinaison vers le bas</w:t>
            </w:r>
          </w:p>
        </w:tc>
        <w:tc>
          <w:tcPr>
            <w:tcW w:w="1417" w:type="dxa"/>
            <w:shd w:val="clear" w:color="auto" w:fill="auto"/>
          </w:tcPr>
          <w:p w14:paraId="7799087C" w14:textId="77777777" w:rsidR="00F368F4" w:rsidRPr="005B0501" w:rsidRDefault="00F368F4" w:rsidP="00A5686B">
            <w:pPr>
              <w:suppressAutoHyphens w:val="0"/>
              <w:spacing w:before="40" w:after="120" w:line="220" w:lineRule="exact"/>
              <w:ind w:left="113" w:right="113"/>
            </w:pPr>
            <w:r w:rsidRPr="005B0501">
              <w:t>2°</w:t>
            </w:r>
          </w:p>
        </w:tc>
        <w:tc>
          <w:tcPr>
            <w:tcW w:w="1418" w:type="dxa"/>
            <w:shd w:val="clear" w:color="auto" w:fill="auto"/>
          </w:tcPr>
          <w:p w14:paraId="44E7803F" w14:textId="77777777" w:rsidR="00F368F4" w:rsidRPr="005B0501" w:rsidRDefault="00F368F4" w:rsidP="00A5686B">
            <w:pPr>
              <w:suppressAutoHyphens w:val="0"/>
              <w:spacing w:before="40" w:after="120" w:line="220" w:lineRule="exact"/>
              <w:ind w:left="113" w:right="113"/>
            </w:pPr>
            <w:r w:rsidRPr="005B0501">
              <w:t>2° à 5°</w:t>
            </w:r>
          </w:p>
        </w:tc>
        <w:tc>
          <w:tcPr>
            <w:tcW w:w="1421" w:type="dxa"/>
            <w:shd w:val="clear" w:color="auto" w:fill="auto"/>
          </w:tcPr>
          <w:p w14:paraId="002FCCD4" w14:textId="77777777" w:rsidR="00F368F4" w:rsidRPr="005B0501" w:rsidRDefault="00F368F4" w:rsidP="00A5686B">
            <w:pPr>
              <w:suppressAutoHyphens w:val="0"/>
              <w:spacing w:before="40" w:after="120" w:line="220" w:lineRule="exact"/>
              <w:ind w:left="113" w:right="113"/>
            </w:pPr>
            <w:r w:rsidRPr="005B0501">
              <w:t>5°</w:t>
            </w:r>
          </w:p>
        </w:tc>
      </w:tr>
    </w:tbl>
    <w:p w14:paraId="367F9FDB" w14:textId="7B5D5251" w:rsidR="00F368F4" w:rsidRPr="005B0501" w:rsidRDefault="00F368F4" w:rsidP="0024530A">
      <w:pPr>
        <w:pStyle w:val="SingleTxtG"/>
        <w:spacing w:before="120"/>
        <w:ind w:left="2268"/>
        <w:rPr>
          <w:szCs w:val="16"/>
        </w:rPr>
      </w:pPr>
      <w:r w:rsidRPr="005B0501">
        <w:rPr>
          <w:bCs/>
        </w:rPr>
        <w:t xml:space="preserve">Ces </w:t>
      </w:r>
      <w:r w:rsidRPr="005A3A19">
        <w:t>angles</w:t>
      </w:r>
      <w:r w:rsidRPr="005B0501">
        <w:rPr>
          <w:bCs/>
        </w:rPr>
        <w:t xml:space="preserve"> sont mesurés à partir du centre de l’ouverture du capteur par rapport à une ligne droite horizontale passant par ledit centre, parallèlement au plan médian longitudinal du véhicule.</w:t>
      </w:r>
      <w:r w:rsidR="005B0501">
        <w:t> </w:t>
      </w:r>
      <w:r w:rsidR="005B0501" w:rsidRPr="005B0501">
        <w:t>»</w:t>
      </w:r>
      <w:r w:rsidR="0024530A">
        <w:t>.</w:t>
      </w:r>
    </w:p>
    <w:p w14:paraId="5924554C" w14:textId="7EBE6CA4" w:rsidR="00F368F4" w:rsidRPr="005B0501" w:rsidRDefault="00F368F4" w:rsidP="004E58D6">
      <w:pPr>
        <w:pStyle w:val="SingleTxtG"/>
        <w:keepNext/>
      </w:pPr>
      <w:r w:rsidRPr="004E58D6">
        <w:rPr>
          <w:i/>
          <w:iCs/>
        </w:rPr>
        <w:t>Paragraphe</w:t>
      </w:r>
      <w:r w:rsidRPr="005B0501">
        <w:rPr>
          <w:i/>
        </w:rPr>
        <w:t xml:space="preserve"> 6.1.9.3.2</w:t>
      </w:r>
      <w:r w:rsidRPr="0024530A">
        <w:rPr>
          <w:iCs/>
        </w:rPr>
        <w:t xml:space="preserve">, </w:t>
      </w:r>
      <w:r w:rsidRPr="005B0501">
        <w:t>lire</w:t>
      </w:r>
      <w:r w:rsidR="00EB6374" w:rsidRPr="005B0501">
        <w:t> :</w:t>
      </w:r>
    </w:p>
    <w:p w14:paraId="61E91C0D" w14:textId="462BECCE" w:rsidR="00F368F4" w:rsidRPr="005B0501" w:rsidRDefault="005B0501" w:rsidP="00295078">
      <w:pPr>
        <w:pStyle w:val="SingleTxtG"/>
        <w:ind w:left="2268" w:hanging="1134"/>
        <w:rPr>
          <w:color w:val="000000"/>
        </w:rPr>
      </w:pPr>
      <w:r w:rsidRPr="005B0501">
        <w:t>«</w:t>
      </w:r>
      <w:r>
        <w:t> </w:t>
      </w:r>
      <w:r w:rsidR="00F368F4" w:rsidRPr="005B0501">
        <w:rPr>
          <w:bCs/>
        </w:rPr>
        <w:t>6.1.9.3.2</w:t>
      </w:r>
      <w:r w:rsidR="00F368F4" w:rsidRPr="005B0501">
        <w:rPr>
          <w:bCs/>
        </w:rPr>
        <w:tab/>
        <w:t xml:space="preserve">Le passage du faisceau de route au faisceau de croisement et inversement, dans les conditions indiquées au paragraphe </w:t>
      </w:r>
      <w:bookmarkStart w:id="0" w:name="_Hlk112763700"/>
      <w:r w:rsidR="00F368F4" w:rsidRPr="005B0501">
        <w:rPr>
          <w:strike/>
        </w:rPr>
        <w:t xml:space="preserve">6.1.7.1 </w:t>
      </w:r>
      <w:r w:rsidR="00F368F4" w:rsidRPr="005B0501">
        <w:rPr>
          <w:b/>
          <w:bCs/>
        </w:rPr>
        <w:t>6.1.7.2</w:t>
      </w:r>
      <w:bookmarkEnd w:id="0"/>
      <w:r w:rsidR="00F368F4" w:rsidRPr="005B0501">
        <w:rPr>
          <w:bCs/>
        </w:rPr>
        <w:t xml:space="preserve"> ci-dessus, peut être effectué automatiquement</w:t>
      </w:r>
      <w:r w:rsidR="00EB6374" w:rsidRPr="005B0501">
        <w:rPr>
          <w:bCs/>
        </w:rPr>
        <w:t> ;</w:t>
      </w:r>
      <w:r w:rsidR="00F368F4" w:rsidRPr="005B0501">
        <w:rPr>
          <w:bCs/>
        </w:rPr>
        <w:t xml:space="preserve"> il ne doit occasionner ni gêne, ni distraction, ni éblouissement.</w:t>
      </w:r>
      <w:r>
        <w:t> </w:t>
      </w:r>
      <w:r w:rsidRPr="005B0501">
        <w:t>»</w:t>
      </w:r>
      <w:r w:rsidR="0024530A">
        <w:t>.</w:t>
      </w:r>
    </w:p>
    <w:p w14:paraId="46E5F796" w14:textId="1E286C96" w:rsidR="00F368F4" w:rsidRPr="005B0501" w:rsidRDefault="00F368F4" w:rsidP="004E58D6">
      <w:pPr>
        <w:pStyle w:val="SingleTxtG"/>
        <w:keepNext/>
      </w:pPr>
      <w:r w:rsidRPr="004E58D6">
        <w:rPr>
          <w:i/>
          <w:iCs/>
        </w:rPr>
        <w:t>Paragraphe</w:t>
      </w:r>
      <w:r w:rsidRPr="005B0501">
        <w:rPr>
          <w:i/>
        </w:rPr>
        <w:t xml:space="preserve"> 6.1.9.3.4</w:t>
      </w:r>
      <w:r w:rsidRPr="0024530A">
        <w:rPr>
          <w:iCs/>
        </w:rPr>
        <w:t>,</w:t>
      </w:r>
      <w:r w:rsidRPr="005B0501">
        <w:t xml:space="preserve"> lire</w:t>
      </w:r>
      <w:r w:rsidR="00EB6374" w:rsidRPr="005B0501">
        <w:t> :</w:t>
      </w:r>
    </w:p>
    <w:p w14:paraId="7F581FA9" w14:textId="246D7190" w:rsidR="00F368F4" w:rsidRPr="005B0501" w:rsidRDefault="005B0501" w:rsidP="0024530A">
      <w:pPr>
        <w:pStyle w:val="SingleTxtG"/>
        <w:keepNext/>
        <w:ind w:left="2268" w:hanging="1134"/>
        <w:rPr>
          <w:bCs/>
        </w:rPr>
      </w:pPr>
      <w:r w:rsidRPr="005B0501">
        <w:t>«</w:t>
      </w:r>
      <w:r>
        <w:t> </w:t>
      </w:r>
      <w:r w:rsidR="00F368F4" w:rsidRPr="005B0501">
        <w:rPr>
          <w:bCs/>
        </w:rPr>
        <w:t>6.1.9.3.4</w:t>
      </w:r>
      <w:r w:rsidR="00F368F4" w:rsidRPr="005B0501">
        <w:rPr>
          <w:bCs/>
        </w:rPr>
        <w:tab/>
      </w:r>
      <w:r w:rsidR="00F368F4" w:rsidRPr="00295078">
        <w:t>La</w:t>
      </w:r>
      <w:r w:rsidR="00F368F4" w:rsidRPr="005B0501">
        <w:rPr>
          <w:rFonts w:eastAsia="Calibri"/>
        </w:rPr>
        <w:t xml:space="preserve"> commande des feux de route ne peut permettre qu’ils s’allument de manière automatique que</w:t>
      </w:r>
      <w:r w:rsidR="00EB6374" w:rsidRPr="005B0501">
        <w:rPr>
          <w:rFonts w:eastAsia="Calibri"/>
        </w:rPr>
        <w:t> :</w:t>
      </w:r>
    </w:p>
    <w:p w14:paraId="75357517" w14:textId="77777777" w:rsidR="0024530A" w:rsidRDefault="00F368F4" w:rsidP="009865FB">
      <w:pPr>
        <w:pStyle w:val="SingleTxtG"/>
        <w:ind w:left="2835" w:hanging="567"/>
      </w:pPr>
      <w:r w:rsidRPr="005B0501">
        <w:t>a)</w:t>
      </w:r>
      <w:r w:rsidRPr="005B0501">
        <w:tab/>
        <w:t xml:space="preserve">Lorsque aucun des véhicules mentionnés au paragraphe </w:t>
      </w:r>
      <w:r w:rsidRPr="005B0501">
        <w:rPr>
          <w:strike/>
        </w:rPr>
        <w:t xml:space="preserve">6.1.7.1 </w:t>
      </w:r>
      <w:r w:rsidRPr="005B0501">
        <w:rPr>
          <w:b/>
        </w:rPr>
        <w:t xml:space="preserve">6.1.7.2 </w:t>
      </w:r>
      <w:r w:rsidRPr="005B0501">
        <w:t>ci-dessus n’est détecté dans la limite des champs et des distances visés aux paragraphes 6.1.9.3.1.1 et 6.1.9.3.1.2</w:t>
      </w:r>
      <w:r w:rsidR="00EB6374" w:rsidRPr="005B0501">
        <w:t> ;</w:t>
      </w:r>
    </w:p>
    <w:p w14:paraId="56AB83C7" w14:textId="1ED9E061" w:rsidR="00F368F4" w:rsidRPr="005B0501" w:rsidRDefault="00F368F4" w:rsidP="009865FB">
      <w:pPr>
        <w:pStyle w:val="SingleTxtG"/>
        <w:ind w:left="2835" w:hanging="567"/>
        <w:rPr>
          <w:bCs/>
          <w:color w:val="000000"/>
        </w:rPr>
      </w:pPr>
      <w:r w:rsidRPr="005B0501">
        <w:rPr>
          <w:bCs/>
        </w:rPr>
        <w:t>b)</w:t>
      </w:r>
      <w:r w:rsidRPr="005B0501">
        <w:rPr>
          <w:bCs/>
        </w:rPr>
        <w:tab/>
        <w:t>Lorsque le niveau d’éclairage ambiant détecté est conforme à celui prescrit au paragraphe 6.1.9.3.5 ci-dessous.</w:t>
      </w:r>
      <w:r w:rsidR="005B0501">
        <w:t> </w:t>
      </w:r>
      <w:r w:rsidR="005B0501" w:rsidRPr="005B0501">
        <w:t>»</w:t>
      </w:r>
      <w:r w:rsidR="0024530A">
        <w:t>.</w:t>
      </w:r>
    </w:p>
    <w:p w14:paraId="0CEB3C8B" w14:textId="2781A7CE" w:rsidR="00F368F4" w:rsidRPr="005B0501" w:rsidRDefault="00F368F4" w:rsidP="004E58D6">
      <w:pPr>
        <w:pStyle w:val="SingleTxtG"/>
        <w:keepNext/>
        <w:rPr>
          <w:bCs/>
        </w:rPr>
      </w:pPr>
      <w:r w:rsidRPr="004E58D6">
        <w:rPr>
          <w:i/>
          <w:iCs/>
        </w:rPr>
        <w:t>Paragraphe</w:t>
      </w:r>
      <w:r w:rsidRPr="005B0501">
        <w:rPr>
          <w:i/>
        </w:rPr>
        <w:t xml:space="preserve"> 6.1.9.3.5</w:t>
      </w:r>
      <w:r w:rsidRPr="0024530A">
        <w:rPr>
          <w:iCs/>
        </w:rPr>
        <w:t>,</w:t>
      </w:r>
      <w:r w:rsidRPr="005B0501">
        <w:t xml:space="preserve"> lire</w:t>
      </w:r>
      <w:r w:rsidR="00EB6374" w:rsidRPr="005B0501">
        <w:t> :</w:t>
      </w:r>
    </w:p>
    <w:p w14:paraId="377E4C68" w14:textId="768F63B5" w:rsidR="00F368F4" w:rsidRPr="005B0501" w:rsidRDefault="005B0501" w:rsidP="00295078">
      <w:pPr>
        <w:pStyle w:val="SingleTxtG"/>
        <w:ind w:left="2268" w:hanging="1134"/>
        <w:rPr>
          <w:bCs/>
        </w:rPr>
      </w:pPr>
      <w:r w:rsidRPr="005B0501">
        <w:t>«</w:t>
      </w:r>
      <w:r>
        <w:t> </w:t>
      </w:r>
      <w:r w:rsidR="00F368F4" w:rsidRPr="005B0501">
        <w:rPr>
          <w:bCs/>
        </w:rPr>
        <w:t>6.1.9.3.5</w:t>
      </w:r>
      <w:r w:rsidR="00F368F4" w:rsidRPr="005B0501">
        <w:rPr>
          <w:bCs/>
        </w:rPr>
        <w:tab/>
      </w:r>
      <w:r w:rsidR="00F368F4" w:rsidRPr="00295078">
        <w:t>Lorsque</w:t>
      </w:r>
      <w:r w:rsidR="00F368F4" w:rsidRPr="005B0501">
        <w:rPr>
          <w:bCs/>
        </w:rPr>
        <w:t xml:space="preserve"> les feux de route sont allumés automatiquement, ils doivent être éteints automatiquement lorsque des véhicules venant en sens inverse ou des véhicules aval, tels qu’ils sont mentionnés au paragraphe </w:t>
      </w:r>
      <w:r w:rsidR="00F368F4" w:rsidRPr="005B0501">
        <w:rPr>
          <w:strike/>
        </w:rPr>
        <w:t xml:space="preserve">6.1.7.1. </w:t>
      </w:r>
      <w:r w:rsidR="00F368F4" w:rsidRPr="005B0501">
        <w:rPr>
          <w:b/>
          <w:bCs/>
        </w:rPr>
        <w:t>6.1.7.2</w:t>
      </w:r>
      <w:r w:rsidR="00F368F4" w:rsidRPr="005B0501">
        <w:rPr>
          <w:bCs/>
        </w:rPr>
        <w:t xml:space="preserve"> ci</w:t>
      </w:r>
      <w:r w:rsidR="0024530A">
        <w:rPr>
          <w:bCs/>
        </w:rPr>
        <w:noBreakHyphen/>
      </w:r>
      <w:r w:rsidR="00F368F4" w:rsidRPr="005B0501">
        <w:rPr>
          <w:bCs/>
        </w:rPr>
        <w:t>dessus, sont détectés dans la limite des champs et des distances visés aux paragraphes</w:t>
      </w:r>
      <w:r w:rsidR="0024530A">
        <w:rPr>
          <w:bCs/>
        </w:rPr>
        <w:t xml:space="preserve"> </w:t>
      </w:r>
      <w:r w:rsidR="00F368F4" w:rsidRPr="005B0501">
        <w:rPr>
          <w:bCs/>
        </w:rPr>
        <w:t>6.1.9.3.1.1 et 6.1.9.3.1.2.</w:t>
      </w:r>
    </w:p>
    <w:p w14:paraId="0345F632" w14:textId="3DE21D20" w:rsidR="00F368F4" w:rsidRPr="005B0501" w:rsidRDefault="00F368F4" w:rsidP="005A3A19">
      <w:pPr>
        <w:pStyle w:val="SingleTxtG"/>
        <w:ind w:left="2268"/>
        <w:rPr>
          <w:bCs/>
        </w:rPr>
      </w:pPr>
      <w:r w:rsidRPr="005B0501">
        <w:rPr>
          <w:bCs/>
        </w:rPr>
        <w:lastRenderedPageBreak/>
        <w:t>Ils doivent en outre être éteints automatiquement lorsque l’éclairement produit par les conditions d’éclairage ambiantes dépasse 7</w:t>
      </w:r>
      <w:r w:rsidR="0024530A">
        <w:rPr>
          <w:bCs/>
        </w:rPr>
        <w:t> </w:t>
      </w:r>
      <w:r w:rsidRPr="005B0501">
        <w:rPr>
          <w:bCs/>
        </w:rPr>
        <w:t>000 lx.</w:t>
      </w:r>
    </w:p>
    <w:p w14:paraId="2E02896C" w14:textId="6A6E45DE" w:rsidR="00F368F4" w:rsidRPr="005B0501" w:rsidRDefault="00F368F4" w:rsidP="005A3A19">
      <w:pPr>
        <w:pStyle w:val="SingleTxtG"/>
        <w:ind w:left="2268"/>
      </w:pPr>
      <w:r w:rsidRPr="005B0501">
        <w:rPr>
          <w:bCs/>
        </w:rPr>
        <w:t xml:space="preserve">Le respect de cette prescription doit être prouvé par le demandeur par simulation ou par tout autre moyen de vérification agréé par l’autorité </w:t>
      </w:r>
      <w:r w:rsidRPr="005A3A19">
        <w:t>d’homologation</w:t>
      </w:r>
      <w:r w:rsidRPr="005B0501">
        <w:rPr>
          <w:bCs/>
        </w:rPr>
        <w:t xml:space="preserve"> de type. Au besoin, l’éclairement doit être mesuré sur une surface horizontale, à l’aide d’un capteur à correction de cosinus placé à la même hauteur que la position de montage du capteur situé sur le véhicule. Le fabricant peut en fournir la preuve à l’aide d’une documentation suffisante ou de tout autre moyen agréé par l’autorité d’homologation de type.</w:t>
      </w:r>
      <w:r w:rsidR="005B0501">
        <w:t> </w:t>
      </w:r>
      <w:r w:rsidR="005B0501" w:rsidRPr="005B0501">
        <w:t>»</w:t>
      </w:r>
      <w:r w:rsidRPr="005B0501">
        <w:rPr>
          <w:bCs/>
        </w:rPr>
        <w:t>.</w:t>
      </w:r>
    </w:p>
    <w:p w14:paraId="325EC2FD" w14:textId="77777777" w:rsidR="00F368F4" w:rsidRPr="005B0501" w:rsidRDefault="00F368F4" w:rsidP="0024530A">
      <w:pPr>
        <w:pStyle w:val="SingleTxtG"/>
        <w:rPr>
          <w:i/>
          <w:iCs/>
        </w:rPr>
      </w:pPr>
      <w:r w:rsidRPr="005B0501">
        <w:rPr>
          <w:i/>
          <w:iCs/>
        </w:rPr>
        <w:t>Paragraphe 6.3.5, note de bas de page 13</w:t>
      </w:r>
      <w:r w:rsidRPr="0024530A">
        <w:t xml:space="preserve">, </w:t>
      </w:r>
      <w:r w:rsidRPr="005B0501">
        <w:t>supprimer</w:t>
      </w:r>
      <w:r w:rsidRPr="005B0501">
        <w:rPr>
          <w:i/>
          <w:iCs/>
        </w:rPr>
        <w:t>.</w:t>
      </w:r>
    </w:p>
    <w:p w14:paraId="786B2AB7" w14:textId="77777777" w:rsidR="00F368F4" w:rsidRPr="005B0501" w:rsidRDefault="00F368F4" w:rsidP="0024530A">
      <w:pPr>
        <w:pStyle w:val="SingleTxtG"/>
        <w:rPr>
          <w:i/>
          <w:iCs/>
        </w:rPr>
      </w:pPr>
      <w:r w:rsidRPr="005B0501">
        <w:rPr>
          <w:i/>
          <w:iCs/>
        </w:rPr>
        <w:t>Paragraphe 6.3.6.1.1, appel de de bas de page 13</w:t>
      </w:r>
      <w:r w:rsidRPr="0024530A">
        <w:t xml:space="preserve">, </w:t>
      </w:r>
      <w:r w:rsidRPr="005B0501">
        <w:t>supprimer</w:t>
      </w:r>
      <w:r w:rsidRPr="005B0501">
        <w:rPr>
          <w:i/>
          <w:iCs/>
        </w:rPr>
        <w:t>.</w:t>
      </w:r>
    </w:p>
    <w:p w14:paraId="4252A145" w14:textId="77777777" w:rsidR="00F368F4" w:rsidRPr="005B0501" w:rsidRDefault="00F368F4" w:rsidP="0024530A">
      <w:pPr>
        <w:pStyle w:val="SingleTxtG"/>
        <w:rPr>
          <w:i/>
          <w:iCs/>
        </w:rPr>
      </w:pPr>
      <w:r w:rsidRPr="005B0501">
        <w:rPr>
          <w:i/>
          <w:iCs/>
        </w:rPr>
        <w:t>Paragraphe 6.5.8, appel de de bas de page 13</w:t>
      </w:r>
      <w:r w:rsidRPr="0024530A">
        <w:t xml:space="preserve">, </w:t>
      </w:r>
      <w:r w:rsidRPr="005B0501">
        <w:t>supprimer</w:t>
      </w:r>
      <w:r w:rsidRPr="005B0501">
        <w:rPr>
          <w:i/>
          <w:iCs/>
        </w:rPr>
        <w:t>.</w:t>
      </w:r>
    </w:p>
    <w:p w14:paraId="7701B864" w14:textId="77777777" w:rsidR="00F368F4" w:rsidRPr="005B0501" w:rsidRDefault="00F368F4" w:rsidP="0024530A">
      <w:pPr>
        <w:pStyle w:val="SingleTxtG"/>
        <w:rPr>
          <w:i/>
        </w:rPr>
      </w:pPr>
      <w:r w:rsidRPr="005B0501">
        <w:rPr>
          <w:i/>
          <w:iCs/>
        </w:rPr>
        <w:t>Paragraphe 6.19.7.3, note de bas de page 14</w:t>
      </w:r>
      <w:r w:rsidRPr="0024530A">
        <w:t xml:space="preserve">, </w:t>
      </w:r>
      <w:r w:rsidRPr="005B0501">
        <w:t>supprimer</w:t>
      </w:r>
      <w:r w:rsidRPr="005B0501">
        <w:rPr>
          <w:i/>
          <w:iCs/>
        </w:rPr>
        <w:t>.</w:t>
      </w:r>
    </w:p>
    <w:p w14:paraId="180BDCDA" w14:textId="1A67D7E6" w:rsidR="00F368F4" w:rsidRPr="005B0501" w:rsidRDefault="00F368F4" w:rsidP="004E58D6">
      <w:pPr>
        <w:pStyle w:val="SingleTxtG"/>
        <w:keepNext/>
      </w:pPr>
      <w:bookmarkStart w:id="1" w:name="_Hlk112846043"/>
      <w:r w:rsidRPr="004E58D6">
        <w:rPr>
          <w:i/>
          <w:iCs/>
        </w:rPr>
        <w:t>Paragraphe</w:t>
      </w:r>
      <w:r w:rsidRPr="005B0501">
        <w:rPr>
          <w:i/>
        </w:rPr>
        <w:t xml:space="preserve"> 6.20</w:t>
      </w:r>
      <w:r w:rsidRPr="0024530A">
        <w:rPr>
          <w:iCs/>
        </w:rPr>
        <w:t xml:space="preserve">, </w:t>
      </w:r>
      <w:r w:rsidRPr="005B0501">
        <w:rPr>
          <w:rFonts w:eastAsia="MS Mincho"/>
        </w:rPr>
        <w:t>lire</w:t>
      </w:r>
      <w:r w:rsidR="00EB6374" w:rsidRPr="005B0501">
        <w:rPr>
          <w:rFonts w:eastAsia="MS Mincho"/>
        </w:rPr>
        <w:t> :</w:t>
      </w:r>
    </w:p>
    <w:p w14:paraId="1A2448E0" w14:textId="48C2759B" w:rsidR="00F368F4" w:rsidRPr="005B0501" w:rsidRDefault="005B0501" w:rsidP="00295078">
      <w:pPr>
        <w:pStyle w:val="SingleTxtG"/>
        <w:ind w:left="2268" w:hanging="1134"/>
      </w:pPr>
      <w:r w:rsidRPr="005B0501">
        <w:t>«</w:t>
      </w:r>
      <w:r>
        <w:t> </w:t>
      </w:r>
      <w:r w:rsidR="00F368F4" w:rsidRPr="005B0501">
        <w:t>6.20</w:t>
      </w:r>
      <w:r w:rsidR="00F368F4" w:rsidRPr="005B0501">
        <w:tab/>
        <w:t xml:space="preserve">Feu d’angle (Règlement ONU </w:t>
      </w:r>
      <w:r w:rsidR="00F368F4" w:rsidRPr="005B0501">
        <w:rPr>
          <w:rFonts w:eastAsia="MS Mincho"/>
        </w:rPr>
        <w:t>n</w:t>
      </w:r>
      <w:r w:rsidR="00F368F4" w:rsidRPr="005B0501">
        <w:rPr>
          <w:rFonts w:eastAsia="MS Mincho"/>
          <w:vertAlign w:val="superscript"/>
        </w:rPr>
        <w:t>o</w:t>
      </w:r>
      <w:r w:rsidR="00F368F4" w:rsidRPr="005B0501">
        <w:rPr>
          <w:rFonts w:eastAsia="MS Mincho"/>
        </w:rPr>
        <w:t> </w:t>
      </w:r>
      <w:r w:rsidR="00F368F4" w:rsidRPr="005B0501">
        <w:t xml:space="preserve">119 ou </w:t>
      </w:r>
      <w:r w:rsidR="00F368F4" w:rsidRPr="005B0501">
        <w:rPr>
          <w:strike/>
        </w:rPr>
        <w:t>148</w:t>
      </w:r>
      <w:r w:rsidR="00F368F4" w:rsidRPr="005B0501">
        <w:rPr>
          <w:b/>
          <w:bCs/>
        </w:rPr>
        <w:t>149</w:t>
      </w:r>
      <w:r w:rsidR="00F368F4" w:rsidRPr="005B0501">
        <w:t>)</w:t>
      </w:r>
      <w:r>
        <w:t> </w:t>
      </w:r>
      <w:r w:rsidRPr="005B0501">
        <w:t>»</w:t>
      </w:r>
      <w:r w:rsidR="00F368F4" w:rsidRPr="005B0501">
        <w:t>.</w:t>
      </w:r>
    </w:p>
    <w:p w14:paraId="7D0C7D42" w14:textId="49AA5485" w:rsidR="00F368F4" w:rsidRPr="005B0501" w:rsidRDefault="00F368F4" w:rsidP="004E58D6">
      <w:pPr>
        <w:pStyle w:val="SingleTxtG"/>
        <w:keepNext/>
      </w:pPr>
      <w:r w:rsidRPr="005B0501">
        <w:rPr>
          <w:i/>
          <w:iCs/>
        </w:rPr>
        <w:t>Paragraphe 6.22.4.1.2, note de bas de page 15</w:t>
      </w:r>
      <w:r w:rsidRPr="0024530A">
        <w:t>,</w:t>
      </w:r>
      <w:r w:rsidRPr="005B0501">
        <w:rPr>
          <w:i/>
          <w:iCs/>
        </w:rPr>
        <w:t xml:space="preserve"> </w:t>
      </w:r>
      <w:r w:rsidRPr="005B0501">
        <w:t>lire</w:t>
      </w:r>
      <w:r w:rsidR="00EB6374" w:rsidRPr="005B0501">
        <w:t> :</w:t>
      </w:r>
    </w:p>
    <w:p w14:paraId="632E3C8B" w14:textId="3CD01AF6" w:rsidR="00F368F4" w:rsidRPr="005B0501" w:rsidRDefault="0024530A" w:rsidP="005A3A19">
      <w:pPr>
        <w:pStyle w:val="Notedebasdepage"/>
        <w:spacing w:after="240"/>
        <w:rPr>
          <w:szCs w:val="18"/>
        </w:rPr>
      </w:pPr>
      <w:r>
        <w:tab/>
      </w:r>
      <w:r w:rsidR="005B0501" w:rsidRPr="005B0501">
        <w:t>«</w:t>
      </w:r>
      <w:r w:rsidR="005B0501">
        <w:t> </w:t>
      </w:r>
      <w:r w:rsidR="00F368F4" w:rsidRPr="0024530A">
        <w:rPr>
          <w:b/>
          <w:bCs/>
          <w:szCs w:val="18"/>
          <w:vertAlign w:val="superscript"/>
        </w:rPr>
        <w:t>13</w:t>
      </w:r>
      <w:r w:rsidR="00F368F4" w:rsidRPr="005B0501">
        <w:rPr>
          <w:szCs w:val="18"/>
        </w:rPr>
        <w:tab/>
        <w:t xml:space="preserve">Dans le cas de </w:t>
      </w:r>
      <w:r>
        <w:t>“</w:t>
      </w:r>
      <w:r w:rsidR="00F368F4" w:rsidRPr="005B0501">
        <w:rPr>
          <w:szCs w:val="18"/>
        </w:rPr>
        <w:t>deux unités d’éclairage supplémentaires placées symétriquement</w:t>
      </w:r>
      <w:r>
        <w:rPr>
          <w:szCs w:val="18"/>
        </w:rPr>
        <w:t>”</w:t>
      </w:r>
      <w:r w:rsidR="00F368F4" w:rsidRPr="005B0501">
        <w:rPr>
          <w:szCs w:val="18"/>
        </w:rPr>
        <w:t>, la distance horizontale peut être de 200</w:t>
      </w:r>
      <w:r w:rsidR="009865FB">
        <w:rPr>
          <w:szCs w:val="18"/>
        </w:rPr>
        <w:t> </w:t>
      </w:r>
      <w:r w:rsidR="00F368F4" w:rsidRPr="005B0501">
        <w:rPr>
          <w:szCs w:val="18"/>
        </w:rPr>
        <w:t>mm (C sur la figure).</w:t>
      </w:r>
      <w:r w:rsidR="005B0501">
        <w:t> </w:t>
      </w:r>
      <w:r w:rsidR="005B0501" w:rsidRPr="0024530A">
        <w:rPr>
          <w:sz w:val="20"/>
        </w:rPr>
        <w:t>»</w:t>
      </w:r>
      <w:r w:rsidRPr="0024530A">
        <w:rPr>
          <w:sz w:val="20"/>
        </w:rPr>
        <w:t>.</w:t>
      </w:r>
    </w:p>
    <w:p w14:paraId="7FD58C2A" w14:textId="141E26B8" w:rsidR="00F368F4" w:rsidRPr="005B0501" w:rsidRDefault="00F368F4" w:rsidP="004E58D6">
      <w:pPr>
        <w:pStyle w:val="SingleTxtG"/>
        <w:keepNext/>
      </w:pPr>
      <w:r w:rsidRPr="004E58D6">
        <w:rPr>
          <w:i/>
          <w:iCs/>
        </w:rPr>
        <w:t>Paragraphe</w:t>
      </w:r>
      <w:r w:rsidRPr="005B0501">
        <w:rPr>
          <w:i/>
        </w:rPr>
        <w:t xml:space="preserve"> 6.22.7.4.3</w:t>
      </w:r>
      <w:r w:rsidRPr="005B0501">
        <w:t>, lire</w:t>
      </w:r>
      <w:r w:rsidR="00EB6374" w:rsidRPr="005B0501">
        <w:t> :</w:t>
      </w:r>
    </w:p>
    <w:p w14:paraId="3E6F2823" w14:textId="19694D32" w:rsidR="00F368F4" w:rsidRPr="005B0501" w:rsidRDefault="005B0501" w:rsidP="00295078">
      <w:pPr>
        <w:pStyle w:val="SingleTxtG"/>
        <w:ind w:left="2268" w:hanging="1134"/>
        <w:rPr>
          <w:rFonts w:eastAsia="Calibri"/>
          <w:lang w:eastAsia="fr-FR"/>
        </w:rPr>
      </w:pPr>
      <w:r w:rsidRPr="005B0501">
        <w:t>«</w:t>
      </w:r>
      <w:r>
        <w:t> </w:t>
      </w:r>
      <w:r w:rsidR="00F368F4" w:rsidRPr="005B0501">
        <w:rPr>
          <w:rFonts w:eastAsia="Calibri"/>
        </w:rPr>
        <w:t>6.22.7.4.3</w:t>
      </w:r>
      <w:r w:rsidR="00F368F4" w:rsidRPr="005B0501">
        <w:rPr>
          <w:rFonts w:eastAsia="Calibri"/>
        </w:rPr>
        <w:tab/>
      </w:r>
      <w:r w:rsidR="00F368F4" w:rsidRPr="00295078">
        <w:t>Le</w:t>
      </w:r>
      <w:r w:rsidR="00F368F4" w:rsidRPr="005B0501">
        <w:rPr>
          <w:rFonts w:eastAsia="Calibri"/>
          <w:lang w:eastAsia="fr-FR"/>
        </w:rPr>
        <w:t xml:space="preserve"> ou les modes de la classe</w:t>
      </w:r>
      <w:r w:rsidR="0024530A">
        <w:rPr>
          <w:rFonts w:eastAsia="Calibri"/>
          <w:lang w:eastAsia="fr-FR"/>
        </w:rPr>
        <w:t xml:space="preserve"> </w:t>
      </w:r>
      <w:r w:rsidR="00F368F4" w:rsidRPr="005B0501">
        <w:rPr>
          <w:rFonts w:eastAsia="Calibri"/>
          <w:lang w:eastAsia="fr-FR"/>
        </w:rPr>
        <w:t>E du faisceau de croisement ne doivent fonctionner que si la vitesse du véhicule dépasse 60 km/h et une ou plusieurs des conditions ci-dessous sont automatiquement détectées</w:t>
      </w:r>
      <w:r w:rsidR="00EB6374" w:rsidRPr="005B0501">
        <w:rPr>
          <w:rFonts w:eastAsia="Calibri"/>
          <w:lang w:eastAsia="fr-FR"/>
        </w:rPr>
        <w:t> :</w:t>
      </w:r>
    </w:p>
    <w:p w14:paraId="49638A60" w14:textId="18B17FF0" w:rsidR="00F368F4" w:rsidRPr="005B0501" w:rsidRDefault="00F368F4" w:rsidP="005A3A19">
      <w:pPr>
        <w:pStyle w:val="SingleTxtG"/>
        <w:ind w:left="2835" w:hanging="567"/>
      </w:pPr>
      <w:r w:rsidRPr="005B0501">
        <w:t>a)</w:t>
      </w:r>
      <w:r w:rsidRPr="005B0501">
        <w:tab/>
      </w:r>
      <w:r w:rsidRPr="005B0501">
        <w:rPr>
          <w:lang w:eastAsia="fr-FR"/>
        </w:rPr>
        <w:t>Les caractéristiques de la route correspondent à celles d’une autoroute</w:t>
      </w:r>
      <w:r w:rsidRPr="0024530A">
        <w:rPr>
          <w:strike/>
          <w:sz w:val="18"/>
          <w:szCs w:val="18"/>
          <w:vertAlign w:val="superscript"/>
          <w:lang w:eastAsia="fr-FR"/>
        </w:rPr>
        <w:t>16</w:t>
      </w:r>
      <w:r w:rsidRPr="0024530A">
        <w:rPr>
          <w:b/>
          <w:bCs/>
          <w:sz w:val="18"/>
          <w:szCs w:val="18"/>
          <w:vertAlign w:val="superscript"/>
          <w:lang w:eastAsia="fr-FR"/>
        </w:rPr>
        <w:t>14</w:t>
      </w:r>
      <w:r w:rsidRPr="005B0501">
        <w:t xml:space="preserve"> </w:t>
      </w:r>
      <w:r w:rsidRPr="005B0501">
        <w:rPr>
          <w:lang w:eastAsia="fr-FR"/>
        </w:rPr>
        <w:t>ou la vitesse du véhicule dépasse 110 km/h (application du signal</w:t>
      </w:r>
      <w:r w:rsidR="0024530A">
        <w:rPr>
          <w:lang w:eastAsia="fr-FR"/>
        </w:rPr>
        <w:t xml:space="preserve"> </w:t>
      </w:r>
      <w:r w:rsidRPr="005B0501">
        <w:rPr>
          <w:lang w:eastAsia="fr-FR"/>
        </w:rPr>
        <w:t>E)</w:t>
      </w:r>
      <w:r w:rsidR="00EB6374" w:rsidRPr="005B0501">
        <w:rPr>
          <w:lang w:eastAsia="fr-FR"/>
        </w:rPr>
        <w:t> ;</w:t>
      </w:r>
    </w:p>
    <w:p w14:paraId="0AC05F8B" w14:textId="03B24528" w:rsidR="00F368F4" w:rsidRPr="005B0501" w:rsidRDefault="00F368F4" w:rsidP="005A3A19">
      <w:pPr>
        <w:pStyle w:val="SingleTxtG"/>
        <w:ind w:left="2835" w:hanging="567"/>
        <w:rPr>
          <w:rFonts w:eastAsia="Calibri"/>
        </w:rPr>
      </w:pPr>
      <w:r w:rsidRPr="005B0501">
        <w:rPr>
          <w:rFonts w:eastAsia="Calibri"/>
        </w:rPr>
        <w:t>b)</w:t>
      </w:r>
      <w:r w:rsidRPr="005B0501">
        <w:rPr>
          <w:rFonts w:eastAsia="Calibri"/>
        </w:rPr>
        <w:tab/>
      </w:r>
      <w:r w:rsidRPr="005A3A19">
        <w:t>Lorsqu’un</w:t>
      </w:r>
      <w:r w:rsidRPr="005B0501">
        <w:rPr>
          <w:rFonts w:eastAsia="Calibri"/>
          <w:lang w:eastAsia="fr-FR"/>
        </w:rPr>
        <w:t xml:space="preserve"> mode de la classe</w:t>
      </w:r>
      <w:r w:rsidR="0024530A">
        <w:rPr>
          <w:rFonts w:eastAsia="Calibri"/>
          <w:lang w:eastAsia="fr-FR"/>
        </w:rPr>
        <w:t xml:space="preserve"> </w:t>
      </w:r>
      <w:r w:rsidRPr="005B0501">
        <w:rPr>
          <w:rFonts w:eastAsia="Calibri"/>
          <w:lang w:eastAsia="fr-FR"/>
        </w:rPr>
        <w:t>E du faisceau de croisement est conforme, d’après les documents d’homologation ou la fiche de communication du système, à un ensemble de données du tableau</w:t>
      </w:r>
      <w:r w:rsidR="0024530A">
        <w:rPr>
          <w:rFonts w:eastAsia="Calibri"/>
          <w:lang w:eastAsia="fr-FR"/>
        </w:rPr>
        <w:t xml:space="preserve"> </w:t>
      </w:r>
      <w:r w:rsidRPr="005B0501">
        <w:rPr>
          <w:rFonts w:eastAsia="Calibri"/>
          <w:lang w:eastAsia="fr-FR"/>
        </w:rPr>
        <w:t>6 de</w:t>
      </w:r>
      <w:r w:rsidR="0024530A">
        <w:rPr>
          <w:rFonts w:eastAsia="Calibri"/>
          <w:lang w:eastAsia="fr-FR"/>
        </w:rPr>
        <w:t xml:space="preserve"> </w:t>
      </w:r>
      <w:r w:rsidRPr="005B0501">
        <w:rPr>
          <w:rFonts w:eastAsia="Calibri"/>
          <w:lang w:eastAsia="fr-FR"/>
        </w:rPr>
        <w:t>l’annexe</w:t>
      </w:r>
      <w:r w:rsidR="0024530A">
        <w:rPr>
          <w:rFonts w:eastAsia="Calibri"/>
          <w:lang w:eastAsia="fr-FR"/>
        </w:rPr>
        <w:t xml:space="preserve"> </w:t>
      </w:r>
      <w:r w:rsidRPr="005B0501">
        <w:rPr>
          <w:rFonts w:eastAsia="Calibri"/>
          <w:lang w:eastAsia="fr-FR"/>
        </w:rPr>
        <w:t xml:space="preserve">3 du Règlement ONU </w:t>
      </w:r>
      <w:r w:rsidRPr="005B0501">
        <w:rPr>
          <w:rFonts w:eastAsia="MS Mincho"/>
        </w:rPr>
        <w:t>n</w:t>
      </w:r>
      <w:r w:rsidRPr="005B0501">
        <w:rPr>
          <w:rFonts w:eastAsia="MS Mincho"/>
          <w:vertAlign w:val="superscript"/>
        </w:rPr>
        <w:t>o</w:t>
      </w:r>
      <w:r w:rsidRPr="005B0501">
        <w:rPr>
          <w:rFonts w:eastAsia="MS Mincho"/>
        </w:rPr>
        <w:t> </w:t>
      </w:r>
      <w:r w:rsidRPr="005B0501">
        <w:rPr>
          <w:rFonts w:eastAsia="Calibri"/>
          <w:lang w:eastAsia="fr-FR"/>
        </w:rPr>
        <w:t xml:space="preserve">123 ou du tableau 14 du Règlement ONU </w:t>
      </w:r>
      <w:r w:rsidRPr="005B0501">
        <w:rPr>
          <w:rFonts w:eastAsia="MS Mincho"/>
        </w:rPr>
        <w:t>n</w:t>
      </w:r>
      <w:r w:rsidRPr="005B0501">
        <w:rPr>
          <w:rFonts w:eastAsia="MS Mincho"/>
          <w:vertAlign w:val="superscript"/>
        </w:rPr>
        <w:t>o</w:t>
      </w:r>
      <w:r w:rsidRPr="005B0501">
        <w:rPr>
          <w:rFonts w:eastAsia="MS Mincho"/>
        </w:rPr>
        <w:t> </w:t>
      </w:r>
      <w:r w:rsidRPr="005B0501">
        <w:rPr>
          <w:rFonts w:eastAsia="Calibri"/>
          <w:lang w:eastAsia="fr-FR"/>
        </w:rPr>
        <w:t>149.</w:t>
      </w:r>
    </w:p>
    <w:p w14:paraId="111E02BC" w14:textId="4E235D12" w:rsidR="00F368F4" w:rsidRPr="005A3A19" w:rsidRDefault="00F368F4" w:rsidP="005A3A19">
      <w:pPr>
        <w:pStyle w:val="SingleTxtG"/>
        <w:ind w:left="2268"/>
        <w:rPr>
          <w:strike/>
        </w:rPr>
      </w:pPr>
      <w:r w:rsidRPr="005B0501">
        <w:tab/>
      </w:r>
      <w:r w:rsidRPr="005A3A19">
        <w:rPr>
          <w:strike/>
          <w:lang w:eastAsia="fr-FR"/>
        </w:rPr>
        <w:t>Ensemble de données</w:t>
      </w:r>
      <w:r w:rsidR="0024530A">
        <w:rPr>
          <w:strike/>
          <w:lang w:eastAsia="fr-FR"/>
        </w:rPr>
        <w:t xml:space="preserve"> </w:t>
      </w:r>
      <w:r w:rsidRPr="005A3A19">
        <w:rPr>
          <w:strike/>
          <w:lang w:eastAsia="fr-FR"/>
        </w:rPr>
        <w:t>E1</w:t>
      </w:r>
      <w:r w:rsidR="00EB6374" w:rsidRPr="005A3A19">
        <w:rPr>
          <w:strike/>
          <w:lang w:eastAsia="fr-FR"/>
        </w:rPr>
        <w:t> :</w:t>
      </w:r>
      <w:r w:rsidRPr="005A3A19">
        <w:rPr>
          <w:strike/>
          <w:lang w:eastAsia="fr-FR"/>
        </w:rPr>
        <w:t xml:space="preserve"> vitesse du véhicule supérieure à 100 km/h (application du signal</w:t>
      </w:r>
      <w:r w:rsidR="0024530A">
        <w:rPr>
          <w:strike/>
          <w:lang w:eastAsia="fr-FR"/>
        </w:rPr>
        <w:t xml:space="preserve"> </w:t>
      </w:r>
      <w:r w:rsidRPr="005A3A19">
        <w:rPr>
          <w:strike/>
          <w:lang w:eastAsia="fr-FR"/>
        </w:rPr>
        <w:t>E1)</w:t>
      </w:r>
      <w:r w:rsidR="00EB6374" w:rsidRPr="005A3A19">
        <w:rPr>
          <w:strike/>
          <w:lang w:eastAsia="fr-FR"/>
        </w:rPr>
        <w:t> ;</w:t>
      </w:r>
    </w:p>
    <w:p w14:paraId="475B925B" w14:textId="6978E5A5" w:rsidR="00F368F4" w:rsidRPr="005A3A19" w:rsidRDefault="00F368F4" w:rsidP="005A3A19">
      <w:pPr>
        <w:pStyle w:val="SingleTxtG"/>
        <w:ind w:left="2268"/>
        <w:rPr>
          <w:strike/>
        </w:rPr>
      </w:pPr>
      <w:r w:rsidRPr="005A3A19">
        <w:rPr>
          <w:strike/>
        </w:rPr>
        <w:tab/>
      </w:r>
      <w:r w:rsidRPr="005A3A19">
        <w:rPr>
          <w:strike/>
          <w:lang w:eastAsia="fr-FR"/>
        </w:rPr>
        <w:t>Ensemble de données</w:t>
      </w:r>
      <w:r w:rsidR="0024530A">
        <w:rPr>
          <w:strike/>
          <w:lang w:eastAsia="fr-FR"/>
        </w:rPr>
        <w:t xml:space="preserve"> </w:t>
      </w:r>
      <w:r w:rsidRPr="005A3A19">
        <w:rPr>
          <w:strike/>
          <w:lang w:eastAsia="fr-FR"/>
        </w:rPr>
        <w:t>E2</w:t>
      </w:r>
      <w:r w:rsidR="00EB6374" w:rsidRPr="005A3A19">
        <w:rPr>
          <w:strike/>
          <w:lang w:eastAsia="fr-FR"/>
        </w:rPr>
        <w:t> :</w:t>
      </w:r>
      <w:r w:rsidRPr="005A3A19">
        <w:rPr>
          <w:strike/>
          <w:lang w:eastAsia="fr-FR"/>
        </w:rPr>
        <w:t xml:space="preserve"> vitesse du véhicule supérieure à 90 km/h (application du signal</w:t>
      </w:r>
      <w:r w:rsidR="0024530A">
        <w:rPr>
          <w:strike/>
          <w:lang w:eastAsia="fr-FR"/>
        </w:rPr>
        <w:t xml:space="preserve"> </w:t>
      </w:r>
      <w:r w:rsidRPr="005A3A19">
        <w:rPr>
          <w:strike/>
          <w:lang w:eastAsia="fr-FR"/>
        </w:rPr>
        <w:t>E2)</w:t>
      </w:r>
      <w:r w:rsidR="00EB6374" w:rsidRPr="005A3A19">
        <w:rPr>
          <w:strike/>
          <w:lang w:eastAsia="fr-FR"/>
        </w:rPr>
        <w:t> ;</w:t>
      </w:r>
    </w:p>
    <w:p w14:paraId="1F0A7F68" w14:textId="2865D886" w:rsidR="00F368F4" w:rsidRPr="005A3A19" w:rsidRDefault="00F368F4" w:rsidP="005A3A19">
      <w:pPr>
        <w:pStyle w:val="SingleTxtG"/>
        <w:ind w:left="2268"/>
        <w:rPr>
          <w:b/>
          <w:strike/>
        </w:rPr>
      </w:pPr>
      <w:r w:rsidRPr="005A3A19">
        <w:rPr>
          <w:strike/>
        </w:rPr>
        <w:tab/>
      </w:r>
      <w:r w:rsidRPr="005A3A19">
        <w:rPr>
          <w:strike/>
          <w:lang w:eastAsia="fr-FR"/>
        </w:rPr>
        <w:t>Ensemble de données</w:t>
      </w:r>
      <w:r w:rsidR="0024530A">
        <w:rPr>
          <w:strike/>
          <w:lang w:eastAsia="fr-FR"/>
        </w:rPr>
        <w:t xml:space="preserve"> </w:t>
      </w:r>
      <w:r w:rsidRPr="005A3A19">
        <w:rPr>
          <w:strike/>
          <w:lang w:eastAsia="fr-FR"/>
        </w:rPr>
        <w:t>E3</w:t>
      </w:r>
      <w:r w:rsidR="00EB6374" w:rsidRPr="005A3A19">
        <w:rPr>
          <w:strike/>
          <w:lang w:eastAsia="fr-FR"/>
        </w:rPr>
        <w:t> :</w:t>
      </w:r>
      <w:r w:rsidRPr="005A3A19">
        <w:rPr>
          <w:strike/>
          <w:lang w:eastAsia="fr-FR"/>
        </w:rPr>
        <w:t xml:space="preserve"> vitesse du véhicule supérieure à 80 km/h (application du signal</w:t>
      </w:r>
      <w:r w:rsidR="0024530A">
        <w:rPr>
          <w:strike/>
          <w:lang w:eastAsia="fr-FR"/>
        </w:rPr>
        <w:t xml:space="preserve"> </w:t>
      </w:r>
      <w:r w:rsidRPr="005A3A19">
        <w:rPr>
          <w:strike/>
          <w:lang w:eastAsia="fr-FR"/>
        </w:rPr>
        <w:t>E3).</w:t>
      </w:r>
    </w:p>
    <w:p w14:paraId="25BABFA5" w14:textId="6792483D" w:rsidR="005A3A19" w:rsidRPr="005A3A19" w:rsidRDefault="00F368F4" w:rsidP="005A3A19">
      <w:pPr>
        <w:pStyle w:val="SingleTxtG"/>
        <w:ind w:left="2835"/>
        <w:rPr>
          <w:b/>
          <w:bCs/>
        </w:rPr>
      </w:pPr>
      <w:r w:rsidRPr="005A3A19">
        <w:rPr>
          <w:b/>
          <w:bCs/>
        </w:rPr>
        <w:t>Ensemble de données E1</w:t>
      </w:r>
      <w:r w:rsidR="00EB6374" w:rsidRPr="005A3A19">
        <w:rPr>
          <w:b/>
          <w:bCs/>
        </w:rPr>
        <w:t> :</w:t>
      </w:r>
      <w:r w:rsidRPr="005A3A19">
        <w:rPr>
          <w:b/>
          <w:bCs/>
        </w:rPr>
        <w:t xml:space="preserve"> vitesse du véhicule supérieure à 100</w:t>
      </w:r>
      <w:r w:rsidR="0024530A">
        <w:rPr>
          <w:b/>
          <w:bCs/>
        </w:rPr>
        <w:t> </w:t>
      </w:r>
      <w:r w:rsidRPr="005A3A19">
        <w:rPr>
          <w:b/>
          <w:bCs/>
        </w:rPr>
        <w:t>km/h (application du signal E1)</w:t>
      </w:r>
      <w:r w:rsidR="00EB6374" w:rsidRPr="005A3A19">
        <w:rPr>
          <w:b/>
          <w:bCs/>
        </w:rPr>
        <w:t> ;</w:t>
      </w:r>
    </w:p>
    <w:p w14:paraId="0E3B1C04" w14:textId="43528B09" w:rsidR="005A3A19" w:rsidRDefault="00F368F4" w:rsidP="005A3A19">
      <w:pPr>
        <w:pStyle w:val="SingleTxtG"/>
        <w:ind w:left="2835"/>
        <w:rPr>
          <w:b/>
        </w:rPr>
      </w:pPr>
      <w:r w:rsidRPr="005B0501">
        <w:rPr>
          <w:b/>
        </w:rPr>
        <w:t>Ensemble de données E2</w:t>
      </w:r>
      <w:r w:rsidR="00EB6374" w:rsidRPr="005B0501">
        <w:rPr>
          <w:b/>
        </w:rPr>
        <w:t> :</w:t>
      </w:r>
      <w:r w:rsidRPr="005B0501">
        <w:rPr>
          <w:b/>
        </w:rPr>
        <w:t xml:space="preserve"> vitesse du véhicule supérieure à 90</w:t>
      </w:r>
      <w:r w:rsidR="0024530A">
        <w:rPr>
          <w:b/>
        </w:rPr>
        <w:t> </w:t>
      </w:r>
      <w:r w:rsidRPr="005B0501">
        <w:rPr>
          <w:b/>
        </w:rPr>
        <w:t>km/h (application du signal E2)</w:t>
      </w:r>
      <w:r w:rsidR="00EB6374" w:rsidRPr="005B0501">
        <w:rPr>
          <w:b/>
        </w:rPr>
        <w:t> ;</w:t>
      </w:r>
    </w:p>
    <w:p w14:paraId="588839E4" w14:textId="0DC65C00" w:rsidR="00F368F4" w:rsidRPr="005B0501" w:rsidRDefault="00F368F4" w:rsidP="005A3A19">
      <w:pPr>
        <w:pStyle w:val="SingleTxtG"/>
        <w:ind w:left="2835"/>
        <w:rPr>
          <w:strike/>
        </w:rPr>
      </w:pPr>
      <w:r w:rsidRPr="005B0501">
        <w:rPr>
          <w:b/>
        </w:rPr>
        <w:t>Ensemble de données E3</w:t>
      </w:r>
      <w:r w:rsidR="00EB6374" w:rsidRPr="005B0501">
        <w:rPr>
          <w:b/>
        </w:rPr>
        <w:t> :</w:t>
      </w:r>
      <w:r w:rsidRPr="005B0501">
        <w:rPr>
          <w:b/>
        </w:rPr>
        <w:t xml:space="preserve"> vitesse du véhicule supérieure à 80</w:t>
      </w:r>
      <w:r w:rsidR="0024530A">
        <w:rPr>
          <w:b/>
        </w:rPr>
        <w:t> </w:t>
      </w:r>
      <w:r w:rsidRPr="005B0501">
        <w:rPr>
          <w:b/>
        </w:rPr>
        <w:t>km/h (application du signal E3).</w:t>
      </w:r>
      <w:r w:rsidR="005B0501">
        <w:t> </w:t>
      </w:r>
      <w:r w:rsidR="005B0501" w:rsidRPr="005B0501">
        <w:t>»</w:t>
      </w:r>
      <w:r w:rsidR="005A3A19">
        <w:t>.</w:t>
      </w:r>
    </w:p>
    <w:p w14:paraId="7D21B970" w14:textId="06B2B442" w:rsidR="00F368F4" w:rsidRPr="005B0501" w:rsidRDefault="00F368F4" w:rsidP="004E58D6">
      <w:pPr>
        <w:pStyle w:val="SingleTxtG"/>
        <w:keepNext/>
      </w:pPr>
      <w:r w:rsidRPr="005B0501">
        <w:rPr>
          <w:i/>
          <w:iCs/>
        </w:rPr>
        <w:t>Paragraphe 6.22.7.4.5, note de bas de page 17</w:t>
      </w:r>
      <w:r w:rsidRPr="0024530A">
        <w:t xml:space="preserve">, </w:t>
      </w:r>
      <w:r w:rsidRPr="005B0501">
        <w:t>lire</w:t>
      </w:r>
      <w:r w:rsidR="00EB6374" w:rsidRPr="005B0501">
        <w:t> :</w:t>
      </w:r>
    </w:p>
    <w:p w14:paraId="11D4072F" w14:textId="7F76CB6A" w:rsidR="00F368F4" w:rsidRPr="005B0501" w:rsidRDefault="005A3A19" w:rsidP="005A3A19">
      <w:pPr>
        <w:pStyle w:val="Notedebasdepage"/>
        <w:spacing w:after="240"/>
      </w:pPr>
      <w:r>
        <w:tab/>
      </w:r>
      <w:r w:rsidR="005B0501" w:rsidRPr="005A3A19">
        <w:rPr>
          <w:sz w:val="20"/>
        </w:rPr>
        <w:t>« </w:t>
      </w:r>
      <w:r w:rsidR="00F368F4" w:rsidRPr="005A3A19">
        <w:rPr>
          <w:b/>
          <w:bCs/>
          <w:szCs w:val="18"/>
          <w:vertAlign w:val="superscript"/>
        </w:rPr>
        <w:t>15</w:t>
      </w:r>
      <w:r w:rsidR="00F368F4" w:rsidRPr="005B0501">
        <w:tab/>
        <w:t>Cette disposition ne s’applique pas au faisceau de croisement lorsque l’éclairage en virage est actionné pour un virage à droite en circulation à droite (pour un virage à gauche en circulation à gauche).</w:t>
      </w:r>
      <w:r w:rsidR="005B0501" w:rsidRPr="005A3A19">
        <w:rPr>
          <w:sz w:val="20"/>
        </w:rPr>
        <w:t> »</w:t>
      </w:r>
      <w:r w:rsidRPr="005A3A19">
        <w:rPr>
          <w:sz w:val="20"/>
        </w:rPr>
        <w:t>.</w:t>
      </w:r>
    </w:p>
    <w:p w14:paraId="0E24558B" w14:textId="0DC425C6" w:rsidR="00F368F4" w:rsidRPr="005B0501" w:rsidRDefault="00F368F4" w:rsidP="004E58D6">
      <w:pPr>
        <w:pStyle w:val="SingleTxtG"/>
        <w:keepNext/>
        <w:rPr>
          <w:szCs w:val="16"/>
        </w:rPr>
      </w:pPr>
      <w:r w:rsidRPr="004E58D6">
        <w:rPr>
          <w:i/>
          <w:iCs/>
        </w:rPr>
        <w:lastRenderedPageBreak/>
        <w:t>Paragraphe</w:t>
      </w:r>
      <w:r w:rsidRPr="005B0501">
        <w:rPr>
          <w:i/>
          <w:szCs w:val="16"/>
        </w:rPr>
        <w:t xml:space="preserve"> 6.22.9.1</w:t>
      </w:r>
      <w:r w:rsidRPr="0024530A">
        <w:rPr>
          <w:iCs/>
          <w:szCs w:val="16"/>
        </w:rPr>
        <w:t xml:space="preserve">, </w:t>
      </w:r>
      <w:r w:rsidRPr="005B0501">
        <w:rPr>
          <w:szCs w:val="16"/>
        </w:rPr>
        <w:t>lire</w:t>
      </w:r>
      <w:r w:rsidR="00EB6374" w:rsidRPr="005B0501">
        <w:rPr>
          <w:szCs w:val="16"/>
        </w:rPr>
        <w:t> :</w:t>
      </w:r>
    </w:p>
    <w:p w14:paraId="22F26334" w14:textId="2806C3D7" w:rsidR="00F368F4" w:rsidRPr="005B0501" w:rsidRDefault="005B0501" w:rsidP="00F368F4">
      <w:pPr>
        <w:pStyle w:val="SingleTxtG"/>
        <w:ind w:left="2268" w:hanging="1134"/>
      </w:pPr>
      <w:r w:rsidRPr="005B0501">
        <w:t>«</w:t>
      </w:r>
      <w:r>
        <w:t> </w:t>
      </w:r>
      <w:r w:rsidR="00F368F4" w:rsidRPr="005B0501">
        <w:t>6.22.9.1</w:t>
      </w:r>
      <w:r w:rsidR="00F368F4" w:rsidRPr="005B0501">
        <w:tab/>
      </w:r>
      <w:r w:rsidR="00F368F4" w:rsidRPr="005B0501">
        <w:tab/>
      </w:r>
      <w:r w:rsidR="00F368F4" w:rsidRPr="005B0501">
        <w:rPr>
          <w:lang w:eastAsia="fr-FR"/>
        </w:rPr>
        <w:t>Le montage d’un système AFS n’est autorisé que si le véhicule est aussi équipé de dispositifs de nettoyage des projecteurs conformes au Règlement</w:t>
      </w:r>
      <w:r w:rsidR="0024530A">
        <w:rPr>
          <w:lang w:eastAsia="fr-FR"/>
        </w:rPr>
        <w:t xml:space="preserve"> </w:t>
      </w:r>
      <w:r w:rsidR="00F368F4" w:rsidRPr="005B0501">
        <w:rPr>
          <w:lang w:eastAsia="fr-FR"/>
        </w:rPr>
        <w:t xml:space="preserve">ONU </w:t>
      </w:r>
      <w:r w:rsidR="00F368F4" w:rsidRPr="005B0501">
        <w:rPr>
          <w:rFonts w:eastAsia="MS Mincho"/>
        </w:rPr>
        <w:t>n</w:t>
      </w:r>
      <w:r w:rsidR="00F368F4" w:rsidRPr="005B0501">
        <w:rPr>
          <w:rFonts w:eastAsia="MS Mincho"/>
          <w:vertAlign w:val="superscript"/>
        </w:rPr>
        <w:t>o</w:t>
      </w:r>
      <w:r w:rsidR="00F368F4" w:rsidRPr="005B0501">
        <w:rPr>
          <w:rFonts w:eastAsia="MS Mincho"/>
        </w:rPr>
        <w:t> </w:t>
      </w:r>
      <w:r w:rsidR="00F368F4" w:rsidRPr="005B0501">
        <w:t>45</w:t>
      </w:r>
      <w:r w:rsidR="00F368F4" w:rsidRPr="0024530A">
        <w:rPr>
          <w:strike/>
          <w:sz w:val="18"/>
          <w:szCs w:val="18"/>
          <w:vertAlign w:val="superscript"/>
        </w:rPr>
        <w:t>18</w:t>
      </w:r>
      <w:r w:rsidR="00F368F4" w:rsidRPr="0024530A">
        <w:rPr>
          <w:b/>
          <w:bCs/>
          <w:sz w:val="18"/>
          <w:szCs w:val="18"/>
          <w:vertAlign w:val="superscript"/>
        </w:rPr>
        <w:t>16</w:t>
      </w:r>
      <w:r w:rsidR="00F368F4" w:rsidRPr="005B0501">
        <w:rPr>
          <w:lang w:eastAsia="fr-FR"/>
        </w:rPr>
        <w:t>, au moins sur les unités d’éclairage énumérées au point</w:t>
      </w:r>
      <w:r w:rsidR="0024530A">
        <w:rPr>
          <w:lang w:eastAsia="fr-FR"/>
        </w:rPr>
        <w:t xml:space="preserve"> </w:t>
      </w:r>
      <w:r w:rsidR="00F368F4" w:rsidRPr="005B0501">
        <w:rPr>
          <w:lang w:eastAsia="fr-FR"/>
        </w:rPr>
        <w:t xml:space="preserve">9.2.3 </w:t>
      </w:r>
      <w:bookmarkStart w:id="2" w:name="_Hlk112772105"/>
      <w:r w:rsidR="00F368F4" w:rsidRPr="005B0501">
        <w:rPr>
          <w:lang w:eastAsia="fr-FR"/>
        </w:rPr>
        <w:t>de la fiche de communication conforme au modèle de l’annexe</w:t>
      </w:r>
      <w:r w:rsidR="0024530A">
        <w:rPr>
          <w:lang w:eastAsia="fr-FR"/>
        </w:rPr>
        <w:t xml:space="preserve"> </w:t>
      </w:r>
      <w:r w:rsidR="00F368F4" w:rsidRPr="005B0501">
        <w:rPr>
          <w:lang w:eastAsia="fr-FR"/>
        </w:rPr>
        <w:t xml:space="preserve">1 du Règlement ONU </w:t>
      </w:r>
      <w:r w:rsidR="00F368F4" w:rsidRPr="005B0501">
        <w:rPr>
          <w:rFonts w:eastAsia="MS Mincho"/>
        </w:rPr>
        <w:t>n</w:t>
      </w:r>
      <w:r w:rsidR="00F368F4" w:rsidRPr="005B0501">
        <w:rPr>
          <w:rFonts w:eastAsia="MS Mincho"/>
          <w:vertAlign w:val="superscript"/>
        </w:rPr>
        <w:t>o</w:t>
      </w:r>
      <w:r w:rsidR="00F368F4" w:rsidRPr="005B0501">
        <w:rPr>
          <w:rFonts w:eastAsia="MS Mincho"/>
        </w:rPr>
        <w:t> </w:t>
      </w:r>
      <w:r w:rsidR="00F368F4" w:rsidRPr="005B0501">
        <w:rPr>
          <w:lang w:eastAsia="fr-FR"/>
        </w:rPr>
        <w:t xml:space="preserve">123 </w:t>
      </w:r>
      <w:bookmarkEnd w:id="2"/>
      <w:r w:rsidR="00F368F4" w:rsidRPr="005B0501">
        <w:rPr>
          <w:lang w:eastAsia="fr-FR"/>
        </w:rPr>
        <w:t>ou au point</w:t>
      </w:r>
      <w:r w:rsidR="00F368F4" w:rsidRPr="0024530A">
        <w:rPr>
          <w:lang w:eastAsia="fr-FR"/>
        </w:rPr>
        <w:t xml:space="preserve"> </w:t>
      </w:r>
      <w:r w:rsidR="00F368F4" w:rsidRPr="005B0501">
        <w:rPr>
          <w:bCs/>
          <w:iCs/>
          <w:strike/>
          <w:kern w:val="2"/>
          <w:lang w:eastAsia="ja-JP"/>
        </w:rPr>
        <w:t xml:space="preserve">9.3.3 </w:t>
      </w:r>
      <w:r w:rsidR="00F368F4" w:rsidRPr="005B0501">
        <w:rPr>
          <w:b/>
          <w:iCs/>
          <w:kern w:val="2"/>
          <w:lang w:eastAsia="ja-JP"/>
        </w:rPr>
        <w:t xml:space="preserve">9.3.2.3 de la fiche de communication conforme au modèle </w:t>
      </w:r>
      <w:r w:rsidR="00F368F4" w:rsidRPr="005B0501">
        <w:rPr>
          <w:bCs/>
          <w:iCs/>
          <w:kern w:val="2"/>
          <w:lang w:eastAsia="ja-JP"/>
        </w:rPr>
        <w:t>de l’annexe 1</w:t>
      </w:r>
      <w:r w:rsidR="00F368F4" w:rsidRPr="005B0501">
        <w:rPr>
          <w:b/>
          <w:iCs/>
          <w:kern w:val="2"/>
          <w:lang w:eastAsia="ja-JP"/>
        </w:rPr>
        <w:t xml:space="preserve"> de</w:t>
      </w:r>
      <w:r w:rsidR="00F368F4" w:rsidRPr="005B0501">
        <w:rPr>
          <w:bCs/>
          <w:iCs/>
          <w:kern w:val="2"/>
          <w:lang w:eastAsia="ja-JP"/>
        </w:rPr>
        <w:t xml:space="preserve"> </w:t>
      </w:r>
      <w:r w:rsidR="00F368F4" w:rsidRPr="005B0501">
        <w:rPr>
          <w:b/>
          <w:iCs/>
          <w:kern w:val="2"/>
          <w:lang w:eastAsia="ja-JP"/>
        </w:rPr>
        <w:t>la série 00 d’amendements au</w:t>
      </w:r>
      <w:r w:rsidR="00F368F4" w:rsidRPr="005B0501">
        <w:rPr>
          <w:bCs/>
          <w:iCs/>
          <w:kern w:val="2"/>
          <w:lang w:eastAsia="ja-JP"/>
        </w:rPr>
        <w:t xml:space="preserve"> Règlement ONU </w:t>
      </w:r>
      <w:r w:rsidR="00F368F4" w:rsidRPr="005B0501">
        <w:rPr>
          <w:rFonts w:eastAsia="MS Mincho"/>
        </w:rPr>
        <w:t>n</w:t>
      </w:r>
      <w:r w:rsidR="00F368F4" w:rsidRPr="005B0501">
        <w:rPr>
          <w:rFonts w:eastAsia="MS Mincho"/>
          <w:vertAlign w:val="superscript"/>
        </w:rPr>
        <w:t>o</w:t>
      </w:r>
      <w:r w:rsidR="00F368F4" w:rsidRPr="005B0501">
        <w:rPr>
          <w:rFonts w:eastAsia="MS Mincho"/>
        </w:rPr>
        <w:t> </w:t>
      </w:r>
      <w:r w:rsidR="00F368F4" w:rsidRPr="005B0501">
        <w:rPr>
          <w:bCs/>
          <w:iCs/>
          <w:kern w:val="2"/>
          <w:lang w:eastAsia="ja-JP"/>
        </w:rPr>
        <w:t>149</w:t>
      </w:r>
      <w:r w:rsidR="00F368F4" w:rsidRPr="005B0501">
        <w:t xml:space="preserve">, </w:t>
      </w:r>
      <w:r w:rsidR="00F368F4" w:rsidRPr="005B0501">
        <w:rPr>
          <w:b/>
          <w:iCs/>
          <w:kern w:val="2"/>
          <w:lang w:eastAsia="ja-JP"/>
        </w:rPr>
        <w:t xml:space="preserve">ou au point 9.2.2.3 de la fiche de communication conforme au modèle de l’annexe 1 de la série 01 d’amendements au Règlement ONU </w:t>
      </w:r>
      <w:r w:rsidR="00F368F4" w:rsidRPr="005B0501">
        <w:rPr>
          <w:rFonts w:eastAsia="MS Mincho"/>
          <w:b/>
          <w:bCs/>
        </w:rPr>
        <w:t>n</w:t>
      </w:r>
      <w:r w:rsidR="00F368F4" w:rsidRPr="005B0501">
        <w:rPr>
          <w:rFonts w:eastAsia="MS Mincho"/>
          <w:b/>
          <w:bCs/>
          <w:vertAlign w:val="superscript"/>
        </w:rPr>
        <w:t>o</w:t>
      </w:r>
      <w:r w:rsidR="00F368F4" w:rsidRPr="005B0501">
        <w:rPr>
          <w:rFonts w:eastAsia="MS Mincho"/>
        </w:rPr>
        <w:t> </w:t>
      </w:r>
      <w:r w:rsidR="00F368F4" w:rsidRPr="005B0501">
        <w:rPr>
          <w:b/>
          <w:iCs/>
          <w:kern w:val="2"/>
          <w:lang w:eastAsia="ja-JP"/>
        </w:rPr>
        <w:t>149</w:t>
      </w:r>
      <w:r w:rsidR="00F368F4" w:rsidRPr="005B0501">
        <w:rPr>
          <w:lang w:eastAsia="fr-FR"/>
        </w:rPr>
        <w:t>, si le flux lumineux normal total des sources lumineuses de ces unités d’éclairage dépasse 2</w:t>
      </w:r>
      <w:r w:rsidR="0024530A">
        <w:rPr>
          <w:lang w:eastAsia="fr-FR"/>
        </w:rPr>
        <w:t> </w:t>
      </w:r>
      <w:r w:rsidR="00F368F4" w:rsidRPr="005B0501">
        <w:rPr>
          <w:lang w:eastAsia="fr-FR"/>
        </w:rPr>
        <w:t>000</w:t>
      </w:r>
      <w:r w:rsidR="0024530A">
        <w:rPr>
          <w:lang w:eastAsia="fr-FR"/>
        </w:rPr>
        <w:t xml:space="preserve"> </w:t>
      </w:r>
      <w:r w:rsidR="00F368F4" w:rsidRPr="005B0501">
        <w:rPr>
          <w:lang w:eastAsia="fr-FR"/>
        </w:rPr>
        <w:t>lm par côté, et si ces unités contribuent au faisceau de croisement (élémentaire) classe</w:t>
      </w:r>
      <w:r w:rsidR="0024530A">
        <w:rPr>
          <w:lang w:eastAsia="fr-FR"/>
        </w:rPr>
        <w:t xml:space="preserve"> </w:t>
      </w:r>
      <w:r w:rsidR="00F368F4" w:rsidRPr="005B0501">
        <w:rPr>
          <w:lang w:eastAsia="fr-FR"/>
        </w:rPr>
        <w:t>C.</w:t>
      </w:r>
      <w:r>
        <w:t> </w:t>
      </w:r>
      <w:r w:rsidRPr="005B0501">
        <w:t>»</w:t>
      </w:r>
      <w:r w:rsidR="0024530A">
        <w:t>.</w:t>
      </w:r>
    </w:p>
    <w:p w14:paraId="47D49416" w14:textId="62102FDA" w:rsidR="00F368F4" w:rsidRPr="005B0501" w:rsidRDefault="00F368F4" w:rsidP="004E58D6">
      <w:pPr>
        <w:pStyle w:val="SingleTxtG"/>
        <w:keepNext/>
      </w:pPr>
      <w:r w:rsidRPr="005B0501">
        <w:rPr>
          <w:i/>
          <w:iCs/>
        </w:rPr>
        <w:t>Paragraphe 12.2, note de bas de page 19</w:t>
      </w:r>
      <w:r w:rsidRPr="009865FB">
        <w:t xml:space="preserve">, </w:t>
      </w:r>
      <w:r w:rsidRPr="005B0501">
        <w:t>lire</w:t>
      </w:r>
      <w:r w:rsidR="00EB6374" w:rsidRPr="005B0501">
        <w:t> :</w:t>
      </w:r>
    </w:p>
    <w:p w14:paraId="4141F3CC" w14:textId="316CB2A4" w:rsidR="00F368F4" w:rsidRPr="005B0501" w:rsidRDefault="0024530A" w:rsidP="005A3A19">
      <w:pPr>
        <w:pStyle w:val="Notedebasdepage"/>
        <w:spacing w:after="240"/>
        <w:rPr>
          <w:i/>
          <w:iCs/>
          <w:szCs w:val="18"/>
        </w:rPr>
      </w:pPr>
      <w:r>
        <w:tab/>
      </w:r>
      <w:r w:rsidR="005B0501" w:rsidRPr="0024530A">
        <w:rPr>
          <w:sz w:val="20"/>
        </w:rPr>
        <w:t>« </w:t>
      </w:r>
      <w:r w:rsidR="00F368F4" w:rsidRPr="0024530A">
        <w:rPr>
          <w:b/>
          <w:bCs/>
          <w:szCs w:val="18"/>
          <w:vertAlign w:val="superscript"/>
        </w:rPr>
        <w:t>17</w:t>
      </w:r>
      <w:r w:rsidR="00F368F4" w:rsidRPr="005B0501">
        <w:rPr>
          <w:szCs w:val="18"/>
        </w:rPr>
        <w:tab/>
      </w:r>
      <w:r w:rsidR="00F368F4" w:rsidRPr="005B0501">
        <w:rPr>
          <w:rFonts w:eastAsia="Calibri"/>
          <w:szCs w:val="18"/>
        </w:rPr>
        <w:t>Note du secrétariat</w:t>
      </w:r>
      <w:r w:rsidR="00EB6374" w:rsidRPr="005B0501">
        <w:rPr>
          <w:rFonts w:eastAsia="Calibri"/>
          <w:szCs w:val="18"/>
        </w:rPr>
        <w:t> :</w:t>
      </w:r>
      <w:r w:rsidR="00F368F4" w:rsidRPr="005B0501">
        <w:rPr>
          <w:rFonts w:eastAsia="Calibri"/>
          <w:szCs w:val="18"/>
        </w:rPr>
        <w:t xml:space="preserve"> En ce qui concerne le paragraphe</w:t>
      </w:r>
      <w:r>
        <w:rPr>
          <w:rFonts w:eastAsia="Calibri"/>
          <w:szCs w:val="18"/>
        </w:rPr>
        <w:t xml:space="preserve"> </w:t>
      </w:r>
      <w:r w:rsidR="00F368F4" w:rsidRPr="005B0501">
        <w:rPr>
          <w:rFonts w:eastAsia="Calibri"/>
          <w:szCs w:val="18"/>
        </w:rPr>
        <w:t>6.21.4.1.3, se référer au texte de la série</w:t>
      </w:r>
      <w:r>
        <w:rPr>
          <w:rFonts w:eastAsia="Calibri"/>
          <w:szCs w:val="18"/>
        </w:rPr>
        <w:t xml:space="preserve"> </w:t>
      </w:r>
      <w:r w:rsidR="00F368F4" w:rsidRPr="005B0501">
        <w:rPr>
          <w:rFonts w:eastAsia="Calibri"/>
          <w:szCs w:val="18"/>
        </w:rPr>
        <w:t>03 d’amendements figurant dans le document E/ECE/324/Rev.1/Add.47/Rev.6 − E/ECE/TRANS/505/</w:t>
      </w:r>
      <w:r>
        <w:rPr>
          <w:rFonts w:eastAsia="Calibri"/>
          <w:szCs w:val="18"/>
        </w:rPr>
        <w:t xml:space="preserve"> </w:t>
      </w:r>
      <w:r w:rsidR="00F368F4" w:rsidRPr="005B0501">
        <w:rPr>
          <w:rFonts w:eastAsia="Calibri"/>
          <w:szCs w:val="18"/>
        </w:rPr>
        <w:t>Rev.1/Add.47/Rev.6.</w:t>
      </w:r>
      <w:r w:rsidR="005B0501" w:rsidRPr="0024530A">
        <w:rPr>
          <w:sz w:val="20"/>
        </w:rPr>
        <w:t> »</w:t>
      </w:r>
      <w:r w:rsidRPr="0024530A">
        <w:rPr>
          <w:sz w:val="20"/>
        </w:rPr>
        <w:t>.</w:t>
      </w:r>
    </w:p>
    <w:bookmarkEnd w:id="1"/>
    <w:p w14:paraId="1A32B0DA" w14:textId="4283114C" w:rsidR="00F368F4" w:rsidRPr="005B0501" w:rsidRDefault="0024530A" w:rsidP="0024530A">
      <w:pPr>
        <w:pStyle w:val="H1G"/>
        <w:rPr>
          <w:rFonts w:eastAsia="SimSun"/>
        </w:rPr>
      </w:pPr>
      <w:r>
        <w:rPr>
          <w:bCs/>
        </w:rPr>
        <w:tab/>
      </w:r>
      <w:r w:rsidR="00F368F4" w:rsidRPr="005B0501">
        <w:rPr>
          <w:bCs/>
        </w:rPr>
        <w:t>B.</w:t>
      </w:r>
      <w:r w:rsidR="00F368F4" w:rsidRPr="005B0501">
        <w:tab/>
        <w:t>Proposition de nouveau complément à la série 07 d’amendements au</w:t>
      </w:r>
      <w:r>
        <w:t> </w:t>
      </w:r>
      <w:r w:rsidR="00F368F4" w:rsidRPr="005B0501">
        <w:t xml:space="preserve">Règlement ONU </w:t>
      </w:r>
      <w:r w:rsidR="00F368F4" w:rsidRPr="005B0501">
        <w:rPr>
          <w:rFonts w:eastAsia="MS Mincho"/>
        </w:rPr>
        <w:t>n</w:t>
      </w:r>
      <w:r w:rsidR="00F368F4" w:rsidRPr="005B0501">
        <w:rPr>
          <w:rFonts w:eastAsia="MS Mincho"/>
          <w:vertAlign w:val="superscript"/>
        </w:rPr>
        <w:t>o</w:t>
      </w:r>
      <w:r w:rsidR="00F368F4" w:rsidRPr="005B0501">
        <w:rPr>
          <w:rFonts w:eastAsia="MS Mincho"/>
        </w:rPr>
        <w:t> </w:t>
      </w:r>
      <w:r w:rsidR="00F368F4" w:rsidRPr="005B0501">
        <w:t>48</w:t>
      </w:r>
    </w:p>
    <w:p w14:paraId="25B76992" w14:textId="063ECED8" w:rsidR="00F368F4" w:rsidRPr="005B0501" w:rsidRDefault="00F368F4" w:rsidP="004E58D6">
      <w:pPr>
        <w:pStyle w:val="SingleTxtG"/>
        <w:keepNext/>
      </w:pPr>
      <w:r w:rsidRPr="004E58D6">
        <w:rPr>
          <w:i/>
          <w:iCs/>
        </w:rPr>
        <w:t>Paragraphe</w:t>
      </w:r>
      <w:r w:rsidRPr="005B0501">
        <w:rPr>
          <w:i/>
        </w:rPr>
        <w:t xml:space="preserve"> 2.3.11</w:t>
      </w:r>
      <w:r w:rsidRPr="005B0501">
        <w:t>, lire</w:t>
      </w:r>
      <w:r w:rsidR="00EB6374" w:rsidRPr="005B0501">
        <w:t> :</w:t>
      </w:r>
    </w:p>
    <w:p w14:paraId="0859DFBB" w14:textId="2C4849E0" w:rsidR="00F368F4" w:rsidRPr="005B0501" w:rsidRDefault="005B0501" w:rsidP="0024530A">
      <w:pPr>
        <w:pStyle w:val="SingleTxtG"/>
        <w:keepNext/>
        <w:ind w:left="2268" w:hanging="1134"/>
        <w:rPr>
          <w:rFonts w:eastAsia="Calibri"/>
          <w:lang w:eastAsia="fr-FR"/>
        </w:rPr>
      </w:pPr>
      <w:r w:rsidRPr="005B0501">
        <w:t>«</w:t>
      </w:r>
      <w:r>
        <w:t> </w:t>
      </w:r>
      <w:r w:rsidR="00F368F4" w:rsidRPr="005B0501">
        <w:t>2.3.11</w:t>
      </w:r>
      <w:r w:rsidR="00F368F4" w:rsidRPr="005B0501">
        <w:tab/>
      </w:r>
      <w:r w:rsidR="00F368F4" w:rsidRPr="005B0501">
        <w:rPr>
          <w:rFonts w:eastAsia="Calibri"/>
          <w:lang w:eastAsia="fr-FR"/>
        </w:rPr>
        <w:t>“</w:t>
      </w:r>
      <w:r w:rsidR="00F368F4" w:rsidRPr="005B0501">
        <w:rPr>
          <w:rFonts w:eastAsia="Calibri"/>
          <w:i/>
          <w:lang w:eastAsia="fr-FR"/>
        </w:rPr>
        <w:t>Arrêt d’un véhicule</w:t>
      </w:r>
      <w:r w:rsidR="00F368F4" w:rsidRPr="005B0501">
        <w:rPr>
          <w:rFonts w:eastAsia="Calibri"/>
          <w:lang w:eastAsia="fr-FR"/>
        </w:rPr>
        <w:t>”</w:t>
      </w:r>
    </w:p>
    <w:p w14:paraId="7AE8CCAA" w14:textId="371F1312" w:rsidR="00F368F4" w:rsidRPr="005B0501" w:rsidRDefault="00F368F4" w:rsidP="00295078">
      <w:pPr>
        <w:pStyle w:val="SingleTxtG"/>
        <w:ind w:left="2268" w:hanging="1134"/>
        <w:rPr>
          <w:rFonts w:eastAsia="Calibri"/>
        </w:rPr>
      </w:pPr>
      <w:r w:rsidRPr="005B0501">
        <w:rPr>
          <w:rFonts w:eastAsia="Calibri"/>
          <w:lang w:eastAsia="fr-FR"/>
        </w:rPr>
        <w:t>2.3.11</w:t>
      </w:r>
      <w:r w:rsidRPr="005B0501">
        <w:rPr>
          <w:rFonts w:eastAsia="Calibri"/>
        </w:rPr>
        <w:t>.1</w:t>
      </w:r>
      <w:r w:rsidRPr="005B0501">
        <w:rPr>
          <w:rFonts w:eastAsia="Calibri"/>
        </w:rPr>
        <w:tab/>
        <w:t xml:space="preserve">Pour un véhicule à moteur, la situation dans laquelle il se trouve lorsqu’il est </w:t>
      </w:r>
      <w:r w:rsidRPr="00295078">
        <w:t>immobile</w:t>
      </w:r>
      <w:r w:rsidRPr="005B0501">
        <w:rPr>
          <w:rFonts w:eastAsia="Calibri"/>
        </w:rPr>
        <w:t>, que son système de propulsion est arrêté et que ses éléments mobiles sont dans la (les) position(s) normale(s) définie(s) au paragraphe</w:t>
      </w:r>
      <w:r w:rsidR="0024530A">
        <w:rPr>
          <w:rFonts w:eastAsia="Calibri"/>
        </w:rPr>
        <w:t xml:space="preserve"> </w:t>
      </w:r>
      <w:r w:rsidRPr="005B0501">
        <w:rPr>
          <w:rFonts w:eastAsia="Calibri"/>
        </w:rPr>
        <w:t>2.3.9</w:t>
      </w:r>
      <w:r w:rsidR="00EB6374" w:rsidRPr="005B0501">
        <w:rPr>
          <w:rFonts w:eastAsia="Calibri"/>
        </w:rPr>
        <w:t> ;</w:t>
      </w:r>
    </w:p>
    <w:p w14:paraId="50009DC1" w14:textId="74E083F8" w:rsidR="00F368F4" w:rsidRPr="005B0501" w:rsidRDefault="00F368F4" w:rsidP="00295078">
      <w:pPr>
        <w:pStyle w:val="SingleTxtG"/>
        <w:ind w:left="2268" w:hanging="1134"/>
        <w:rPr>
          <w:b/>
          <w:bCs/>
        </w:rPr>
      </w:pPr>
      <w:r w:rsidRPr="005B0501">
        <w:rPr>
          <w:rFonts w:eastAsia="Calibri"/>
          <w:b/>
          <w:bCs/>
        </w:rPr>
        <w:t>2.3.11.2</w:t>
      </w:r>
      <w:r w:rsidRPr="005B0501">
        <w:rPr>
          <w:rFonts w:eastAsia="Calibri"/>
        </w:rPr>
        <w:tab/>
      </w:r>
      <w:r w:rsidRPr="005B0501">
        <w:rPr>
          <w:rFonts w:eastAsia="Calibri"/>
          <w:b/>
          <w:bCs/>
        </w:rPr>
        <w:t>Pour une remorque, la situation dans laquelle se trouve la remorque lorsqu’elle est attelée à un véhicule à moteur se trouvant dans les conditions définies au paragraphe</w:t>
      </w:r>
      <w:r w:rsidR="009A4DD1">
        <w:rPr>
          <w:rFonts w:eastAsia="Calibri"/>
          <w:b/>
          <w:bCs/>
        </w:rPr>
        <w:t xml:space="preserve"> </w:t>
      </w:r>
      <w:r w:rsidRPr="005B0501">
        <w:rPr>
          <w:rFonts w:eastAsia="Calibri"/>
          <w:b/>
          <w:bCs/>
        </w:rPr>
        <w:t>2.3.11.1 et que ses éléments mobiles sont dans la (les) position(s) normale(s) définie(s) au paragraphe</w:t>
      </w:r>
      <w:r w:rsidR="00F8218B">
        <w:rPr>
          <w:rFonts w:eastAsia="Calibri"/>
          <w:b/>
          <w:bCs/>
        </w:rPr>
        <w:t xml:space="preserve"> </w:t>
      </w:r>
      <w:r w:rsidRPr="005B0501">
        <w:rPr>
          <w:rFonts w:eastAsia="Calibri"/>
          <w:b/>
          <w:bCs/>
        </w:rPr>
        <w:t>2.3.9.</w:t>
      </w:r>
      <w:r w:rsidR="005B0501">
        <w:t> </w:t>
      </w:r>
      <w:r w:rsidR="005B0501" w:rsidRPr="005B0501">
        <w:t>»</w:t>
      </w:r>
      <w:r w:rsidR="00F8218B">
        <w:t>.</w:t>
      </w:r>
    </w:p>
    <w:p w14:paraId="42B0C2AA" w14:textId="227640D9" w:rsidR="00F368F4" w:rsidRPr="005B0501" w:rsidRDefault="00F368F4" w:rsidP="004E58D6">
      <w:pPr>
        <w:pStyle w:val="SingleTxtG"/>
        <w:keepNext/>
        <w:rPr>
          <w:highlight w:val="yellow"/>
        </w:rPr>
      </w:pPr>
      <w:r w:rsidRPr="004E58D6">
        <w:rPr>
          <w:i/>
          <w:iCs/>
        </w:rPr>
        <w:t>Paragraphe</w:t>
      </w:r>
      <w:r w:rsidRPr="005B0501">
        <w:rPr>
          <w:i/>
        </w:rPr>
        <w:t xml:space="preserve"> 5.9.2</w:t>
      </w:r>
      <w:r w:rsidRPr="005B0501">
        <w:t>, lire</w:t>
      </w:r>
      <w:r w:rsidR="00EB6374" w:rsidRPr="005B0501">
        <w:t> :</w:t>
      </w:r>
    </w:p>
    <w:p w14:paraId="1228CD86" w14:textId="76E4F1E2" w:rsidR="00F368F4" w:rsidRPr="005B0501" w:rsidRDefault="005B0501" w:rsidP="00295078">
      <w:pPr>
        <w:pStyle w:val="SingleTxtG"/>
        <w:ind w:left="2268" w:hanging="1134"/>
      </w:pPr>
      <w:r w:rsidRPr="005B0501">
        <w:t>«</w:t>
      </w:r>
      <w:r>
        <w:t> </w:t>
      </w:r>
      <w:r w:rsidR="00F368F4" w:rsidRPr="005B0501">
        <w:t>5.9.2</w:t>
      </w:r>
      <w:r w:rsidR="00F368F4" w:rsidRPr="005B0501">
        <w:tab/>
        <w:t>Les caractéristiques photométriques de chaque feu peuvent varier</w:t>
      </w:r>
      <w:r w:rsidR="00EB6374" w:rsidRPr="005B0501">
        <w:t> :</w:t>
      </w:r>
    </w:p>
    <w:p w14:paraId="42615862" w14:textId="339B3189" w:rsidR="00F368F4" w:rsidRPr="005B0501" w:rsidRDefault="00F368F4" w:rsidP="00F368F4">
      <w:pPr>
        <w:pStyle w:val="SingleTxtG"/>
        <w:ind w:left="2268"/>
      </w:pPr>
      <w:r w:rsidRPr="005B0501">
        <w:t>a)</w:t>
      </w:r>
      <w:r w:rsidRPr="005B0501">
        <w:tab/>
        <w:t>En fonction de la luminosité</w:t>
      </w:r>
      <w:r w:rsidR="00EB6374" w:rsidRPr="005B0501">
        <w:t> ;</w:t>
      </w:r>
    </w:p>
    <w:p w14:paraId="2B88851D" w14:textId="116BEB73" w:rsidR="00F368F4" w:rsidRPr="005B0501" w:rsidRDefault="00F368F4" w:rsidP="00F368F4">
      <w:pPr>
        <w:pStyle w:val="SingleTxtG"/>
        <w:ind w:left="2268"/>
      </w:pPr>
      <w:r w:rsidRPr="005B0501">
        <w:t>b)</w:t>
      </w:r>
      <w:r w:rsidRPr="005B0501">
        <w:tab/>
        <w:t>Du fait de l’allumage ou de l’extinction d’autres feux</w:t>
      </w:r>
      <w:r w:rsidR="00EB6374" w:rsidRPr="005B0501">
        <w:t> ;</w:t>
      </w:r>
      <w:r w:rsidRPr="005B0501">
        <w:t xml:space="preserve"> ou</w:t>
      </w:r>
    </w:p>
    <w:p w14:paraId="2F677763" w14:textId="18EC7FC9" w:rsidR="00F368F4" w:rsidRPr="005B0501" w:rsidRDefault="00F368F4" w:rsidP="00F368F4">
      <w:pPr>
        <w:pStyle w:val="SingleTxtG"/>
        <w:ind w:left="2835" w:hanging="567"/>
      </w:pPr>
      <w:r w:rsidRPr="005B0501">
        <w:t>c)</w:t>
      </w:r>
      <w:r w:rsidRPr="005B0501">
        <w:tab/>
        <w:t>Lorsque les feux servent à assurer une autre fonction d’éclairage</w:t>
      </w:r>
      <w:r w:rsidR="00EB6374" w:rsidRPr="005B0501">
        <w:t> ;</w:t>
      </w:r>
      <w:r w:rsidRPr="005B0501">
        <w:t xml:space="preserve"> </w:t>
      </w:r>
      <w:r w:rsidRPr="005B0501">
        <w:rPr>
          <w:strike/>
        </w:rPr>
        <w:t>à condition que toute variation des caractéristiques photométriques soit conforme aux prescriptions techniques relatives au feu concerné.</w:t>
      </w:r>
    </w:p>
    <w:p w14:paraId="2F5BE03E" w14:textId="452CEF33" w:rsidR="00F368F4" w:rsidRPr="005B0501" w:rsidRDefault="00F368F4" w:rsidP="00F8218B">
      <w:pPr>
        <w:pStyle w:val="SingleTxtG"/>
        <w:ind w:left="2268"/>
        <w:rPr>
          <w:b/>
          <w:bCs/>
        </w:rPr>
      </w:pPr>
      <w:r w:rsidRPr="005B0501">
        <w:rPr>
          <w:b/>
          <w:bCs/>
        </w:rPr>
        <w:t>à condition que toute variation des caractéristiques photométriques soit conforme aux prescriptions techniques relatives au feu concerné.</w:t>
      </w:r>
      <w:r w:rsidR="005B0501">
        <w:t> </w:t>
      </w:r>
      <w:r w:rsidR="005B0501" w:rsidRPr="005B0501">
        <w:t>»</w:t>
      </w:r>
      <w:r w:rsidRPr="005B0501">
        <w:t>.</w:t>
      </w:r>
    </w:p>
    <w:p w14:paraId="72B664BD" w14:textId="77777777" w:rsidR="00F368F4" w:rsidRPr="005B0501" w:rsidRDefault="00F368F4" w:rsidP="00F8218B">
      <w:pPr>
        <w:pStyle w:val="SingleTxtG"/>
        <w:rPr>
          <w:szCs w:val="16"/>
        </w:rPr>
      </w:pPr>
      <w:r w:rsidRPr="004E58D6">
        <w:rPr>
          <w:i/>
          <w:iCs/>
        </w:rPr>
        <w:t>Paragraphe</w:t>
      </w:r>
      <w:r w:rsidRPr="005B0501">
        <w:rPr>
          <w:i/>
          <w:szCs w:val="16"/>
        </w:rPr>
        <w:t xml:space="preserve"> 5.21.1</w:t>
      </w:r>
      <w:r w:rsidRPr="00F8218B">
        <w:rPr>
          <w:iCs/>
          <w:szCs w:val="16"/>
        </w:rPr>
        <w:t xml:space="preserve">, </w:t>
      </w:r>
      <w:r w:rsidRPr="005B0501">
        <w:rPr>
          <w:szCs w:val="16"/>
        </w:rPr>
        <w:t>modification sans objet en français.</w:t>
      </w:r>
    </w:p>
    <w:p w14:paraId="5A43AC08" w14:textId="5C74E23B" w:rsidR="00F368F4" w:rsidRPr="005B0501" w:rsidRDefault="00F368F4" w:rsidP="004E58D6">
      <w:pPr>
        <w:pStyle w:val="SingleTxtG"/>
        <w:keepNext/>
        <w:rPr>
          <w:szCs w:val="16"/>
        </w:rPr>
      </w:pPr>
      <w:bookmarkStart w:id="3" w:name="_Hlk112858524"/>
      <w:r w:rsidRPr="004E58D6">
        <w:rPr>
          <w:i/>
          <w:iCs/>
        </w:rPr>
        <w:t>Paragraphe</w:t>
      </w:r>
      <w:r w:rsidRPr="005B0501">
        <w:rPr>
          <w:i/>
          <w:szCs w:val="16"/>
        </w:rPr>
        <w:t xml:space="preserve"> 6.1.8.1</w:t>
      </w:r>
      <w:r w:rsidRPr="00F8218B">
        <w:rPr>
          <w:iCs/>
          <w:szCs w:val="16"/>
        </w:rPr>
        <w:t>,</w:t>
      </w:r>
      <w:r w:rsidRPr="005B0501">
        <w:rPr>
          <w:szCs w:val="16"/>
        </w:rPr>
        <w:t xml:space="preserve"> lire</w:t>
      </w:r>
      <w:r w:rsidR="00EB6374" w:rsidRPr="005B0501">
        <w:rPr>
          <w:szCs w:val="16"/>
        </w:rPr>
        <w:t> :</w:t>
      </w:r>
    </w:p>
    <w:p w14:paraId="712B9508" w14:textId="3C9A9453" w:rsidR="00F368F4" w:rsidRPr="005B0501" w:rsidRDefault="005B0501" w:rsidP="005A3A19">
      <w:pPr>
        <w:pStyle w:val="SingleTxtG"/>
        <w:ind w:left="2268" w:hanging="1134"/>
      </w:pPr>
      <w:r w:rsidRPr="005B0501">
        <w:t>«</w:t>
      </w:r>
      <w:r>
        <w:t> </w:t>
      </w:r>
      <w:r w:rsidR="00F368F4" w:rsidRPr="005B0501">
        <w:t>6.1.8.1</w:t>
      </w:r>
      <w:r w:rsidR="00F368F4" w:rsidRPr="005B0501">
        <w:tab/>
        <w:t xml:space="preserve">Si les feux de route sont commandés automatiquement, comme il est décrit au paragraphe </w:t>
      </w:r>
      <w:r w:rsidR="00F368F4" w:rsidRPr="005B0501">
        <w:rPr>
          <w:strike/>
        </w:rPr>
        <w:t>6.1.7.1</w:t>
      </w:r>
      <w:r w:rsidR="00F368F4" w:rsidRPr="005B0501">
        <w:t xml:space="preserve">. </w:t>
      </w:r>
      <w:r w:rsidR="00F368F4" w:rsidRPr="005B0501">
        <w:rPr>
          <w:b/>
          <w:bCs/>
        </w:rPr>
        <w:t>6.1.7.2</w:t>
      </w:r>
      <w:r w:rsidR="00F368F4" w:rsidRPr="005B0501">
        <w:t xml:space="preserve"> ci-dessus, il doit être indiqué au </w:t>
      </w:r>
      <w:r w:rsidR="00F368F4" w:rsidRPr="005A3A19">
        <w:rPr>
          <w:rFonts w:eastAsia="Calibri"/>
          <w:lang w:eastAsia="fr-FR"/>
        </w:rPr>
        <w:t>conducteur</w:t>
      </w:r>
      <w:r w:rsidR="00F368F4" w:rsidRPr="005B0501">
        <w:t xml:space="preserve"> que la commande automatique de la fonction feu de route est activée. Cette information doit rester visible aussi longtemps que le fonctionnement automatique est activé.</w:t>
      </w:r>
      <w:r>
        <w:t> </w:t>
      </w:r>
      <w:r w:rsidRPr="005B0501">
        <w:t>»</w:t>
      </w:r>
      <w:r w:rsidR="00F8218B">
        <w:t>.</w:t>
      </w:r>
    </w:p>
    <w:p w14:paraId="300143DA" w14:textId="2B5C886A" w:rsidR="00F368F4" w:rsidRPr="005B0501" w:rsidRDefault="00F368F4" w:rsidP="004E58D6">
      <w:pPr>
        <w:pStyle w:val="SingleTxtG"/>
        <w:keepNext/>
      </w:pPr>
      <w:r w:rsidRPr="004E58D6">
        <w:rPr>
          <w:i/>
          <w:iCs/>
        </w:rPr>
        <w:t>Paragraphe</w:t>
      </w:r>
      <w:r w:rsidRPr="005B0501">
        <w:rPr>
          <w:i/>
        </w:rPr>
        <w:t xml:space="preserve"> 6.1.9.3.1</w:t>
      </w:r>
      <w:r w:rsidRPr="00F8218B">
        <w:rPr>
          <w:iCs/>
        </w:rPr>
        <w:t xml:space="preserve">, </w:t>
      </w:r>
      <w:r w:rsidRPr="005B0501">
        <w:t>lire</w:t>
      </w:r>
      <w:r w:rsidR="00EB6374" w:rsidRPr="005B0501">
        <w:t> :</w:t>
      </w:r>
    </w:p>
    <w:p w14:paraId="3B94C40F" w14:textId="5408C463" w:rsidR="00F368F4" w:rsidRPr="005B0501" w:rsidRDefault="005B0501" w:rsidP="00295078">
      <w:pPr>
        <w:pStyle w:val="SingleTxtG"/>
        <w:ind w:left="2268" w:hanging="1134"/>
        <w:rPr>
          <w:rFonts w:eastAsia="Calibri"/>
        </w:rPr>
      </w:pPr>
      <w:r w:rsidRPr="005B0501">
        <w:t>«</w:t>
      </w:r>
      <w:r>
        <w:t> </w:t>
      </w:r>
      <w:r w:rsidR="00F368F4" w:rsidRPr="005B0501">
        <w:rPr>
          <w:rFonts w:eastAsia="Calibri"/>
        </w:rPr>
        <w:t>6.1.9.3.1</w:t>
      </w:r>
      <w:r w:rsidR="00F368F4" w:rsidRPr="005B0501">
        <w:rPr>
          <w:rFonts w:eastAsia="Calibri"/>
        </w:rPr>
        <w:tab/>
        <w:t>L</w:t>
      </w:r>
      <w:r w:rsidR="00F368F4" w:rsidRPr="005B0501">
        <w:rPr>
          <w:rFonts w:eastAsia="Calibri"/>
          <w:lang w:eastAsia="fr-FR"/>
        </w:rPr>
        <w:t>e système de capteurs utilisé pour commander l’allumage et l’extinction automatiques des feux de route, tel qu’il est décrit au paragraphe</w:t>
      </w:r>
      <w:r w:rsidR="00F8218B">
        <w:rPr>
          <w:rFonts w:eastAsia="Calibri"/>
          <w:lang w:eastAsia="fr-FR"/>
        </w:rPr>
        <w:t xml:space="preserve"> </w:t>
      </w:r>
      <w:r w:rsidR="00F368F4" w:rsidRPr="005B0501">
        <w:rPr>
          <w:strike/>
        </w:rPr>
        <w:t xml:space="preserve">6.1.7.1 </w:t>
      </w:r>
      <w:r w:rsidR="00F368F4" w:rsidRPr="005B0501">
        <w:rPr>
          <w:b/>
          <w:bCs/>
        </w:rPr>
        <w:t>6.1.7.2</w:t>
      </w:r>
      <w:r w:rsidR="00F368F4" w:rsidRPr="005B0501">
        <w:rPr>
          <w:rFonts w:eastAsia="Calibri"/>
          <w:lang w:eastAsia="fr-FR"/>
        </w:rPr>
        <w:t>, doit répondre aux prescriptions suivantes</w:t>
      </w:r>
      <w:r w:rsidR="00EB6374" w:rsidRPr="005B0501">
        <w:rPr>
          <w:rFonts w:eastAsia="Calibri"/>
          <w:lang w:eastAsia="fr-FR"/>
        </w:rPr>
        <w:t> :</w:t>
      </w:r>
    </w:p>
    <w:bookmarkEnd w:id="3"/>
    <w:p w14:paraId="55324053" w14:textId="3ED012C2" w:rsidR="00F368F4" w:rsidRPr="005B0501" w:rsidRDefault="00F368F4" w:rsidP="00295078">
      <w:pPr>
        <w:pStyle w:val="SingleTxtG"/>
        <w:ind w:left="2268" w:hanging="1134"/>
        <w:rPr>
          <w:rFonts w:eastAsia="Calibri"/>
          <w:lang w:eastAsia="fr-FR"/>
        </w:rPr>
      </w:pPr>
      <w:r w:rsidRPr="005B0501">
        <w:rPr>
          <w:rFonts w:eastAsia="Calibri"/>
        </w:rPr>
        <w:lastRenderedPageBreak/>
        <w:t>6.1.9.3.1.1</w:t>
      </w:r>
      <w:r w:rsidRPr="005B0501">
        <w:rPr>
          <w:rFonts w:eastAsia="Calibri"/>
        </w:rPr>
        <w:tab/>
      </w:r>
      <w:r w:rsidRPr="00295078">
        <w:t>Les</w:t>
      </w:r>
      <w:r w:rsidRPr="005B0501">
        <w:rPr>
          <w:rFonts w:eastAsia="Calibri"/>
        </w:rPr>
        <w:t xml:space="preserve"> limites des champs minimaux dans lesquels le capteur est capable de détecter la lumière émise par d’autres véhicules, conformément à la définition qui en est donnée au paragraphe</w:t>
      </w:r>
      <w:r w:rsidR="00F8218B">
        <w:rPr>
          <w:rFonts w:eastAsia="Calibri"/>
        </w:rPr>
        <w:t xml:space="preserve"> </w:t>
      </w:r>
      <w:r w:rsidRPr="005B0501">
        <w:rPr>
          <w:strike/>
        </w:rPr>
        <w:t xml:space="preserve">6.1.7.1 </w:t>
      </w:r>
      <w:r w:rsidRPr="005B0501">
        <w:rPr>
          <w:b/>
          <w:bCs/>
        </w:rPr>
        <w:t xml:space="preserve">6.1.7.2 </w:t>
      </w:r>
      <w:r w:rsidRPr="005B0501">
        <w:rPr>
          <w:rFonts w:eastAsia="Calibri"/>
        </w:rPr>
        <w:t>ci-dessus, sont définies par les angles indiqués ci-après</w:t>
      </w:r>
      <w:r w:rsidRPr="005B0501">
        <w:rPr>
          <w:rFonts w:eastAsia="Calibri"/>
          <w:lang w:eastAsia="fr-FR"/>
        </w:rPr>
        <w:t>.</w:t>
      </w:r>
    </w:p>
    <w:p w14:paraId="03DA97EF" w14:textId="3F60248E" w:rsidR="00F368F4" w:rsidRDefault="00F368F4" w:rsidP="00F8218B">
      <w:pPr>
        <w:pStyle w:val="SingleTxtG"/>
        <w:keepNext/>
        <w:ind w:left="2268" w:hanging="1134"/>
        <w:rPr>
          <w:rFonts w:eastAsia="Calibri"/>
          <w:lang w:eastAsia="fr-FR"/>
        </w:rPr>
      </w:pPr>
      <w:r w:rsidRPr="005B0501">
        <w:rPr>
          <w:rFonts w:eastAsia="Calibri"/>
        </w:rPr>
        <w:t>6.1.9.3.1.1.1</w:t>
      </w:r>
      <w:r w:rsidRPr="005B0501">
        <w:rPr>
          <w:rFonts w:eastAsia="Calibri"/>
        </w:rPr>
        <w:tab/>
      </w:r>
      <w:r w:rsidRPr="00295078">
        <w:t>Angles</w:t>
      </w:r>
      <w:r w:rsidRPr="005B0501">
        <w:rPr>
          <w:rFonts w:eastAsia="Calibri"/>
          <w:lang w:eastAsia="fr-FR"/>
        </w:rPr>
        <w:t xml:space="preserve"> horizontaux</w:t>
      </w:r>
      <w:r w:rsidR="00EB6374" w:rsidRPr="005B0501">
        <w:rPr>
          <w:rFonts w:eastAsia="Calibri"/>
          <w:lang w:eastAsia="fr-FR"/>
        </w:rPr>
        <w:t> :</w:t>
      </w:r>
      <w:r w:rsidRPr="005B0501">
        <w:rPr>
          <w:rFonts w:eastAsia="Calibri"/>
          <w:lang w:eastAsia="fr-FR"/>
        </w:rPr>
        <w:t xml:space="preserve"> 15° à gauche et 15° à droite.</w:t>
      </w:r>
    </w:p>
    <w:p w14:paraId="221BEAA7" w14:textId="77777777" w:rsidR="00315386" w:rsidRDefault="00315386" w:rsidP="00315386">
      <w:pPr>
        <w:pStyle w:val="SingleTxtG"/>
        <w:ind w:left="2268"/>
        <w:rPr>
          <w:lang w:eastAsia="fr-FR"/>
        </w:rPr>
      </w:pPr>
      <w:r w:rsidRPr="005B0501">
        <w:tab/>
      </w:r>
      <w:r w:rsidRPr="005B0501">
        <w:rPr>
          <w:lang w:eastAsia="fr-FR"/>
        </w:rPr>
        <w:t>Angles verticaux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8"/>
        <w:gridCol w:w="1417"/>
        <w:gridCol w:w="1417"/>
        <w:gridCol w:w="1418"/>
      </w:tblGrid>
      <w:tr w:rsidR="00315386" w:rsidRPr="005B0501" w14:paraId="74D41660" w14:textId="77777777" w:rsidTr="00315386">
        <w:trPr>
          <w:tblHeader/>
        </w:trPr>
        <w:tc>
          <w:tcPr>
            <w:tcW w:w="3118" w:type="dxa"/>
            <w:shd w:val="clear" w:color="auto" w:fill="auto"/>
            <w:tcMar>
              <w:left w:w="0" w:type="dxa"/>
              <w:right w:w="0" w:type="dxa"/>
            </w:tcMar>
            <w:vAlign w:val="bottom"/>
          </w:tcPr>
          <w:p w14:paraId="485D3F57" w14:textId="77777777" w:rsidR="00315386" w:rsidRPr="005B0501" w:rsidRDefault="00315386" w:rsidP="009A4DD1">
            <w:pPr>
              <w:keepNext/>
              <w:keepLines/>
              <w:suppressAutoHyphens w:val="0"/>
              <w:spacing w:before="60" w:after="60"/>
              <w:ind w:left="113" w:right="113"/>
              <w:rPr>
                <w:rFonts w:eastAsia="Calibri"/>
              </w:rPr>
            </w:pPr>
            <w:r w:rsidRPr="005B0501">
              <w:rPr>
                <w:rFonts w:eastAsia="Calibri"/>
                <w:lang w:eastAsia="fr-FR"/>
              </w:rPr>
              <w:t>Angle d’inclinaison vers le haut</w:t>
            </w:r>
          </w:p>
        </w:tc>
        <w:tc>
          <w:tcPr>
            <w:tcW w:w="4252" w:type="dxa"/>
            <w:gridSpan w:val="3"/>
            <w:shd w:val="clear" w:color="auto" w:fill="auto"/>
            <w:tcMar>
              <w:left w:w="0" w:type="dxa"/>
              <w:right w:w="0" w:type="dxa"/>
            </w:tcMar>
            <w:vAlign w:val="bottom"/>
          </w:tcPr>
          <w:p w14:paraId="3C53C5B2" w14:textId="77777777" w:rsidR="00315386" w:rsidRPr="005B0501" w:rsidRDefault="00315386" w:rsidP="009A4DD1">
            <w:pPr>
              <w:keepNext/>
              <w:keepLines/>
              <w:suppressAutoHyphens w:val="0"/>
              <w:spacing w:before="60" w:after="60"/>
              <w:ind w:left="113" w:right="113"/>
              <w:rPr>
                <w:rFonts w:eastAsia="Calibri"/>
              </w:rPr>
            </w:pPr>
            <w:r w:rsidRPr="005B0501">
              <w:rPr>
                <w:rFonts w:eastAsia="Calibri"/>
              </w:rPr>
              <w:t>5°</w:t>
            </w:r>
          </w:p>
        </w:tc>
      </w:tr>
      <w:tr w:rsidR="00315386" w:rsidRPr="005B0501" w14:paraId="46F4D809" w14:textId="77777777" w:rsidTr="00315386">
        <w:tc>
          <w:tcPr>
            <w:tcW w:w="3118" w:type="dxa"/>
            <w:shd w:val="clear" w:color="auto" w:fill="auto"/>
            <w:tcMar>
              <w:left w:w="0" w:type="dxa"/>
              <w:right w:w="0" w:type="dxa"/>
            </w:tcMar>
          </w:tcPr>
          <w:p w14:paraId="076B637B" w14:textId="08DF4040" w:rsidR="00315386" w:rsidRPr="005B0501" w:rsidRDefault="00315386" w:rsidP="009A4DD1">
            <w:pPr>
              <w:keepNext/>
              <w:keepLines/>
              <w:suppressAutoHyphens w:val="0"/>
              <w:spacing w:before="60" w:after="60"/>
              <w:ind w:left="113" w:right="113"/>
              <w:rPr>
                <w:rFonts w:eastAsia="Calibri"/>
              </w:rPr>
            </w:pPr>
            <w:r w:rsidRPr="005B0501">
              <w:rPr>
                <w:rFonts w:eastAsia="Calibri"/>
                <w:spacing w:val="2"/>
                <w:lang w:eastAsia="fr-FR"/>
              </w:rPr>
              <w:t>Hauteur de montage du capteur (mesuré par rapport au sol à partir</w:t>
            </w:r>
            <w:r w:rsidRPr="005B0501">
              <w:rPr>
                <w:rFonts w:eastAsia="Calibri"/>
                <w:spacing w:val="-2"/>
                <w:lang w:eastAsia="fr-FR"/>
              </w:rPr>
              <w:t xml:space="preserve"> du</w:t>
            </w:r>
            <w:r w:rsidR="009A4DD1">
              <w:rPr>
                <w:rFonts w:eastAsia="Calibri"/>
                <w:spacing w:val="-2"/>
                <w:lang w:eastAsia="fr-FR"/>
              </w:rPr>
              <w:t xml:space="preserve"> </w:t>
            </w:r>
            <w:r w:rsidRPr="005B0501">
              <w:rPr>
                <w:rFonts w:eastAsia="Calibri"/>
                <w:spacing w:val="-2"/>
                <w:lang w:eastAsia="fr-FR"/>
              </w:rPr>
              <w:t>centre de l’ouverture du</w:t>
            </w:r>
            <w:r w:rsidR="009A4DD1">
              <w:rPr>
                <w:rFonts w:eastAsia="Calibri"/>
                <w:spacing w:val="-2"/>
                <w:lang w:eastAsia="fr-FR"/>
              </w:rPr>
              <w:t xml:space="preserve"> </w:t>
            </w:r>
            <w:r w:rsidRPr="005B0501">
              <w:rPr>
                <w:rFonts w:eastAsia="Calibri"/>
                <w:spacing w:val="-2"/>
                <w:lang w:eastAsia="fr-FR"/>
              </w:rPr>
              <w:t>capteur)</w:t>
            </w:r>
          </w:p>
        </w:tc>
        <w:tc>
          <w:tcPr>
            <w:tcW w:w="1417" w:type="dxa"/>
            <w:shd w:val="clear" w:color="auto" w:fill="auto"/>
            <w:tcMar>
              <w:left w:w="0" w:type="dxa"/>
              <w:right w:w="0" w:type="dxa"/>
            </w:tcMar>
          </w:tcPr>
          <w:p w14:paraId="3DD409E0" w14:textId="77777777" w:rsidR="00315386" w:rsidRPr="005B0501" w:rsidRDefault="00315386" w:rsidP="009A4DD1">
            <w:pPr>
              <w:keepNext/>
              <w:keepLines/>
              <w:suppressAutoHyphens w:val="0"/>
              <w:spacing w:before="60" w:after="60"/>
              <w:ind w:left="113" w:right="113"/>
              <w:rPr>
                <w:rFonts w:eastAsia="Calibri"/>
              </w:rPr>
            </w:pPr>
            <w:r w:rsidRPr="005B0501">
              <w:rPr>
                <w:rFonts w:eastAsia="Calibri"/>
                <w:lang w:eastAsia="fr-FR"/>
              </w:rPr>
              <w:t>Moins de 2 m</w:t>
            </w:r>
          </w:p>
        </w:tc>
        <w:tc>
          <w:tcPr>
            <w:tcW w:w="1417" w:type="dxa"/>
            <w:shd w:val="clear" w:color="auto" w:fill="auto"/>
            <w:tcMar>
              <w:left w:w="0" w:type="dxa"/>
              <w:right w:w="0" w:type="dxa"/>
            </w:tcMar>
          </w:tcPr>
          <w:p w14:paraId="0A8BA5F4" w14:textId="77777777" w:rsidR="00315386" w:rsidRPr="005B0501" w:rsidRDefault="00315386" w:rsidP="009A4DD1">
            <w:pPr>
              <w:keepNext/>
              <w:keepLines/>
              <w:suppressAutoHyphens w:val="0"/>
              <w:spacing w:before="60" w:after="60"/>
              <w:ind w:left="113" w:right="113"/>
              <w:rPr>
                <w:rFonts w:eastAsia="Calibri"/>
              </w:rPr>
            </w:pPr>
            <w:r w:rsidRPr="005B0501">
              <w:rPr>
                <w:rFonts w:eastAsia="Calibri"/>
                <w:lang w:eastAsia="fr-FR"/>
              </w:rPr>
              <w:t>Entre 1,5 m et 2,5 m</w:t>
            </w:r>
          </w:p>
        </w:tc>
        <w:tc>
          <w:tcPr>
            <w:tcW w:w="1418" w:type="dxa"/>
            <w:shd w:val="clear" w:color="auto" w:fill="auto"/>
            <w:tcMar>
              <w:left w:w="0" w:type="dxa"/>
              <w:right w:w="0" w:type="dxa"/>
            </w:tcMar>
          </w:tcPr>
          <w:p w14:paraId="2A6A315F" w14:textId="77777777" w:rsidR="00315386" w:rsidRPr="005B0501" w:rsidRDefault="00315386" w:rsidP="009A4DD1">
            <w:pPr>
              <w:keepNext/>
              <w:keepLines/>
              <w:suppressAutoHyphens w:val="0"/>
              <w:spacing w:before="60" w:after="60"/>
              <w:ind w:left="113" w:right="113"/>
              <w:rPr>
                <w:rFonts w:eastAsia="Calibri"/>
              </w:rPr>
            </w:pPr>
            <w:r w:rsidRPr="005B0501">
              <w:rPr>
                <w:rFonts w:eastAsia="Calibri"/>
                <w:lang w:eastAsia="fr-FR"/>
              </w:rPr>
              <w:t>Plus de 2,0 m</w:t>
            </w:r>
          </w:p>
        </w:tc>
      </w:tr>
      <w:tr w:rsidR="00315386" w:rsidRPr="005B0501" w14:paraId="11E31075" w14:textId="77777777" w:rsidTr="00315386">
        <w:tc>
          <w:tcPr>
            <w:tcW w:w="3118" w:type="dxa"/>
            <w:shd w:val="clear" w:color="auto" w:fill="auto"/>
            <w:tcMar>
              <w:left w:w="0" w:type="dxa"/>
              <w:right w:w="0" w:type="dxa"/>
            </w:tcMar>
          </w:tcPr>
          <w:p w14:paraId="3A10B8E5" w14:textId="77777777" w:rsidR="00315386" w:rsidRPr="005B0501" w:rsidRDefault="00315386" w:rsidP="009A4DD1">
            <w:pPr>
              <w:suppressAutoHyphens w:val="0"/>
              <w:spacing w:before="60" w:after="60"/>
              <w:ind w:left="113" w:right="113"/>
              <w:rPr>
                <w:rFonts w:eastAsia="Calibri"/>
              </w:rPr>
            </w:pPr>
            <w:r w:rsidRPr="005B0501">
              <w:rPr>
                <w:rFonts w:eastAsia="Calibri"/>
                <w:lang w:eastAsia="fr-FR"/>
              </w:rPr>
              <w:t>Angle d’inclinaison vers le bas</w:t>
            </w:r>
          </w:p>
        </w:tc>
        <w:tc>
          <w:tcPr>
            <w:tcW w:w="1417" w:type="dxa"/>
            <w:shd w:val="clear" w:color="auto" w:fill="auto"/>
            <w:tcMar>
              <w:left w:w="0" w:type="dxa"/>
              <w:right w:w="0" w:type="dxa"/>
            </w:tcMar>
          </w:tcPr>
          <w:p w14:paraId="2E920B0D" w14:textId="77777777" w:rsidR="00315386" w:rsidRPr="005B0501" w:rsidRDefault="00315386" w:rsidP="009A4DD1">
            <w:pPr>
              <w:suppressAutoHyphens w:val="0"/>
              <w:spacing w:before="60" w:after="60"/>
              <w:ind w:left="113" w:right="113"/>
              <w:rPr>
                <w:rFonts w:eastAsia="Calibri"/>
              </w:rPr>
            </w:pPr>
            <w:r w:rsidRPr="005B0501">
              <w:rPr>
                <w:rFonts w:eastAsia="Calibri"/>
              </w:rPr>
              <w:t>2°</w:t>
            </w:r>
          </w:p>
        </w:tc>
        <w:tc>
          <w:tcPr>
            <w:tcW w:w="1417" w:type="dxa"/>
            <w:shd w:val="clear" w:color="auto" w:fill="auto"/>
            <w:tcMar>
              <w:left w:w="0" w:type="dxa"/>
              <w:right w:w="0" w:type="dxa"/>
            </w:tcMar>
          </w:tcPr>
          <w:p w14:paraId="33BEADBE" w14:textId="77777777" w:rsidR="00315386" w:rsidRPr="005B0501" w:rsidRDefault="00315386" w:rsidP="009A4DD1">
            <w:pPr>
              <w:suppressAutoHyphens w:val="0"/>
              <w:spacing w:before="60" w:after="60"/>
              <w:ind w:left="113" w:right="113"/>
              <w:rPr>
                <w:rFonts w:eastAsia="Calibri"/>
              </w:rPr>
            </w:pPr>
            <w:r w:rsidRPr="005B0501">
              <w:rPr>
                <w:rFonts w:eastAsia="Calibri"/>
              </w:rPr>
              <w:t>2° à 5°</w:t>
            </w:r>
          </w:p>
        </w:tc>
        <w:tc>
          <w:tcPr>
            <w:tcW w:w="1418" w:type="dxa"/>
            <w:shd w:val="clear" w:color="auto" w:fill="auto"/>
            <w:tcMar>
              <w:left w:w="0" w:type="dxa"/>
              <w:right w:w="0" w:type="dxa"/>
            </w:tcMar>
          </w:tcPr>
          <w:p w14:paraId="351C1875" w14:textId="77777777" w:rsidR="00315386" w:rsidRPr="005B0501" w:rsidRDefault="00315386" w:rsidP="009A4DD1">
            <w:pPr>
              <w:suppressAutoHyphens w:val="0"/>
              <w:spacing w:before="60" w:after="60"/>
              <w:ind w:left="113" w:right="113"/>
              <w:rPr>
                <w:rFonts w:eastAsia="Calibri"/>
              </w:rPr>
            </w:pPr>
            <w:r w:rsidRPr="005B0501">
              <w:rPr>
                <w:rFonts w:eastAsia="Calibri"/>
              </w:rPr>
              <w:t>5°</w:t>
            </w:r>
          </w:p>
        </w:tc>
      </w:tr>
    </w:tbl>
    <w:p w14:paraId="6D92A6DC" w14:textId="4D892F31" w:rsidR="00F368F4" w:rsidRPr="005B0501" w:rsidRDefault="00F368F4" w:rsidP="00315386">
      <w:pPr>
        <w:pStyle w:val="SingleTxtG"/>
        <w:spacing w:before="120"/>
        <w:ind w:left="2268"/>
        <w:rPr>
          <w:szCs w:val="16"/>
        </w:rPr>
      </w:pPr>
      <w:r w:rsidRPr="005B0501">
        <w:t>Ces angles sont mesurés à partir du centre de l’ouverture du capteur par rapport à une ligne droite horizontale passant par ledit centre, parallèlement au plan médian longitudinal du</w:t>
      </w:r>
      <w:r w:rsidR="00315386">
        <w:t xml:space="preserve"> </w:t>
      </w:r>
      <w:r w:rsidRPr="005B0501">
        <w:t>véhicule.</w:t>
      </w:r>
      <w:r w:rsidR="005B0501">
        <w:t> </w:t>
      </w:r>
      <w:r w:rsidR="005B0501" w:rsidRPr="005B0501">
        <w:t>»</w:t>
      </w:r>
      <w:r w:rsidR="00315386">
        <w:t>.</w:t>
      </w:r>
    </w:p>
    <w:p w14:paraId="2E1831BF" w14:textId="4448C146" w:rsidR="00F368F4" w:rsidRPr="005B0501" w:rsidRDefault="00F368F4" w:rsidP="004E58D6">
      <w:pPr>
        <w:pStyle w:val="SingleTxtG"/>
        <w:keepNext/>
      </w:pPr>
      <w:r w:rsidRPr="004E58D6">
        <w:rPr>
          <w:i/>
          <w:iCs/>
        </w:rPr>
        <w:t>Paragraphe</w:t>
      </w:r>
      <w:r w:rsidRPr="005B0501">
        <w:rPr>
          <w:i/>
        </w:rPr>
        <w:t xml:space="preserve"> 6.1.9.3.2</w:t>
      </w:r>
      <w:r w:rsidRPr="00315386">
        <w:rPr>
          <w:iCs/>
        </w:rPr>
        <w:t xml:space="preserve">, </w:t>
      </w:r>
      <w:r w:rsidRPr="005B0501">
        <w:t>lire</w:t>
      </w:r>
      <w:r w:rsidR="00EB6374" w:rsidRPr="005B0501">
        <w:t> :</w:t>
      </w:r>
    </w:p>
    <w:p w14:paraId="71392E8C" w14:textId="12A3422C" w:rsidR="00F368F4" w:rsidRPr="005B0501" w:rsidRDefault="005B0501" w:rsidP="00295078">
      <w:pPr>
        <w:pStyle w:val="SingleTxtG"/>
        <w:ind w:left="2268" w:hanging="1134"/>
        <w:rPr>
          <w:i/>
        </w:rPr>
      </w:pPr>
      <w:r w:rsidRPr="005B0501">
        <w:t>«</w:t>
      </w:r>
      <w:r>
        <w:t> </w:t>
      </w:r>
      <w:r w:rsidR="00F368F4" w:rsidRPr="005B0501">
        <w:rPr>
          <w:rFonts w:eastAsia="Calibri"/>
          <w:bCs/>
        </w:rPr>
        <w:t>6.1.9.3.2</w:t>
      </w:r>
      <w:r w:rsidR="00F368F4" w:rsidRPr="005B0501">
        <w:rPr>
          <w:rFonts w:eastAsia="Calibri"/>
          <w:bCs/>
        </w:rPr>
        <w:tab/>
      </w:r>
      <w:r w:rsidR="00F368F4" w:rsidRPr="005B0501">
        <w:rPr>
          <w:rFonts w:eastAsia="Calibri"/>
        </w:rPr>
        <w:t xml:space="preserve">Le passage du faisceau de route au faisceau de croisement et inversement, dans </w:t>
      </w:r>
      <w:r w:rsidR="00F368F4" w:rsidRPr="00295078">
        <w:t>les</w:t>
      </w:r>
      <w:r w:rsidR="00F368F4" w:rsidRPr="005B0501">
        <w:rPr>
          <w:rFonts w:eastAsia="Calibri"/>
        </w:rPr>
        <w:t xml:space="preserve"> conditions indiquées au paragraphe</w:t>
      </w:r>
      <w:bookmarkStart w:id="4" w:name="_Hlk112775433"/>
      <w:r w:rsidR="00315386">
        <w:rPr>
          <w:rFonts w:eastAsia="Calibri"/>
        </w:rPr>
        <w:t xml:space="preserve"> </w:t>
      </w:r>
      <w:r w:rsidR="00F368F4" w:rsidRPr="005B0501">
        <w:rPr>
          <w:strike/>
        </w:rPr>
        <w:t xml:space="preserve">6.1.7.1 </w:t>
      </w:r>
      <w:r w:rsidR="00F368F4" w:rsidRPr="005B0501">
        <w:rPr>
          <w:b/>
          <w:bCs/>
        </w:rPr>
        <w:t xml:space="preserve">6.1.7.2 </w:t>
      </w:r>
      <w:bookmarkEnd w:id="4"/>
      <w:r w:rsidR="00F368F4" w:rsidRPr="005B0501">
        <w:rPr>
          <w:rFonts w:eastAsia="Calibri"/>
        </w:rPr>
        <w:t>ci-dessus, peut être effectué automatiquement</w:t>
      </w:r>
      <w:r w:rsidR="00EB6374" w:rsidRPr="005B0501">
        <w:rPr>
          <w:rFonts w:eastAsia="Calibri"/>
        </w:rPr>
        <w:t> ;</w:t>
      </w:r>
      <w:r w:rsidR="00F368F4" w:rsidRPr="005B0501">
        <w:rPr>
          <w:rFonts w:eastAsia="Calibri"/>
        </w:rPr>
        <w:t xml:space="preserve"> il ne doit occasionner ni gêne, ni distraction, ni éblouissement.</w:t>
      </w:r>
      <w:r>
        <w:t> </w:t>
      </w:r>
      <w:r w:rsidRPr="005B0501">
        <w:t>»</w:t>
      </w:r>
      <w:r w:rsidR="00315386">
        <w:t>.</w:t>
      </w:r>
    </w:p>
    <w:p w14:paraId="39BB999C" w14:textId="3AFE996A" w:rsidR="00F368F4" w:rsidRPr="005B0501" w:rsidRDefault="00F368F4" w:rsidP="004E58D6">
      <w:pPr>
        <w:pStyle w:val="SingleTxtG"/>
        <w:keepNext/>
      </w:pPr>
      <w:r w:rsidRPr="004E58D6">
        <w:rPr>
          <w:i/>
          <w:iCs/>
        </w:rPr>
        <w:t>Paragraphe</w:t>
      </w:r>
      <w:r w:rsidRPr="005B0501">
        <w:rPr>
          <w:i/>
        </w:rPr>
        <w:t xml:space="preserve"> 6.1.9.3.4</w:t>
      </w:r>
      <w:r w:rsidRPr="00315386">
        <w:rPr>
          <w:iCs/>
        </w:rPr>
        <w:t>,</w:t>
      </w:r>
      <w:r w:rsidRPr="005B0501">
        <w:t xml:space="preserve"> lire</w:t>
      </w:r>
      <w:r w:rsidR="00EB6374" w:rsidRPr="005B0501">
        <w:t> :</w:t>
      </w:r>
    </w:p>
    <w:p w14:paraId="6D00CD1C" w14:textId="7EA52823" w:rsidR="00F368F4" w:rsidRPr="005B0501" w:rsidRDefault="005B0501" w:rsidP="00295078">
      <w:pPr>
        <w:pStyle w:val="SingleTxtG"/>
        <w:ind w:left="2268" w:hanging="1134"/>
        <w:rPr>
          <w:rFonts w:eastAsia="Calibri"/>
        </w:rPr>
      </w:pPr>
      <w:r w:rsidRPr="005B0501">
        <w:t>«</w:t>
      </w:r>
      <w:r>
        <w:t> </w:t>
      </w:r>
      <w:r w:rsidR="00F368F4" w:rsidRPr="005B0501">
        <w:rPr>
          <w:rFonts w:eastAsia="Calibri"/>
        </w:rPr>
        <w:t>6.1.9.3.4</w:t>
      </w:r>
      <w:r w:rsidR="00F368F4" w:rsidRPr="005B0501">
        <w:rPr>
          <w:rFonts w:eastAsia="Calibri"/>
        </w:rPr>
        <w:tab/>
        <w:t>La commande des feux de route ne peut permettre qu’ils s’allument de manière automatique que</w:t>
      </w:r>
      <w:r w:rsidR="00EB6374" w:rsidRPr="005B0501">
        <w:rPr>
          <w:rFonts w:eastAsia="Calibri"/>
        </w:rPr>
        <w:t> :</w:t>
      </w:r>
    </w:p>
    <w:p w14:paraId="264E9E05" w14:textId="77777777" w:rsidR="003B0359" w:rsidRDefault="00F368F4" w:rsidP="003B0359">
      <w:pPr>
        <w:pStyle w:val="SingleTxtG"/>
        <w:ind w:left="2835" w:hanging="567"/>
      </w:pPr>
      <w:r w:rsidRPr="005B0501">
        <w:rPr>
          <w:bCs/>
        </w:rPr>
        <w:t>a)</w:t>
      </w:r>
      <w:r w:rsidRPr="005B0501">
        <w:rPr>
          <w:bCs/>
        </w:rPr>
        <w:tab/>
      </w:r>
      <w:r w:rsidRPr="005B0501">
        <w:t>Lorsque aucun des véhicules mentionnés au paragraphe</w:t>
      </w:r>
      <w:r w:rsidR="003B0359">
        <w:t xml:space="preserve"> </w:t>
      </w:r>
      <w:r w:rsidRPr="005B0501">
        <w:rPr>
          <w:strike/>
        </w:rPr>
        <w:t xml:space="preserve">6.1.7.1 </w:t>
      </w:r>
      <w:r w:rsidRPr="005B0501">
        <w:rPr>
          <w:b/>
          <w:bCs/>
        </w:rPr>
        <w:t>6.1.7.2</w:t>
      </w:r>
      <w:r w:rsidRPr="005B0501">
        <w:t xml:space="preserve"> ci</w:t>
      </w:r>
      <w:r w:rsidRPr="005B0501">
        <w:noBreakHyphen/>
        <w:t>dessus n’est détecté dans la limite des champs et des distances visés aux paragraphes</w:t>
      </w:r>
      <w:r w:rsidR="003B0359">
        <w:t xml:space="preserve"> </w:t>
      </w:r>
      <w:r w:rsidRPr="005B0501">
        <w:t>6.1.9.3.1.1 et 6.1.9.3.1.2</w:t>
      </w:r>
      <w:r w:rsidR="00EB6374" w:rsidRPr="005B0501">
        <w:t> ;</w:t>
      </w:r>
    </w:p>
    <w:p w14:paraId="1D9AF561" w14:textId="078C5DD5" w:rsidR="00F368F4" w:rsidRPr="005B0501" w:rsidRDefault="00F368F4" w:rsidP="003B0359">
      <w:pPr>
        <w:pStyle w:val="SingleTxtG"/>
        <w:ind w:left="2835" w:hanging="567"/>
        <w:rPr>
          <w:bCs/>
          <w:color w:val="000000"/>
        </w:rPr>
      </w:pPr>
      <w:r w:rsidRPr="005B0501">
        <w:rPr>
          <w:rFonts w:eastAsia="Calibri"/>
          <w:bCs/>
        </w:rPr>
        <w:t>b)</w:t>
      </w:r>
      <w:r w:rsidRPr="005B0501">
        <w:rPr>
          <w:rFonts w:eastAsia="Calibri"/>
          <w:bCs/>
        </w:rPr>
        <w:tab/>
      </w:r>
      <w:r w:rsidRPr="005B0501">
        <w:rPr>
          <w:rFonts w:eastAsia="Calibri"/>
        </w:rPr>
        <w:t>Lorsque le niveau d’éclairage ambiant détecté est conforme à celui prescrit au paragraphe</w:t>
      </w:r>
      <w:r w:rsidR="003B0359">
        <w:rPr>
          <w:rFonts w:eastAsia="Calibri"/>
        </w:rPr>
        <w:t xml:space="preserve"> </w:t>
      </w:r>
      <w:r w:rsidRPr="005B0501">
        <w:rPr>
          <w:rFonts w:eastAsia="Calibri"/>
        </w:rPr>
        <w:t>6.1.9.3.5 ci-dessous.</w:t>
      </w:r>
      <w:r w:rsidR="005B0501">
        <w:t> </w:t>
      </w:r>
      <w:r w:rsidR="005B0501" w:rsidRPr="005B0501">
        <w:t>»</w:t>
      </w:r>
      <w:r w:rsidR="003B0359">
        <w:t>.</w:t>
      </w:r>
    </w:p>
    <w:p w14:paraId="5CC45A69" w14:textId="41B9A80D" w:rsidR="00F368F4" w:rsidRPr="005B0501" w:rsidRDefault="00F368F4" w:rsidP="004E58D6">
      <w:pPr>
        <w:pStyle w:val="SingleTxtG"/>
        <w:keepNext/>
      </w:pPr>
      <w:r w:rsidRPr="004E58D6">
        <w:rPr>
          <w:i/>
          <w:iCs/>
        </w:rPr>
        <w:t>Paragraphe</w:t>
      </w:r>
      <w:r w:rsidRPr="005B0501">
        <w:rPr>
          <w:i/>
        </w:rPr>
        <w:t xml:space="preserve"> 6.1.9.3.5</w:t>
      </w:r>
      <w:r w:rsidRPr="003B0359">
        <w:rPr>
          <w:iCs/>
        </w:rPr>
        <w:t xml:space="preserve">, </w:t>
      </w:r>
      <w:r w:rsidRPr="005B0501">
        <w:t>lire</w:t>
      </w:r>
      <w:r w:rsidR="00EB6374" w:rsidRPr="005B0501">
        <w:t> :</w:t>
      </w:r>
    </w:p>
    <w:p w14:paraId="73CD559E" w14:textId="044B4D88" w:rsidR="00F368F4" w:rsidRPr="005B0501" w:rsidRDefault="005B0501" w:rsidP="00295078">
      <w:pPr>
        <w:pStyle w:val="SingleTxtG"/>
        <w:ind w:left="2268" w:hanging="1134"/>
        <w:rPr>
          <w:rFonts w:eastAsia="Calibri"/>
        </w:rPr>
      </w:pPr>
      <w:r w:rsidRPr="005B0501">
        <w:t>«</w:t>
      </w:r>
      <w:r>
        <w:t> </w:t>
      </w:r>
      <w:r w:rsidR="00F368F4" w:rsidRPr="005B0501">
        <w:rPr>
          <w:rFonts w:eastAsia="Calibri"/>
          <w:bCs/>
        </w:rPr>
        <w:t>6.1.9.3.5</w:t>
      </w:r>
      <w:r w:rsidR="00F368F4" w:rsidRPr="005B0501">
        <w:rPr>
          <w:rFonts w:eastAsia="Calibri"/>
          <w:bCs/>
        </w:rPr>
        <w:tab/>
      </w:r>
      <w:r w:rsidR="00F368F4" w:rsidRPr="005B0501">
        <w:rPr>
          <w:rFonts w:eastAsia="Calibri"/>
        </w:rPr>
        <w:t xml:space="preserve">Lorsque les feux de route sont allumés automatiquement, ils doivent être </w:t>
      </w:r>
      <w:r w:rsidR="00F368F4" w:rsidRPr="00295078">
        <w:t>éteints</w:t>
      </w:r>
      <w:r w:rsidR="00F368F4" w:rsidRPr="005B0501">
        <w:rPr>
          <w:rFonts w:eastAsia="Calibri"/>
        </w:rPr>
        <w:t xml:space="preserve"> automatiquement lorsque des véhicules venant en sens inverse ou des</w:t>
      </w:r>
      <w:r w:rsidR="003B0359">
        <w:rPr>
          <w:rFonts w:eastAsia="Calibri"/>
        </w:rPr>
        <w:t xml:space="preserve"> </w:t>
      </w:r>
      <w:r w:rsidR="00F368F4" w:rsidRPr="005B0501">
        <w:rPr>
          <w:rFonts w:eastAsia="Calibri"/>
        </w:rPr>
        <w:t>véhicules en aval, tels qu’ils sont mentionnés au paragraphe</w:t>
      </w:r>
      <w:r w:rsidR="003B0359">
        <w:rPr>
          <w:rFonts w:eastAsia="Calibri"/>
        </w:rPr>
        <w:t xml:space="preserve"> </w:t>
      </w:r>
      <w:r w:rsidR="00F368F4" w:rsidRPr="005B0501">
        <w:rPr>
          <w:strike/>
        </w:rPr>
        <w:t xml:space="preserve">6.1.7.1 </w:t>
      </w:r>
      <w:r w:rsidR="00F368F4" w:rsidRPr="005B0501">
        <w:rPr>
          <w:b/>
          <w:bCs/>
        </w:rPr>
        <w:t xml:space="preserve">6.1.7.2 </w:t>
      </w:r>
      <w:r w:rsidR="00F368F4" w:rsidRPr="005B0501">
        <w:rPr>
          <w:rFonts w:eastAsia="Calibri"/>
        </w:rPr>
        <w:t>ci</w:t>
      </w:r>
      <w:r w:rsidR="00F368F4" w:rsidRPr="005B0501">
        <w:rPr>
          <w:rFonts w:eastAsia="Calibri"/>
        </w:rPr>
        <w:noBreakHyphen/>
        <w:t>dessus, sont détectés dans la limite des champs et des distances visés aux paragraphes</w:t>
      </w:r>
      <w:r w:rsidR="003B0359">
        <w:rPr>
          <w:rFonts w:eastAsia="Calibri"/>
        </w:rPr>
        <w:t xml:space="preserve"> </w:t>
      </w:r>
      <w:r w:rsidR="00F368F4" w:rsidRPr="005B0501">
        <w:rPr>
          <w:rFonts w:eastAsia="Calibri"/>
        </w:rPr>
        <w:t>6.1.9.3.1.1 et</w:t>
      </w:r>
      <w:r w:rsidR="003B0359">
        <w:rPr>
          <w:rFonts w:eastAsia="Calibri"/>
        </w:rPr>
        <w:t xml:space="preserve"> </w:t>
      </w:r>
      <w:r w:rsidR="00F368F4" w:rsidRPr="005B0501">
        <w:rPr>
          <w:rFonts w:eastAsia="Calibri"/>
        </w:rPr>
        <w:t>6.1.9.3.1.2.</w:t>
      </w:r>
    </w:p>
    <w:p w14:paraId="275A88AF" w14:textId="0828D1DE" w:rsidR="00F368F4" w:rsidRPr="005B0501" w:rsidRDefault="00F368F4" w:rsidP="00F368F4">
      <w:pPr>
        <w:spacing w:after="120"/>
        <w:ind w:left="2268" w:right="1134"/>
        <w:jc w:val="both"/>
        <w:rPr>
          <w:rFonts w:eastAsia="Calibri"/>
        </w:rPr>
      </w:pPr>
      <w:r w:rsidRPr="005B0501">
        <w:rPr>
          <w:rFonts w:eastAsia="Calibri"/>
        </w:rPr>
        <w:t>Ils doivent en outre être éteints automatiquement lorsque l’éclairement produit par les conditions d’éclairage ambiantes dépasse 7</w:t>
      </w:r>
      <w:r w:rsidR="003B0359">
        <w:rPr>
          <w:rFonts w:eastAsia="Calibri"/>
        </w:rPr>
        <w:t> </w:t>
      </w:r>
      <w:r w:rsidRPr="005B0501">
        <w:rPr>
          <w:rFonts w:eastAsia="Calibri"/>
        </w:rPr>
        <w:t>000</w:t>
      </w:r>
      <w:r w:rsidR="003B0359">
        <w:rPr>
          <w:rFonts w:eastAsia="Calibri"/>
        </w:rPr>
        <w:t xml:space="preserve"> </w:t>
      </w:r>
      <w:r w:rsidRPr="005B0501">
        <w:rPr>
          <w:rFonts w:eastAsia="Calibri"/>
        </w:rPr>
        <w:t>lx.</w:t>
      </w:r>
    </w:p>
    <w:p w14:paraId="573A65D5" w14:textId="0FEDEEBF" w:rsidR="00F368F4" w:rsidRPr="005B0501" w:rsidRDefault="00F368F4" w:rsidP="00F368F4">
      <w:pPr>
        <w:spacing w:after="120"/>
        <w:ind w:left="2268" w:right="1134"/>
        <w:jc w:val="both"/>
      </w:pPr>
      <w:r w:rsidRPr="005B0501">
        <w:rPr>
          <w:rFonts w:eastAsia="Calibri"/>
        </w:rPr>
        <w:t>Le respect de cette prescription doit être prouvé par le demandeur par simulation ou par tout autre moyen de vérification agréé par l’autorité d’homologation de type. Au besoin, l’éclairement doit être mesuré sur une surface horizontale, à l’aide d’un capteur à correction de cosinus placé à la même hauteur que la position de montage du capteur situé sur le véhicule. Le</w:t>
      </w:r>
      <w:r w:rsidR="000C49B3">
        <w:rPr>
          <w:rFonts w:eastAsia="Calibri"/>
        </w:rPr>
        <w:t xml:space="preserve"> </w:t>
      </w:r>
      <w:r w:rsidRPr="005B0501">
        <w:rPr>
          <w:rFonts w:eastAsia="Calibri"/>
        </w:rPr>
        <w:t>fabricant peut en fournir la preuve à l’aide d’une documentation suffisante ou de tout autre moyen agréé par l’autorité d’homologation de type.</w:t>
      </w:r>
      <w:r w:rsidR="005B0501">
        <w:t> </w:t>
      </w:r>
      <w:r w:rsidR="005B0501" w:rsidRPr="005B0501">
        <w:t>»</w:t>
      </w:r>
      <w:r w:rsidR="003B0359">
        <w:t>.</w:t>
      </w:r>
    </w:p>
    <w:p w14:paraId="7661886C" w14:textId="27E1CF9B" w:rsidR="00F368F4" w:rsidRPr="005B0501" w:rsidRDefault="00F368F4" w:rsidP="004E58D6">
      <w:pPr>
        <w:pStyle w:val="SingleTxtG"/>
        <w:keepNext/>
        <w:rPr>
          <w:szCs w:val="16"/>
        </w:rPr>
      </w:pPr>
      <w:r w:rsidRPr="004E58D6">
        <w:rPr>
          <w:i/>
          <w:iCs/>
        </w:rPr>
        <w:t>Paragraphe</w:t>
      </w:r>
      <w:r w:rsidRPr="005B0501">
        <w:rPr>
          <w:i/>
          <w:szCs w:val="16"/>
        </w:rPr>
        <w:t xml:space="preserve"> 6.2.9</w:t>
      </w:r>
      <w:r w:rsidRPr="003B0359">
        <w:rPr>
          <w:iCs/>
          <w:szCs w:val="16"/>
        </w:rPr>
        <w:t xml:space="preserve">, </w:t>
      </w:r>
      <w:r w:rsidRPr="005B0501">
        <w:rPr>
          <w:szCs w:val="16"/>
        </w:rPr>
        <w:t>lire</w:t>
      </w:r>
      <w:r w:rsidR="00EB6374" w:rsidRPr="005B0501">
        <w:rPr>
          <w:szCs w:val="16"/>
        </w:rPr>
        <w:t> :</w:t>
      </w:r>
    </w:p>
    <w:p w14:paraId="16BB9498" w14:textId="4490B55C" w:rsidR="00F368F4" w:rsidRPr="005B0501" w:rsidRDefault="005B0501" w:rsidP="003B0359">
      <w:pPr>
        <w:pStyle w:val="SingleTxtG"/>
        <w:keepNext/>
        <w:ind w:left="2268" w:hanging="1134"/>
      </w:pPr>
      <w:r w:rsidRPr="005B0501">
        <w:t>«</w:t>
      </w:r>
      <w:r>
        <w:t> </w:t>
      </w:r>
      <w:r w:rsidR="00F368F4" w:rsidRPr="005B0501">
        <w:rPr>
          <w:rFonts w:eastAsia="Calibri"/>
        </w:rPr>
        <w:t>6.2.9</w:t>
      </w:r>
      <w:r w:rsidR="00F368F4" w:rsidRPr="005B0501">
        <w:rPr>
          <w:rFonts w:eastAsia="Calibri"/>
        </w:rPr>
        <w:tab/>
      </w:r>
      <w:r w:rsidR="00F368F4" w:rsidRPr="00295078">
        <w:t>Autres</w:t>
      </w:r>
      <w:r w:rsidR="00F368F4" w:rsidRPr="005B0501">
        <w:rPr>
          <w:rFonts w:eastAsia="Calibri"/>
          <w:lang w:eastAsia="fr-FR"/>
        </w:rPr>
        <w:t xml:space="preserve"> prescriptions</w:t>
      </w:r>
    </w:p>
    <w:p w14:paraId="35403A5A" w14:textId="77777777" w:rsidR="00F368F4" w:rsidRPr="005B0501" w:rsidRDefault="00F368F4" w:rsidP="00295078">
      <w:pPr>
        <w:pStyle w:val="SingleTxtG"/>
        <w:ind w:left="2268" w:hanging="1134"/>
        <w:rPr>
          <w:szCs w:val="16"/>
        </w:rPr>
      </w:pPr>
      <w:r w:rsidRPr="005B0501">
        <w:rPr>
          <w:b/>
          <w:bCs/>
        </w:rPr>
        <w:t>6.2.9.1</w:t>
      </w:r>
      <w:r w:rsidRPr="005B0501">
        <w:tab/>
        <w:t>Les prescriptions du paragraphe 5.5.2 ne sont pas applicables aux feux de croisement.</w:t>
      </w:r>
    </w:p>
    <w:p w14:paraId="7C0B4BD5" w14:textId="1E819C57" w:rsidR="00F368F4" w:rsidRPr="005B0501" w:rsidRDefault="00F368F4" w:rsidP="00295078">
      <w:pPr>
        <w:pStyle w:val="SingleTxtG"/>
        <w:ind w:left="2268" w:hanging="1134"/>
        <w:rPr>
          <w:szCs w:val="16"/>
        </w:rPr>
      </w:pPr>
      <w:r w:rsidRPr="005B0501">
        <w:rPr>
          <w:b/>
          <w:bCs/>
        </w:rPr>
        <w:t>6.2.9.2</w:t>
      </w:r>
      <w:r w:rsidRPr="005B0501">
        <w:tab/>
      </w:r>
      <w:r w:rsidRPr="005B0501">
        <w:rPr>
          <w:rFonts w:eastAsia="Calibri"/>
          <w:lang w:eastAsia="fr-FR"/>
        </w:rPr>
        <w:t xml:space="preserve">Les feux de croisement munis d’une source lumineuse ou d’un ou de plusieurs </w:t>
      </w:r>
      <w:r w:rsidRPr="00295078">
        <w:t>modules</w:t>
      </w:r>
      <w:r w:rsidRPr="005B0501">
        <w:rPr>
          <w:rFonts w:eastAsia="Calibri"/>
          <w:lang w:eastAsia="fr-FR"/>
        </w:rPr>
        <w:t xml:space="preserve"> DEL produisant le faisceau de croisement principal </w:t>
      </w:r>
      <w:r w:rsidRPr="005B0501">
        <w:rPr>
          <w:rFonts w:eastAsia="Calibri"/>
          <w:strike/>
          <w:lang w:eastAsia="fr-FR"/>
        </w:rPr>
        <w:t xml:space="preserve">et </w:t>
      </w:r>
      <w:r w:rsidRPr="005B0501">
        <w:rPr>
          <w:rFonts w:eastAsia="Calibri"/>
          <w:lang w:eastAsia="fr-FR"/>
        </w:rPr>
        <w:t xml:space="preserve">ayant un flux </w:t>
      </w:r>
      <w:r w:rsidRPr="005B0501">
        <w:rPr>
          <w:rFonts w:eastAsia="Calibri"/>
          <w:lang w:eastAsia="fr-FR"/>
        </w:rPr>
        <w:lastRenderedPageBreak/>
        <w:t>lumineux objectif total supérieur à 2</w:t>
      </w:r>
      <w:r w:rsidR="003B0359">
        <w:rPr>
          <w:rFonts w:eastAsia="Calibri"/>
          <w:lang w:eastAsia="fr-FR"/>
        </w:rPr>
        <w:t> </w:t>
      </w:r>
      <w:r w:rsidRPr="005B0501">
        <w:rPr>
          <w:rFonts w:eastAsia="Calibri"/>
          <w:lang w:eastAsia="fr-FR"/>
        </w:rPr>
        <w:t xml:space="preserve">000 lm </w:t>
      </w:r>
      <w:r w:rsidRPr="005B0501">
        <w:rPr>
          <w:rFonts w:eastAsia="Calibri"/>
          <w:b/>
          <w:bCs/>
          <w:lang w:eastAsia="fr-FR"/>
        </w:rPr>
        <w:t xml:space="preserve">pour chaque feu </w:t>
      </w:r>
      <w:r w:rsidRPr="005B0501">
        <w:rPr>
          <w:rFonts w:eastAsia="Calibri"/>
          <w:lang w:eastAsia="fr-FR"/>
        </w:rPr>
        <w:t xml:space="preserve">ne peuvent être installés que si un ou plusieurs nettoie-projecteurs conformes au Règlement </w:t>
      </w:r>
      <w:r w:rsidRPr="005B0501">
        <w:rPr>
          <w:rFonts w:eastAsia="MS Mincho"/>
        </w:rPr>
        <w:t>n</w:t>
      </w:r>
      <w:r w:rsidRPr="005B0501">
        <w:rPr>
          <w:rFonts w:eastAsia="MS Mincho"/>
          <w:vertAlign w:val="superscript"/>
        </w:rPr>
        <w:t>o</w:t>
      </w:r>
      <w:r w:rsidRPr="005B0501">
        <w:rPr>
          <w:rFonts w:eastAsia="MS Mincho"/>
        </w:rPr>
        <w:t> </w:t>
      </w:r>
      <w:r w:rsidRPr="005B0501">
        <w:rPr>
          <w:rFonts w:eastAsia="Calibri"/>
        </w:rPr>
        <w:t>45</w:t>
      </w:r>
      <w:r w:rsidRPr="003B0359">
        <w:rPr>
          <w:rFonts w:eastAsia="Calibri"/>
          <w:sz w:val="18"/>
          <w:szCs w:val="18"/>
          <w:vertAlign w:val="superscript"/>
        </w:rPr>
        <w:t>11</w:t>
      </w:r>
      <w:r w:rsidRPr="005B0501">
        <w:rPr>
          <w:rFonts w:eastAsia="Calibri"/>
          <w:lang w:eastAsia="fr-FR"/>
        </w:rPr>
        <w:t xml:space="preserve"> le sont également.</w:t>
      </w:r>
    </w:p>
    <w:p w14:paraId="586932F9" w14:textId="55D1F496" w:rsidR="00F368F4" w:rsidRPr="005B0501" w:rsidRDefault="00F368F4" w:rsidP="00295078">
      <w:pPr>
        <w:pStyle w:val="SingleTxtG"/>
        <w:ind w:left="2268" w:hanging="1134"/>
      </w:pPr>
      <w:r w:rsidRPr="005B0501">
        <w:rPr>
          <w:b/>
          <w:bCs/>
        </w:rPr>
        <w:t>6.2.9.3</w:t>
      </w:r>
      <w:r w:rsidRPr="005B0501">
        <w:tab/>
        <w:t>En ce qui concerne l’inclinaison verticale, les prescriptions du paragraphe</w:t>
      </w:r>
      <w:r w:rsidR="003B0359">
        <w:t xml:space="preserve"> </w:t>
      </w:r>
      <w:r w:rsidRPr="005B0501">
        <w:t>6.2.6.2.2 ne s’appliquent pas aux feux de croisement munis d’une source lumineuse ou d’un ou de plusieurs modules DEL produisant le faisceau de croisement principal et ayant un flux lumineux objectif supérieur à 2</w:t>
      </w:r>
      <w:r w:rsidR="003B0359">
        <w:t> </w:t>
      </w:r>
      <w:r w:rsidRPr="005B0501">
        <w:t>000</w:t>
      </w:r>
      <w:r w:rsidR="003B0359">
        <w:t xml:space="preserve"> </w:t>
      </w:r>
      <w:r w:rsidRPr="005B0501">
        <w:t xml:space="preserve">lm </w:t>
      </w:r>
      <w:r w:rsidRPr="005B0501">
        <w:rPr>
          <w:b/>
          <w:bCs/>
        </w:rPr>
        <w:t>pour chaque feu</w:t>
      </w:r>
      <w:r w:rsidRPr="005B0501">
        <w:t>.</w:t>
      </w:r>
    </w:p>
    <w:p w14:paraId="56D55964" w14:textId="7E8AAE4D" w:rsidR="00F368F4" w:rsidRPr="005B0501" w:rsidRDefault="00F368F4" w:rsidP="003B0359">
      <w:pPr>
        <w:pStyle w:val="SingleTxtG"/>
        <w:ind w:left="2268"/>
      </w:pPr>
      <w:r w:rsidRPr="005B0501">
        <w:t>Dans le cas des lampes à incandescence pour lesquelles plus d’une tension d’essai est prescrite, on applique la valeur du flux lumineux objectif correspondant au faisceau de croisement principal, indiquée sur la fiche de communication relative à l’homologation de type du dispositif.</w:t>
      </w:r>
    </w:p>
    <w:p w14:paraId="51D3307C" w14:textId="294DBB75" w:rsidR="00F368F4" w:rsidRPr="005B0501" w:rsidRDefault="00F368F4" w:rsidP="003B0359">
      <w:pPr>
        <w:pStyle w:val="SingleTxtG"/>
        <w:ind w:left="2268"/>
        <w:rPr>
          <w:bCs/>
          <w:szCs w:val="16"/>
        </w:rPr>
      </w:pPr>
      <w:r w:rsidRPr="005B0501">
        <w:t>Dans le cas de feux de croisement équipés d’une source lumineuse homologuée, le flux lumineux objectif applicable est celui qui, à la tension d’essai pertinente, figure dans la fiche de renseignements pertinente du Règlement en vertu duquel la source lumineuse appliquée a été homologuée, sans tenir compte des tolérances applicables au flux lumineux objectif prescrit dans cette fiche de renseignements.</w:t>
      </w:r>
    </w:p>
    <w:p w14:paraId="2DF7F91D" w14:textId="35181444" w:rsidR="00F368F4" w:rsidRPr="005B0501" w:rsidRDefault="00F368F4" w:rsidP="00295078">
      <w:pPr>
        <w:pStyle w:val="SingleTxtG"/>
        <w:ind w:left="2268" w:hanging="1134"/>
      </w:pPr>
      <w:r w:rsidRPr="005B0501">
        <w:rPr>
          <w:b/>
          <w:bCs/>
        </w:rPr>
        <w:t>6.2.9.4</w:t>
      </w:r>
      <w:r w:rsidRPr="005B0501">
        <w:tab/>
        <w:t xml:space="preserve">L’éclairage de virage ne peut être obtenu qu’au moyen de feux de croisement conformes aux Règlements ONU </w:t>
      </w:r>
      <w:r w:rsidRPr="005B0501">
        <w:rPr>
          <w:rFonts w:eastAsia="MS Mincho"/>
        </w:rPr>
        <w:t>n</w:t>
      </w:r>
      <w:r w:rsidRPr="005B0501">
        <w:rPr>
          <w:rFonts w:eastAsia="MS Mincho"/>
          <w:vertAlign w:val="superscript"/>
        </w:rPr>
        <w:t>o</w:t>
      </w:r>
      <w:r w:rsidR="003B0359">
        <w:rPr>
          <w:rFonts w:eastAsia="MS Mincho"/>
          <w:vertAlign w:val="superscript"/>
        </w:rPr>
        <w:t>s</w:t>
      </w:r>
      <w:r w:rsidRPr="005B0501">
        <w:rPr>
          <w:rFonts w:eastAsia="MS Mincho"/>
        </w:rPr>
        <w:t> </w:t>
      </w:r>
      <w:r w:rsidRPr="005B0501">
        <w:t>98, 112 ou 149.</w:t>
      </w:r>
    </w:p>
    <w:p w14:paraId="1D1C8EE0" w14:textId="72A11015" w:rsidR="00F368F4" w:rsidRPr="005B0501" w:rsidRDefault="00F368F4" w:rsidP="003B0359">
      <w:pPr>
        <w:pStyle w:val="SingleTxtG"/>
        <w:ind w:left="2268"/>
        <w:rPr>
          <w:bCs/>
          <w:szCs w:val="16"/>
        </w:rPr>
      </w:pPr>
      <w:r w:rsidRPr="005B0501">
        <w:t>Si l’éclairage de virage est obtenu au moyen d’un mouvement horizontal de l’ensemble du feu ou du coude de la ligne de coupure, il ne doit pouvoir fonctionner que si le véhicule est en marche avant, sauf lors d’un virage à droite dans la circulation à droite (ou d’un virage à gauche dans la circulation à gauche).</w:t>
      </w:r>
      <w:r w:rsidR="005B0501">
        <w:t> </w:t>
      </w:r>
      <w:r w:rsidR="005B0501" w:rsidRPr="005B0501">
        <w:t>»</w:t>
      </w:r>
      <w:r w:rsidRPr="005B0501">
        <w:t>.</w:t>
      </w:r>
    </w:p>
    <w:p w14:paraId="6BA1E9D6" w14:textId="77777777" w:rsidR="00F368F4" w:rsidRPr="005B0501" w:rsidRDefault="00F368F4" w:rsidP="003B0359">
      <w:pPr>
        <w:pStyle w:val="SingleTxtG"/>
        <w:rPr>
          <w:i/>
          <w:iCs/>
        </w:rPr>
      </w:pPr>
      <w:r w:rsidRPr="005B0501">
        <w:rPr>
          <w:i/>
          <w:iCs/>
        </w:rPr>
        <w:t>Paragraphe 6.3.5, note de bas de page 13</w:t>
      </w:r>
      <w:r w:rsidRPr="003B0359">
        <w:t xml:space="preserve">, </w:t>
      </w:r>
      <w:r w:rsidRPr="005B0501">
        <w:t>supprimer</w:t>
      </w:r>
      <w:r w:rsidRPr="005B0501">
        <w:rPr>
          <w:i/>
          <w:iCs/>
        </w:rPr>
        <w:t>.</w:t>
      </w:r>
    </w:p>
    <w:p w14:paraId="3D949501" w14:textId="77777777" w:rsidR="00F368F4" w:rsidRPr="005B0501" w:rsidRDefault="00F368F4" w:rsidP="003B0359">
      <w:pPr>
        <w:pStyle w:val="SingleTxtG"/>
        <w:rPr>
          <w:i/>
          <w:iCs/>
        </w:rPr>
      </w:pPr>
      <w:r w:rsidRPr="005B0501">
        <w:rPr>
          <w:i/>
          <w:iCs/>
        </w:rPr>
        <w:t>Paragraphe 6.3.6.1.1, appel de de bas de page 13</w:t>
      </w:r>
      <w:r w:rsidRPr="003B0359">
        <w:t>,</w:t>
      </w:r>
      <w:r w:rsidRPr="005B0501">
        <w:rPr>
          <w:i/>
          <w:iCs/>
        </w:rPr>
        <w:t xml:space="preserve"> </w:t>
      </w:r>
      <w:r w:rsidRPr="005B0501">
        <w:t>supprimer</w:t>
      </w:r>
      <w:r w:rsidRPr="005B0501">
        <w:rPr>
          <w:i/>
          <w:iCs/>
        </w:rPr>
        <w:t>.</w:t>
      </w:r>
    </w:p>
    <w:p w14:paraId="08250E53" w14:textId="43F1CBC7" w:rsidR="00F368F4" w:rsidRPr="005B0501" w:rsidRDefault="00F368F4" w:rsidP="004E58D6">
      <w:pPr>
        <w:pStyle w:val="SingleTxtG"/>
        <w:keepNext/>
        <w:rPr>
          <w:szCs w:val="16"/>
        </w:rPr>
      </w:pPr>
      <w:r w:rsidRPr="004E58D6">
        <w:rPr>
          <w:i/>
          <w:iCs/>
        </w:rPr>
        <w:t>Paragraphe</w:t>
      </w:r>
      <w:r w:rsidRPr="005B0501">
        <w:rPr>
          <w:i/>
          <w:szCs w:val="16"/>
        </w:rPr>
        <w:t xml:space="preserve"> 6.5.7</w:t>
      </w:r>
      <w:r w:rsidRPr="003B0359">
        <w:rPr>
          <w:iCs/>
          <w:szCs w:val="16"/>
        </w:rPr>
        <w:t>,</w:t>
      </w:r>
      <w:r w:rsidRPr="005B0501">
        <w:rPr>
          <w:szCs w:val="16"/>
        </w:rPr>
        <w:t xml:space="preserve"> lire</w:t>
      </w:r>
      <w:r w:rsidR="00EB6374" w:rsidRPr="005B0501">
        <w:rPr>
          <w:szCs w:val="16"/>
        </w:rPr>
        <w:t> :</w:t>
      </w:r>
    </w:p>
    <w:p w14:paraId="10A33A28" w14:textId="1FA7FF55" w:rsidR="00F368F4" w:rsidRPr="005B0501" w:rsidRDefault="005B0501" w:rsidP="00295078">
      <w:pPr>
        <w:pStyle w:val="SingleTxtG"/>
        <w:ind w:left="2268" w:hanging="1134"/>
        <w:rPr>
          <w:rFonts w:eastAsia="Calibri"/>
        </w:rPr>
      </w:pPr>
      <w:r w:rsidRPr="005B0501">
        <w:t>«</w:t>
      </w:r>
      <w:r>
        <w:t> </w:t>
      </w:r>
      <w:r w:rsidR="00F368F4" w:rsidRPr="005B0501">
        <w:rPr>
          <w:rFonts w:eastAsia="Calibri"/>
        </w:rPr>
        <w:t>6.5.7</w:t>
      </w:r>
      <w:r w:rsidR="00F368F4" w:rsidRPr="005B0501">
        <w:rPr>
          <w:rFonts w:eastAsia="Calibri"/>
        </w:rPr>
        <w:tab/>
      </w:r>
      <w:r w:rsidR="00F368F4" w:rsidRPr="00295078">
        <w:t>Connexions</w:t>
      </w:r>
      <w:r w:rsidR="00F368F4" w:rsidRPr="005B0501">
        <w:rPr>
          <w:rFonts w:eastAsia="Calibri"/>
        </w:rPr>
        <w:t xml:space="preserve"> électriques</w:t>
      </w:r>
    </w:p>
    <w:p w14:paraId="0875877D" w14:textId="77777777" w:rsidR="003B0359" w:rsidRDefault="00F368F4" w:rsidP="003B0359">
      <w:pPr>
        <w:pStyle w:val="SingleTxtG"/>
        <w:ind w:left="2268"/>
      </w:pPr>
      <w:r w:rsidRPr="005B0501">
        <w:t>L’allumage des feux indicateurs de direction est indépendant de celui des autres feux. Tous les feux indicateurs de direction situés sur un même côté du véhicule sont allumés et éteints au moyen de la même commande et doivent clignoter de façon synchrone.</w:t>
      </w:r>
    </w:p>
    <w:p w14:paraId="592FA8D2" w14:textId="77777777" w:rsidR="003B0359" w:rsidRDefault="00F368F4" w:rsidP="003B0359">
      <w:pPr>
        <w:pStyle w:val="SingleTxtG"/>
        <w:ind w:left="2268"/>
        <w:rPr>
          <w:rFonts w:eastAsia="Calibri"/>
        </w:rPr>
      </w:pPr>
      <w:r w:rsidRPr="005B0501">
        <w:rPr>
          <w:rFonts w:eastAsia="Calibri"/>
        </w:rPr>
        <w:t>Sur les véhicules des catégories M</w:t>
      </w:r>
      <w:r w:rsidRPr="005B0501">
        <w:rPr>
          <w:rFonts w:eastAsia="Calibri"/>
          <w:vertAlign w:val="subscript"/>
        </w:rPr>
        <w:t>1</w:t>
      </w:r>
      <w:r w:rsidRPr="005B0501">
        <w:rPr>
          <w:rFonts w:eastAsia="Calibri"/>
        </w:rPr>
        <w:t xml:space="preserve"> et N</w:t>
      </w:r>
      <w:r w:rsidRPr="005B0501">
        <w:rPr>
          <w:rFonts w:eastAsia="Calibri"/>
          <w:vertAlign w:val="subscript"/>
        </w:rPr>
        <w:t>1</w:t>
      </w:r>
      <w:r w:rsidRPr="005B0501">
        <w:rPr>
          <w:rFonts w:eastAsia="Calibri"/>
        </w:rPr>
        <w:t xml:space="preserve"> de moins de 6 m de long présentant une configuration conforme au paragraphe 6.5.5.2 ci-dessus, les feux de position latéraux jaune auto, lorsqu’ils existent, doivent aussi clignoter de façon synchrone avec les feux indicateurs de direction.</w:t>
      </w:r>
    </w:p>
    <w:p w14:paraId="30C04161" w14:textId="77777777" w:rsidR="003B0359" w:rsidRDefault="00F368F4" w:rsidP="003B0359">
      <w:pPr>
        <w:pStyle w:val="SingleTxtG"/>
        <w:ind w:left="2268"/>
        <w:rPr>
          <w:rFonts w:eastAsia="Calibri"/>
          <w:b/>
          <w:bCs/>
        </w:rPr>
      </w:pPr>
      <w:r w:rsidRPr="005B0501">
        <w:rPr>
          <w:rFonts w:eastAsia="Calibri"/>
          <w:b/>
          <w:bCs/>
        </w:rPr>
        <w:t>Un indicateur de direction qui peut être activé dans des modes différents (statique ou séquentiel) ne doit pas pouvoir passer d’un mode à l’autre lorsqu’il est activé.</w:t>
      </w:r>
    </w:p>
    <w:p w14:paraId="2CCC05B9" w14:textId="79F7C151" w:rsidR="00F368F4" w:rsidRPr="005B0501" w:rsidRDefault="00F368F4" w:rsidP="003B0359">
      <w:pPr>
        <w:pStyle w:val="SingleTxtG"/>
        <w:ind w:left="2268"/>
        <w:rPr>
          <w:b/>
          <w:bCs/>
          <w:sz w:val="16"/>
          <w:szCs w:val="16"/>
        </w:rPr>
      </w:pPr>
      <w:r w:rsidRPr="005B0501">
        <w:rPr>
          <w:rFonts w:eastAsia="Calibri"/>
          <w:b/>
          <w:bCs/>
        </w:rPr>
        <w:t>Lorsque deux feux facultatifs (catégorie 2a ou 2b) équipent des véhicules des catégories M</w:t>
      </w:r>
      <w:r w:rsidRPr="005B0501">
        <w:rPr>
          <w:rFonts w:eastAsia="Calibri"/>
          <w:b/>
          <w:bCs/>
          <w:vertAlign w:val="subscript"/>
        </w:rPr>
        <w:t>2</w:t>
      </w:r>
      <w:r w:rsidRPr="005B0501">
        <w:rPr>
          <w:rFonts w:eastAsia="Calibri"/>
          <w:b/>
          <w:bCs/>
        </w:rPr>
        <w:t>, M</w:t>
      </w:r>
      <w:r w:rsidRPr="005B0501">
        <w:rPr>
          <w:rFonts w:eastAsia="Calibri"/>
          <w:b/>
          <w:bCs/>
          <w:vertAlign w:val="subscript"/>
        </w:rPr>
        <w:t>3</w:t>
      </w:r>
      <w:r w:rsidRPr="005B0501">
        <w:rPr>
          <w:rFonts w:eastAsia="Calibri"/>
          <w:b/>
          <w:bCs/>
        </w:rPr>
        <w:t>, N</w:t>
      </w:r>
      <w:r w:rsidRPr="005B0501">
        <w:rPr>
          <w:rFonts w:eastAsia="Calibri"/>
          <w:b/>
          <w:bCs/>
          <w:vertAlign w:val="subscript"/>
        </w:rPr>
        <w:t>2</w:t>
      </w:r>
      <w:r w:rsidRPr="005B0501">
        <w:rPr>
          <w:rFonts w:eastAsia="Calibri"/>
          <w:b/>
          <w:bCs/>
        </w:rPr>
        <w:t xml:space="preserve"> ou N</w:t>
      </w:r>
      <w:r w:rsidRPr="005B0501">
        <w:rPr>
          <w:rFonts w:eastAsia="Calibri"/>
          <w:b/>
          <w:bCs/>
          <w:vertAlign w:val="subscript"/>
        </w:rPr>
        <w:t>3</w:t>
      </w:r>
      <w:r w:rsidRPr="005B0501">
        <w:rPr>
          <w:rFonts w:eastAsia="Calibri"/>
          <w:b/>
          <w:bCs/>
        </w:rPr>
        <w:t>, ils doivent fonctionner sur le même mode que les autres feux indicateurs de direction arrière (catégorie 2a ou 2b), c’est à dire en mode statique ou en mode séquentiel.</w:t>
      </w:r>
      <w:r w:rsidR="005B0501">
        <w:t> </w:t>
      </w:r>
      <w:r w:rsidR="005B0501" w:rsidRPr="005B0501">
        <w:t>»</w:t>
      </w:r>
      <w:r w:rsidRPr="005B0501">
        <w:rPr>
          <w:rFonts w:eastAsia="Calibri"/>
        </w:rPr>
        <w:t>.</w:t>
      </w:r>
    </w:p>
    <w:p w14:paraId="2A045F67" w14:textId="77777777" w:rsidR="00F368F4" w:rsidRPr="005B0501" w:rsidRDefault="00F368F4" w:rsidP="003B0359">
      <w:pPr>
        <w:pStyle w:val="SingleTxtG"/>
        <w:rPr>
          <w:i/>
          <w:iCs/>
        </w:rPr>
      </w:pPr>
      <w:r w:rsidRPr="005B0501">
        <w:rPr>
          <w:i/>
          <w:iCs/>
        </w:rPr>
        <w:t>Paragraphe 6.5.8, appel de de bas de page 13</w:t>
      </w:r>
      <w:r w:rsidRPr="003B0359">
        <w:t>,</w:t>
      </w:r>
      <w:r w:rsidRPr="005B0501">
        <w:rPr>
          <w:i/>
          <w:iCs/>
        </w:rPr>
        <w:t xml:space="preserve"> </w:t>
      </w:r>
      <w:r w:rsidRPr="005B0501">
        <w:t>supprimer</w:t>
      </w:r>
      <w:r w:rsidRPr="005B0501">
        <w:rPr>
          <w:i/>
          <w:iCs/>
        </w:rPr>
        <w:t>.</w:t>
      </w:r>
    </w:p>
    <w:p w14:paraId="04CCBA0E" w14:textId="4B9AD4A5" w:rsidR="00F368F4" w:rsidRPr="005B0501" w:rsidRDefault="00F368F4" w:rsidP="004E58D6">
      <w:pPr>
        <w:pStyle w:val="SingleTxtG"/>
        <w:keepNext/>
      </w:pPr>
      <w:r w:rsidRPr="004E58D6">
        <w:rPr>
          <w:i/>
          <w:iCs/>
        </w:rPr>
        <w:t>Paragraphe</w:t>
      </w:r>
      <w:r w:rsidRPr="005B0501">
        <w:rPr>
          <w:i/>
          <w:szCs w:val="16"/>
        </w:rPr>
        <w:t xml:space="preserve"> 6.18.9</w:t>
      </w:r>
      <w:r w:rsidRPr="003B0359">
        <w:rPr>
          <w:iCs/>
          <w:szCs w:val="16"/>
        </w:rPr>
        <w:t>,</w:t>
      </w:r>
      <w:r w:rsidRPr="005B0501">
        <w:rPr>
          <w:szCs w:val="16"/>
        </w:rPr>
        <w:t xml:space="preserve"> lire</w:t>
      </w:r>
      <w:r w:rsidR="00EB6374" w:rsidRPr="005B0501">
        <w:rPr>
          <w:szCs w:val="16"/>
        </w:rPr>
        <w:t> :</w:t>
      </w:r>
    </w:p>
    <w:p w14:paraId="3D0A5113" w14:textId="5DE5D2EF" w:rsidR="00F368F4" w:rsidRPr="005B0501" w:rsidRDefault="005B0501" w:rsidP="00295078">
      <w:pPr>
        <w:pStyle w:val="SingleTxtG"/>
        <w:ind w:left="2268" w:hanging="1134"/>
      </w:pPr>
      <w:r w:rsidRPr="005B0501">
        <w:t>«</w:t>
      </w:r>
      <w:r>
        <w:t> </w:t>
      </w:r>
      <w:r w:rsidR="00F368F4" w:rsidRPr="005B0501">
        <w:t>6.18.9</w:t>
      </w:r>
      <w:r w:rsidR="00F368F4" w:rsidRPr="005B0501">
        <w:tab/>
        <w:t>Autres prescriptions</w:t>
      </w:r>
    </w:p>
    <w:p w14:paraId="2FB15C5B" w14:textId="77777777" w:rsidR="003B0359" w:rsidRDefault="00F368F4" w:rsidP="003B0359">
      <w:pPr>
        <w:pStyle w:val="SingleTxtG"/>
        <w:ind w:left="2268"/>
      </w:pPr>
      <w:r w:rsidRPr="005B0501">
        <w:t xml:space="preserve">Si les feux de position latéraux les plus en arrière sont combinés avec des feux de position arrière eux-mêmes mutuellement incorporés aux feux de brouillard arrière ou aux feux-stop, leurs caractéristiques photométriques peuvent être </w:t>
      </w:r>
      <w:r w:rsidRPr="005B0501">
        <w:lastRenderedPageBreak/>
        <w:t>modifiées pendant tout le temps où sont allumés les feux de brouillard arrière ou les feux-stop.</w:t>
      </w:r>
    </w:p>
    <w:p w14:paraId="3B7ACC66" w14:textId="77777777" w:rsidR="003B0359" w:rsidRDefault="00F368F4" w:rsidP="003B0359">
      <w:pPr>
        <w:pStyle w:val="SingleTxtG"/>
        <w:ind w:left="2268"/>
      </w:pPr>
      <w:r w:rsidRPr="005B0501">
        <w:t>Les feux de position latéraux arrière doivent être orange s’ils clignotent avec le feu de position arrière.</w:t>
      </w:r>
    </w:p>
    <w:p w14:paraId="00492FEB" w14:textId="69B40D9A" w:rsidR="00F368F4" w:rsidRPr="005B0501" w:rsidRDefault="00F368F4" w:rsidP="003B0359">
      <w:pPr>
        <w:pStyle w:val="SingleTxtG"/>
        <w:ind w:left="2268"/>
        <w:rPr>
          <w:b/>
        </w:rPr>
      </w:pPr>
      <w:r w:rsidRPr="005B0501">
        <w:rPr>
          <w:b/>
          <w:bCs/>
        </w:rPr>
        <w:t>Si un feu de position latéral facultatif est groupé ou combiné avec un feu de position lui-même mutuellement incorporé ou groupé avec le feu indicateur de direction, les branchements électriques du feu de position latéral du côté correspondant du véhicule peuvent être conçus de telle sorte que le feu de position latéral soit éteint pendant la totalité de la période d’activation du feu indicateur de direction (autant pendant les phases d’allumage que pendant les phases d’extinction).</w:t>
      </w:r>
      <w:r w:rsidR="005B0501">
        <w:t> </w:t>
      </w:r>
      <w:r w:rsidR="005B0501" w:rsidRPr="005B0501">
        <w:t>»</w:t>
      </w:r>
      <w:r w:rsidR="003B0359">
        <w:t>.</w:t>
      </w:r>
    </w:p>
    <w:p w14:paraId="12C003D8" w14:textId="77777777" w:rsidR="00F368F4" w:rsidRPr="005B0501" w:rsidRDefault="00F368F4" w:rsidP="003B0359">
      <w:pPr>
        <w:pStyle w:val="SingleTxtG"/>
        <w:rPr>
          <w:szCs w:val="16"/>
        </w:rPr>
      </w:pPr>
      <w:r w:rsidRPr="004E58D6">
        <w:rPr>
          <w:i/>
          <w:iCs/>
        </w:rPr>
        <w:t>Paragraphe</w:t>
      </w:r>
      <w:r w:rsidRPr="005B0501">
        <w:rPr>
          <w:i/>
          <w:szCs w:val="16"/>
        </w:rPr>
        <w:t xml:space="preserve"> 6.19.7.2</w:t>
      </w:r>
      <w:r w:rsidRPr="003B0359">
        <w:rPr>
          <w:iCs/>
          <w:szCs w:val="16"/>
        </w:rPr>
        <w:t>,</w:t>
      </w:r>
      <w:r w:rsidRPr="005B0501">
        <w:rPr>
          <w:szCs w:val="16"/>
        </w:rPr>
        <w:t xml:space="preserve"> modification sans objet en français.</w:t>
      </w:r>
    </w:p>
    <w:p w14:paraId="6B603528" w14:textId="2F47D988" w:rsidR="00F368F4" w:rsidRPr="005B0501" w:rsidRDefault="00F368F4" w:rsidP="004E58D6">
      <w:pPr>
        <w:pStyle w:val="SingleTxtG"/>
        <w:keepNext/>
      </w:pPr>
      <w:r w:rsidRPr="004E58D6">
        <w:rPr>
          <w:i/>
          <w:iCs/>
        </w:rPr>
        <w:t>Paragraphe</w:t>
      </w:r>
      <w:r w:rsidRPr="005B0501">
        <w:rPr>
          <w:i/>
        </w:rPr>
        <w:t xml:space="preserve"> 6.20</w:t>
      </w:r>
      <w:r w:rsidRPr="003B0359">
        <w:rPr>
          <w:iCs/>
        </w:rPr>
        <w:t xml:space="preserve">, </w:t>
      </w:r>
      <w:r w:rsidRPr="005B0501">
        <w:rPr>
          <w:rFonts w:eastAsia="MS Mincho"/>
        </w:rPr>
        <w:t>lire</w:t>
      </w:r>
      <w:r w:rsidR="00EB6374" w:rsidRPr="005B0501">
        <w:rPr>
          <w:rFonts w:eastAsia="MS Mincho"/>
        </w:rPr>
        <w:t> :</w:t>
      </w:r>
    </w:p>
    <w:p w14:paraId="64E436DF" w14:textId="33FD9371" w:rsidR="00F368F4" w:rsidRPr="005B0501" w:rsidRDefault="005B0501" w:rsidP="00295078">
      <w:pPr>
        <w:pStyle w:val="SingleTxtG"/>
        <w:ind w:left="2268" w:hanging="1134"/>
        <w:rPr>
          <w:snapToGrid w:val="0"/>
        </w:rPr>
      </w:pPr>
      <w:r w:rsidRPr="005B0501">
        <w:t>«</w:t>
      </w:r>
      <w:r>
        <w:t> </w:t>
      </w:r>
      <w:r w:rsidR="00F368F4" w:rsidRPr="005B0501">
        <w:rPr>
          <w:snapToGrid w:val="0"/>
        </w:rPr>
        <w:t>6.20</w:t>
      </w:r>
      <w:r w:rsidR="00F368F4" w:rsidRPr="005B0501">
        <w:rPr>
          <w:snapToGrid w:val="0"/>
        </w:rPr>
        <w:tab/>
        <w:t xml:space="preserve">Feu d’angle (Règlement ONU </w:t>
      </w:r>
      <w:r w:rsidR="00F368F4" w:rsidRPr="005B0501">
        <w:rPr>
          <w:rFonts w:eastAsia="MS Mincho"/>
        </w:rPr>
        <w:t>n</w:t>
      </w:r>
      <w:r w:rsidR="00F368F4" w:rsidRPr="005B0501">
        <w:rPr>
          <w:rFonts w:eastAsia="MS Mincho"/>
          <w:vertAlign w:val="superscript"/>
        </w:rPr>
        <w:t>o</w:t>
      </w:r>
      <w:r w:rsidR="00F368F4" w:rsidRPr="005B0501">
        <w:rPr>
          <w:rFonts w:eastAsia="MS Mincho"/>
        </w:rPr>
        <w:t> </w:t>
      </w:r>
      <w:r w:rsidR="00F368F4" w:rsidRPr="005B0501">
        <w:rPr>
          <w:snapToGrid w:val="0"/>
        </w:rPr>
        <w:t xml:space="preserve">119 ou </w:t>
      </w:r>
      <w:r w:rsidR="00F368F4" w:rsidRPr="005B0501">
        <w:rPr>
          <w:strike/>
          <w:snapToGrid w:val="0"/>
        </w:rPr>
        <w:t>148</w:t>
      </w:r>
      <w:r w:rsidR="00F368F4" w:rsidRPr="005B0501">
        <w:rPr>
          <w:b/>
          <w:bCs/>
          <w:snapToGrid w:val="0"/>
        </w:rPr>
        <w:t>149</w:t>
      </w:r>
      <w:r w:rsidR="00F368F4" w:rsidRPr="005B0501">
        <w:rPr>
          <w:snapToGrid w:val="0"/>
        </w:rPr>
        <w:t>)</w:t>
      </w:r>
      <w:r>
        <w:t> </w:t>
      </w:r>
      <w:r w:rsidRPr="005B0501">
        <w:t>»</w:t>
      </w:r>
      <w:r w:rsidR="00F368F4" w:rsidRPr="005B0501">
        <w:rPr>
          <w:snapToGrid w:val="0"/>
        </w:rPr>
        <w:t>.</w:t>
      </w:r>
    </w:p>
    <w:p w14:paraId="2219F848" w14:textId="76C28FF8" w:rsidR="00F368F4" w:rsidRPr="005B0501" w:rsidRDefault="00F368F4" w:rsidP="004E58D6">
      <w:pPr>
        <w:pStyle w:val="SingleTxtG"/>
        <w:keepNext/>
      </w:pPr>
      <w:r w:rsidRPr="005B0501">
        <w:rPr>
          <w:i/>
          <w:iCs/>
        </w:rPr>
        <w:t>Paragraphe 6.22.4.1.2, note de bas de page 14</w:t>
      </w:r>
      <w:r w:rsidRPr="003B0359">
        <w:t>,</w:t>
      </w:r>
      <w:r w:rsidRPr="005B0501">
        <w:rPr>
          <w:i/>
          <w:iCs/>
        </w:rPr>
        <w:t xml:space="preserve"> </w:t>
      </w:r>
      <w:r w:rsidRPr="005B0501">
        <w:t>lire</w:t>
      </w:r>
      <w:r w:rsidR="00EB6374" w:rsidRPr="005B0501">
        <w:t> :</w:t>
      </w:r>
    </w:p>
    <w:p w14:paraId="5956B1E1" w14:textId="34342FCA" w:rsidR="00F368F4" w:rsidRPr="005B0501" w:rsidRDefault="003B0359" w:rsidP="005A3A19">
      <w:pPr>
        <w:pStyle w:val="Notedebasdepage"/>
        <w:spacing w:after="240"/>
      </w:pPr>
      <w:r>
        <w:tab/>
      </w:r>
      <w:r w:rsidR="005B0501" w:rsidRPr="003B0359">
        <w:rPr>
          <w:sz w:val="20"/>
        </w:rPr>
        <w:t>« </w:t>
      </w:r>
      <w:r w:rsidR="00F368F4" w:rsidRPr="003B0359">
        <w:rPr>
          <w:b/>
          <w:bCs/>
          <w:szCs w:val="18"/>
          <w:vertAlign w:val="superscript"/>
        </w:rPr>
        <w:t>13</w:t>
      </w:r>
      <w:r w:rsidR="00F368F4" w:rsidRPr="005B0501">
        <w:rPr>
          <w:szCs w:val="18"/>
        </w:rPr>
        <w:tab/>
        <w:t xml:space="preserve">Dans le cas de </w:t>
      </w:r>
      <w:r>
        <w:rPr>
          <w:szCs w:val="18"/>
        </w:rPr>
        <w:t>“</w:t>
      </w:r>
      <w:r w:rsidR="00F368F4" w:rsidRPr="005B0501">
        <w:rPr>
          <w:szCs w:val="18"/>
        </w:rPr>
        <w:t>deux unités d’éclairage supplémentaires placées symétriquement</w:t>
      </w:r>
      <w:r>
        <w:rPr>
          <w:szCs w:val="18"/>
        </w:rPr>
        <w:t>”</w:t>
      </w:r>
      <w:r w:rsidR="00F368F4" w:rsidRPr="005B0501">
        <w:rPr>
          <w:szCs w:val="18"/>
        </w:rPr>
        <w:t>, la distance horizontale peut être de 200</w:t>
      </w:r>
      <w:r>
        <w:rPr>
          <w:szCs w:val="18"/>
        </w:rPr>
        <w:t> </w:t>
      </w:r>
      <w:r w:rsidR="00F368F4" w:rsidRPr="005B0501">
        <w:rPr>
          <w:szCs w:val="18"/>
        </w:rPr>
        <w:t>mm (C sur la figure).</w:t>
      </w:r>
      <w:r w:rsidR="005B0501">
        <w:t> </w:t>
      </w:r>
      <w:r w:rsidR="005B0501" w:rsidRPr="003B0359">
        <w:rPr>
          <w:sz w:val="20"/>
        </w:rPr>
        <w:t>»</w:t>
      </w:r>
      <w:r w:rsidRPr="003B0359">
        <w:rPr>
          <w:sz w:val="20"/>
        </w:rPr>
        <w:t>.</w:t>
      </w:r>
    </w:p>
    <w:p w14:paraId="6DF2E8C4" w14:textId="00FCC8B5" w:rsidR="00F368F4" w:rsidRPr="005B0501" w:rsidRDefault="00F368F4" w:rsidP="004E58D6">
      <w:pPr>
        <w:pStyle w:val="SingleTxtG"/>
        <w:keepNext/>
      </w:pPr>
      <w:r w:rsidRPr="004E58D6">
        <w:rPr>
          <w:i/>
          <w:iCs/>
        </w:rPr>
        <w:t>Paragraphe</w:t>
      </w:r>
      <w:r w:rsidRPr="005B0501">
        <w:rPr>
          <w:i/>
        </w:rPr>
        <w:t xml:space="preserve"> 6.22.7.4.3</w:t>
      </w:r>
      <w:r w:rsidRPr="005B0501">
        <w:t>, lire</w:t>
      </w:r>
      <w:r w:rsidR="00EB6374" w:rsidRPr="005B0501">
        <w:t> :</w:t>
      </w:r>
    </w:p>
    <w:p w14:paraId="1AD893DA" w14:textId="31AEC07A" w:rsidR="00F368F4" w:rsidRPr="005B0501" w:rsidRDefault="005B0501" w:rsidP="00295078">
      <w:pPr>
        <w:pStyle w:val="SingleTxtG"/>
        <w:ind w:left="2268" w:hanging="1134"/>
        <w:rPr>
          <w:lang w:eastAsia="fr-FR"/>
        </w:rPr>
      </w:pPr>
      <w:r w:rsidRPr="005B0501">
        <w:t>«</w:t>
      </w:r>
      <w:r>
        <w:t> </w:t>
      </w:r>
      <w:r w:rsidR="00F368F4" w:rsidRPr="005B0501">
        <w:t>6.22.7.4.3</w:t>
      </w:r>
      <w:r w:rsidR="00F368F4" w:rsidRPr="005B0501">
        <w:tab/>
      </w:r>
      <w:r w:rsidR="00F368F4" w:rsidRPr="005B0501">
        <w:rPr>
          <w:lang w:eastAsia="fr-FR"/>
        </w:rPr>
        <w:t>Le ou les modes de la classe</w:t>
      </w:r>
      <w:r w:rsidR="003B0359">
        <w:rPr>
          <w:lang w:eastAsia="fr-FR"/>
        </w:rPr>
        <w:t xml:space="preserve"> </w:t>
      </w:r>
      <w:r w:rsidR="00F368F4" w:rsidRPr="005B0501">
        <w:rPr>
          <w:lang w:eastAsia="fr-FR"/>
        </w:rPr>
        <w:t xml:space="preserve">E du faisceau de croisement ne doivent fonctionner que si la vitesse du véhicule dépasse </w:t>
      </w:r>
      <w:r w:rsidR="00F368F4" w:rsidRPr="005B0501">
        <w:rPr>
          <w:rFonts w:eastAsia="Calibri"/>
          <w:lang w:eastAsia="fr-FR"/>
        </w:rPr>
        <w:t>6</w:t>
      </w:r>
      <w:r w:rsidR="00F368F4" w:rsidRPr="005B0501">
        <w:rPr>
          <w:lang w:eastAsia="fr-FR"/>
        </w:rPr>
        <w:t>0 km/h et une ou plusieurs des conditions ci-dessous sont automatiquement détectées</w:t>
      </w:r>
      <w:r w:rsidR="00EB6374" w:rsidRPr="005B0501">
        <w:rPr>
          <w:lang w:eastAsia="fr-FR"/>
        </w:rPr>
        <w:t> :</w:t>
      </w:r>
    </w:p>
    <w:p w14:paraId="193FDAD5" w14:textId="77777777" w:rsidR="003B0359" w:rsidRDefault="00F368F4" w:rsidP="003B0359">
      <w:pPr>
        <w:pStyle w:val="SingleTxtG"/>
        <w:ind w:left="2835" w:hanging="567"/>
        <w:rPr>
          <w:rFonts w:eastAsia="Calibri"/>
          <w:lang w:eastAsia="fr-FR"/>
        </w:rPr>
      </w:pPr>
      <w:r w:rsidRPr="005B0501">
        <w:t>a)</w:t>
      </w:r>
      <w:r w:rsidRPr="005B0501">
        <w:tab/>
      </w:r>
      <w:r w:rsidRPr="005B0501">
        <w:rPr>
          <w:lang w:eastAsia="fr-FR"/>
        </w:rPr>
        <w:t>Les caractéristiques de la route correspondent à celles d’une autoroute</w:t>
      </w:r>
      <w:r w:rsidRPr="003B0359">
        <w:rPr>
          <w:rFonts w:eastAsia="Calibri"/>
          <w:strike/>
          <w:sz w:val="18"/>
          <w:szCs w:val="18"/>
          <w:vertAlign w:val="superscript"/>
          <w:lang w:eastAsia="fr-FR"/>
        </w:rPr>
        <w:t>15</w:t>
      </w:r>
      <w:r w:rsidRPr="003B0359">
        <w:rPr>
          <w:rFonts w:eastAsia="Calibri"/>
          <w:b/>
          <w:bCs/>
          <w:sz w:val="18"/>
          <w:szCs w:val="18"/>
          <w:vertAlign w:val="superscript"/>
          <w:lang w:eastAsia="fr-FR"/>
        </w:rPr>
        <w:t>14</w:t>
      </w:r>
      <w:r w:rsidRPr="005B0501">
        <w:t xml:space="preserve"> </w:t>
      </w:r>
      <w:r w:rsidRPr="005B0501">
        <w:rPr>
          <w:lang w:eastAsia="fr-FR"/>
        </w:rPr>
        <w:t>ou la vitesse du véhicule dépasse 110 km/h (application du signal E)</w:t>
      </w:r>
      <w:r w:rsidR="00EB6374" w:rsidRPr="005B0501">
        <w:rPr>
          <w:rFonts w:eastAsia="Calibri"/>
          <w:lang w:eastAsia="fr-FR"/>
        </w:rPr>
        <w:t> ;</w:t>
      </w:r>
    </w:p>
    <w:p w14:paraId="5E5B8FCF" w14:textId="5F970AAA" w:rsidR="00F368F4" w:rsidRPr="005B0501" w:rsidRDefault="00F368F4" w:rsidP="003B0359">
      <w:pPr>
        <w:pStyle w:val="SingleTxtG"/>
        <w:ind w:left="2835" w:hanging="567"/>
      </w:pPr>
      <w:r w:rsidRPr="005B0501">
        <w:t>b)</w:t>
      </w:r>
      <w:r w:rsidRPr="005B0501">
        <w:tab/>
      </w:r>
      <w:r w:rsidRPr="005B0501">
        <w:rPr>
          <w:lang w:eastAsia="fr-FR"/>
        </w:rPr>
        <w:t>Lorsqu’un mode de la classe</w:t>
      </w:r>
      <w:r w:rsidR="00571590">
        <w:rPr>
          <w:lang w:eastAsia="fr-FR"/>
        </w:rPr>
        <w:t xml:space="preserve"> </w:t>
      </w:r>
      <w:r w:rsidRPr="005B0501">
        <w:rPr>
          <w:lang w:eastAsia="fr-FR"/>
        </w:rPr>
        <w:t>E du faisceau de croisement est conforme, d’après les documents d’homologation ou la fiche de communication du système, à un ensemble de données du tableau</w:t>
      </w:r>
      <w:r w:rsidR="003B0359">
        <w:rPr>
          <w:lang w:eastAsia="fr-FR"/>
        </w:rPr>
        <w:t xml:space="preserve"> </w:t>
      </w:r>
      <w:r w:rsidRPr="005B0501">
        <w:rPr>
          <w:lang w:eastAsia="fr-FR"/>
        </w:rPr>
        <w:t>6 de</w:t>
      </w:r>
      <w:r w:rsidR="003B0359">
        <w:rPr>
          <w:lang w:eastAsia="fr-FR"/>
        </w:rPr>
        <w:t xml:space="preserve"> </w:t>
      </w:r>
      <w:r w:rsidRPr="005B0501">
        <w:rPr>
          <w:lang w:eastAsia="fr-FR"/>
        </w:rPr>
        <w:t>l’annexe</w:t>
      </w:r>
      <w:r w:rsidR="003B0359">
        <w:rPr>
          <w:lang w:eastAsia="fr-FR"/>
        </w:rPr>
        <w:t xml:space="preserve"> </w:t>
      </w:r>
      <w:r w:rsidRPr="005B0501">
        <w:rPr>
          <w:lang w:eastAsia="fr-FR"/>
        </w:rPr>
        <w:t xml:space="preserve">3 du Règlement </w:t>
      </w:r>
      <w:r w:rsidRPr="005B0501">
        <w:rPr>
          <w:rFonts w:eastAsia="Calibri"/>
          <w:lang w:eastAsia="fr-FR"/>
        </w:rPr>
        <w:t xml:space="preserve">ONU </w:t>
      </w:r>
      <w:r w:rsidRPr="005B0501">
        <w:rPr>
          <w:rFonts w:eastAsia="MS Mincho"/>
        </w:rPr>
        <w:t>n</w:t>
      </w:r>
      <w:r w:rsidRPr="005B0501">
        <w:rPr>
          <w:rFonts w:eastAsia="MS Mincho"/>
          <w:vertAlign w:val="superscript"/>
        </w:rPr>
        <w:t>o</w:t>
      </w:r>
      <w:r w:rsidRPr="005B0501">
        <w:rPr>
          <w:rFonts w:eastAsia="MS Mincho"/>
        </w:rPr>
        <w:t> </w:t>
      </w:r>
      <w:r w:rsidRPr="005B0501">
        <w:rPr>
          <w:lang w:eastAsia="fr-FR"/>
        </w:rPr>
        <w:t>123</w:t>
      </w:r>
      <w:r w:rsidRPr="005B0501">
        <w:rPr>
          <w:rFonts w:eastAsia="Calibri"/>
          <w:lang w:eastAsia="fr-FR"/>
        </w:rPr>
        <w:t xml:space="preserve"> </w:t>
      </w:r>
      <w:r w:rsidRPr="005B0501">
        <w:rPr>
          <w:lang w:eastAsia="fr-FR"/>
        </w:rPr>
        <w:t>o</w:t>
      </w:r>
      <w:r w:rsidRPr="005B0501">
        <w:rPr>
          <w:rFonts w:eastAsia="Calibri"/>
          <w:lang w:eastAsia="fr-FR"/>
        </w:rPr>
        <w:t>u</w:t>
      </w:r>
      <w:r w:rsidRPr="005B0501">
        <w:rPr>
          <w:lang w:eastAsia="fr-FR"/>
        </w:rPr>
        <w:t xml:space="preserve"> du tableau </w:t>
      </w:r>
      <w:r w:rsidRPr="005B0501">
        <w:rPr>
          <w:rFonts w:eastAsia="Calibri"/>
          <w:lang w:eastAsia="fr-FR"/>
        </w:rPr>
        <w:t xml:space="preserve">14 </w:t>
      </w:r>
      <w:r w:rsidRPr="005B0501">
        <w:rPr>
          <w:lang w:eastAsia="fr-FR"/>
        </w:rPr>
        <w:t xml:space="preserve">du Règlement ONU </w:t>
      </w:r>
      <w:r w:rsidRPr="005B0501">
        <w:rPr>
          <w:rFonts w:eastAsia="MS Mincho"/>
        </w:rPr>
        <w:t>n</w:t>
      </w:r>
      <w:r w:rsidRPr="005B0501">
        <w:rPr>
          <w:rFonts w:eastAsia="MS Mincho"/>
          <w:vertAlign w:val="superscript"/>
        </w:rPr>
        <w:t>o</w:t>
      </w:r>
      <w:r w:rsidRPr="005B0501">
        <w:rPr>
          <w:rFonts w:eastAsia="MS Mincho"/>
        </w:rPr>
        <w:t> </w:t>
      </w:r>
      <w:r w:rsidRPr="005B0501">
        <w:rPr>
          <w:lang w:eastAsia="fr-FR"/>
        </w:rPr>
        <w:t>149.</w:t>
      </w:r>
    </w:p>
    <w:p w14:paraId="79A8CF7D" w14:textId="1ED00933" w:rsidR="00F368F4" w:rsidRPr="003B0359" w:rsidRDefault="00F368F4" w:rsidP="003B0359">
      <w:pPr>
        <w:pStyle w:val="SingleTxtG"/>
        <w:ind w:left="2268"/>
        <w:rPr>
          <w:strike/>
        </w:rPr>
      </w:pPr>
      <w:r w:rsidRPr="003B0359">
        <w:rPr>
          <w:strike/>
        </w:rPr>
        <w:tab/>
      </w:r>
      <w:r w:rsidRPr="003B0359">
        <w:rPr>
          <w:strike/>
          <w:lang w:eastAsia="fr-FR"/>
        </w:rPr>
        <w:t>Ensemble de données</w:t>
      </w:r>
      <w:r w:rsidR="003B0359">
        <w:rPr>
          <w:strike/>
          <w:lang w:eastAsia="fr-FR"/>
        </w:rPr>
        <w:t xml:space="preserve"> </w:t>
      </w:r>
      <w:r w:rsidRPr="003B0359">
        <w:rPr>
          <w:strike/>
          <w:lang w:eastAsia="fr-FR"/>
        </w:rPr>
        <w:t>E1</w:t>
      </w:r>
      <w:r w:rsidR="00EB6374" w:rsidRPr="003B0359">
        <w:rPr>
          <w:rFonts w:eastAsia="Calibri"/>
          <w:strike/>
          <w:lang w:eastAsia="fr-FR"/>
        </w:rPr>
        <w:t> :</w:t>
      </w:r>
      <w:r w:rsidRPr="003B0359">
        <w:rPr>
          <w:strike/>
          <w:lang w:eastAsia="fr-FR"/>
        </w:rPr>
        <w:t xml:space="preserve"> vitesse du véhicule supérieure à 100 km/h (application du signal</w:t>
      </w:r>
      <w:r w:rsidR="003B0359">
        <w:rPr>
          <w:strike/>
          <w:lang w:eastAsia="fr-FR"/>
        </w:rPr>
        <w:t xml:space="preserve"> </w:t>
      </w:r>
      <w:r w:rsidRPr="003B0359">
        <w:rPr>
          <w:strike/>
          <w:lang w:eastAsia="fr-FR"/>
        </w:rPr>
        <w:t>E1)</w:t>
      </w:r>
      <w:r w:rsidR="00EB6374" w:rsidRPr="003B0359">
        <w:rPr>
          <w:rFonts w:eastAsia="Calibri"/>
          <w:strike/>
          <w:lang w:eastAsia="fr-FR"/>
        </w:rPr>
        <w:t> ;</w:t>
      </w:r>
    </w:p>
    <w:p w14:paraId="5C2CF6B4" w14:textId="7E925E8E" w:rsidR="00F368F4" w:rsidRPr="003B0359" w:rsidRDefault="00F368F4" w:rsidP="003B0359">
      <w:pPr>
        <w:pStyle w:val="SingleTxtG"/>
        <w:ind w:left="2268"/>
        <w:rPr>
          <w:strike/>
        </w:rPr>
      </w:pPr>
      <w:r w:rsidRPr="003B0359">
        <w:rPr>
          <w:strike/>
        </w:rPr>
        <w:tab/>
      </w:r>
      <w:r w:rsidRPr="003B0359">
        <w:rPr>
          <w:strike/>
          <w:lang w:eastAsia="fr-FR"/>
        </w:rPr>
        <w:t>Ensemble de données</w:t>
      </w:r>
      <w:r w:rsidR="003B0359">
        <w:rPr>
          <w:strike/>
          <w:lang w:eastAsia="fr-FR"/>
        </w:rPr>
        <w:t xml:space="preserve"> </w:t>
      </w:r>
      <w:r w:rsidRPr="003B0359">
        <w:rPr>
          <w:strike/>
          <w:lang w:eastAsia="fr-FR"/>
        </w:rPr>
        <w:t>E2</w:t>
      </w:r>
      <w:r w:rsidR="00EB6374" w:rsidRPr="003B0359">
        <w:rPr>
          <w:rFonts w:eastAsia="Calibri"/>
          <w:strike/>
          <w:lang w:eastAsia="fr-FR"/>
        </w:rPr>
        <w:t> :</w:t>
      </w:r>
      <w:r w:rsidRPr="003B0359">
        <w:rPr>
          <w:strike/>
          <w:lang w:eastAsia="fr-FR"/>
        </w:rPr>
        <w:t xml:space="preserve"> vitesse du véhicule supérieure à 90 km/h (application du signal</w:t>
      </w:r>
      <w:r w:rsidR="003B0359">
        <w:rPr>
          <w:strike/>
          <w:lang w:eastAsia="fr-FR"/>
        </w:rPr>
        <w:t xml:space="preserve"> </w:t>
      </w:r>
      <w:r w:rsidRPr="003B0359">
        <w:rPr>
          <w:strike/>
          <w:lang w:eastAsia="fr-FR"/>
        </w:rPr>
        <w:t>E2)</w:t>
      </w:r>
      <w:r w:rsidR="00EB6374" w:rsidRPr="003B0359">
        <w:rPr>
          <w:rFonts w:eastAsia="Calibri"/>
          <w:strike/>
          <w:lang w:eastAsia="fr-FR"/>
        </w:rPr>
        <w:t> ;</w:t>
      </w:r>
    </w:p>
    <w:p w14:paraId="440140D1" w14:textId="06F36318" w:rsidR="00F368F4" w:rsidRPr="003B0359" w:rsidRDefault="00F368F4" w:rsidP="003B0359">
      <w:pPr>
        <w:pStyle w:val="SingleTxtG"/>
        <w:ind w:left="2268"/>
        <w:rPr>
          <w:b/>
          <w:strike/>
        </w:rPr>
      </w:pPr>
      <w:r w:rsidRPr="003B0359">
        <w:rPr>
          <w:strike/>
        </w:rPr>
        <w:tab/>
      </w:r>
      <w:r w:rsidRPr="003B0359">
        <w:rPr>
          <w:strike/>
          <w:lang w:eastAsia="fr-FR"/>
        </w:rPr>
        <w:t>Ensemble de données</w:t>
      </w:r>
      <w:r w:rsidR="003B0359">
        <w:rPr>
          <w:strike/>
          <w:lang w:eastAsia="fr-FR"/>
        </w:rPr>
        <w:t xml:space="preserve"> </w:t>
      </w:r>
      <w:r w:rsidRPr="003B0359">
        <w:rPr>
          <w:strike/>
          <w:lang w:eastAsia="fr-FR"/>
        </w:rPr>
        <w:t>E3</w:t>
      </w:r>
      <w:r w:rsidR="00EB6374" w:rsidRPr="003B0359">
        <w:rPr>
          <w:rFonts w:eastAsia="Calibri"/>
          <w:strike/>
          <w:lang w:eastAsia="fr-FR"/>
        </w:rPr>
        <w:t> :</w:t>
      </w:r>
      <w:r w:rsidRPr="003B0359">
        <w:rPr>
          <w:strike/>
          <w:lang w:eastAsia="fr-FR"/>
        </w:rPr>
        <w:t xml:space="preserve"> vitesse du véhicule supérieure à 80 km/h (application du signal</w:t>
      </w:r>
      <w:r w:rsidR="003B0359">
        <w:rPr>
          <w:strike/>
          <w:lang w:eastAsia="fr-FR"/>
        </w:rPr>
        <w:t xml:space="preserve"> </w:t>
      </w:r>
      <w:r w:rsidRPr="003B0359">
        <w:rPr>
          <w:strike/>
          <w:lang w:eastAsia="fr-FR"/>
        </w:rPr>
        <w:t>E3).</w:t>
      </w:r>
    </w:p>
    <w:p w14:paraId="29AE996A" w14:textId="77777777" w:rsidR="007C6E2A" w:rsidRPr="007C6E2A" w:rsidRDefault="00F368F4" w:rsidP="007C6E2A">
      <w:pPr>
        <w:pStyle w:val="SingleTxtG"/>
        <w:ind w:left="2835"/>
        <w:rPr>
          <w:b/>
          <w:bCs/>
        </w:rPr>
      </w:pPr>
      <w:r w:rsidRPr="007C6E2A">
        <w:rPr>
          <w:b/>
          <w:bCs/>
        </w:rPr>
        <w:t>Ensemble de données E1</w:t>
      </w:r>
      <w:r w:rsidR="00EB6374" w:rsidRPr="007C6E2A">
        <w:rPr>
          <w:b/>
          <w:bCs/>
        </w:rPr>
        <w:t> :</w:t>
      </w:r>
      <w:r w:rsidRPr="007C6E2A">
        <w:rPr>
          <w:b/>
          <w:bCs/>
        </w:rPr>
        <w:t xml:space="preserve"> vitesse du véhicule supérieure à 100</w:t>
      </w:r>
      <w:r w:rsidR="007C6E2A" w:rsidRPr="007C6E2A">
        <w:rPr>
          <w:b/>
          <w:bCs/>
        </w:rPr>
        <w:t> </w:t>
      </w:r>
      <w:r w:rsidRPr="007C6E2A">
        <w:rPr>
          <w:b/>
          <w:bCs/>
        </w:rPr>
        <w:t>km/h (application du signal E1)</w:t>
      </w:r>
      <w:r w:rsidR="00EB6374" w:rsidRPr="007C6E2A">
        <w:rPr>
          <w:b/>
          <w:bCs/>
        </w:rPr>
        <w:t> ;</w:t>
      </w:r>
    </w:p>
    <w:p w14:paraId="630B7482" w14:textId="5A0D882D" w:rsidR="007C6E2A" w:rsidRPr="007C6E2A" w:rsidRDefault="00F368F4" w:rsidP="007C6E2A">
      <w:pPr>
        <w:pStyle w:val="SingleTxtG"/>
        <w:ind w:left="2835"/>
        <w:rPr>
          <w:b/>
          <w:bCs/>
        </w:rPr>
      </w:pPr>
      <w:r w:rsidRPr="007C6E2A">
        <w:rPr>
          <w:b/>
          <w:bCs/>
        </w:rPr>
        <w:t>Ensemble de données E2</w:t>
      </w:r>
      <w:r w:rsidR="00EB6374" w:rsidRPr="007C6E2A">
        <w:rPr>
          <w:b/>
          <w:bCs/>
        </w:rPr>
        <w:t> :</w:t>
      </w:r>
      <w:r w:rsidRPr="007C6E2A">
        <w:rPr>
          <w:b/>
          <w:bCs/>
        </w:rPr>
        <w:t xml:space="preserve"> vitesse du véhicule supérieure à 90</w:t>
      </w:r>
      <w:r w:rsidR="007C6E2A">
        <w:rPr>
          <w:b/>
          <w:bCs/>
        </w:rPr>
        <w:t> </w:t>
      </w:r>
      <w:r w:rsidRPr="007C6E2A">
        <w:rPr>
          <w:b/>
          <w:bCs/>
        </w:rPr>
        <w:t>km/h (application du signal E2)</w:t>
      </w:r>
      <w:r w:rsidR="00EB6374" w:rsidRPr="007C6E2A">
        <w:rPr>
          <w:b/>
          <w:bCs/>
        </w:rPr>
        <w:t> ;</w:t>
      </w:r>
    </w:p>
    <w:p w14:paraId="1E4B7401" w14:textId="408116B7" w:rsidR="00F368F4" w:rsidRPr="005B0501" w:rsidRDefault="00F368F4" w:rsidP="007C6E2A">
      <w:pPr>
        <w:pStyle w:val="SingleTxtG"/>
        <w:ind w:left="2835"/>
        <w:rPr>
          <w:i/>
          <w:iCs/>
        </w:rPr>
      </w:pPr>
      <w:r w:rsidRPr="007C6E2A">
        <w:rPr>
          <w:b/>
          <w:bCs/>
        </w:rPr>
        <w:t>Ensemble de données E3</w:t>
      </w:r>
      <w:r w:rsidR="00EB6374" w:rsidRPr="007C6E2A">
        <w:rPr>
          <w:b/>
          <w:bCs/>
        </w:rPr>
        <w:t> :</w:t>
      </w:r>
      <w:r w:rsidRPr="007C6E2A">
        <w:rPr>
          <w:b/>
          <w:bCs/>
        </w:rPr>
        <w:t xml:space="preserve"> vitesse du véhicule supérieure à 80</w:t>
      </w:r>
      <w:r w:rsidR="007C6E2A">
        <w:rPr>
          <w:b/>
          <w:bCs/>
        </w:rPr>
        <w:t> </w:t>
      </w:r>
      <w:r w:rsidRPr="007C6E2A">
        <w:rPr>
          <w:b/>
          <w:bCs/>
        </w:rPr>
        <w:t>km/h (application du signal E3).</w:t>
      </w:r>
      <w:r w:rsidR="005B0501" w:rsidRPr="007C6E2A">
        <w:rPr>
          <w:b/>
          <w:bCs/>
        </w:rPr>
        <w:t> </w:t>
      </w:r>
      <w:r w:rsidR="005B0501" w:rsidRPr="005B0501">
        <w:t>»</w:t>
      </w:r>
      <w:r w:rsidR="00571590">
        <w:t>.</w:t>
      </w:r>
    </w:p>
    <w:p w14:paraId="4FAE197D" w14:textId="542E105F" w:rsidR="00F368F4" w:rsidRPr="005B0501" w:rsidRDefault="00F368F4" w:rsidP="004E58D6">
      <w:pPr>
        <w:pStyle w:val="SingleTxtG"/>
        <w:keepNext/>
      </w:pPr>
      <w:r w:rsidRPr="005B0501">
        <w:rPr>
          <w:i/>
          <w:iCs/>
        </w:rPr>
        <w:t>Paragraphe 6.22.7.4.5, note de bas de page 16</w:t>
      </w:r>
      <w:r w:rsidRPr="007C6E2A">
        <w:t xml:space="preserve">, </w:t>
      </w:r>
      <w:r w:rsidRPr="005B0501">
        <w:t>lire</w:t>
      </w:r>
      <w:r w:rsidR="00EB6374" w:rsidRPr="005B0501">
        <w:t> :</w:t>
      </w:r>
    </w:p>
    <w:p w14:paraId="6514A30E" w14:textId="034F7AF3" w:rsidR="00F368F4" w:rsidRPr="005B0501" w:rsidRDefault="007C6E2A" w:rsidP="005A3A19">
      <w:pPr>
        <w:pStyle w:val="Notedebasdepage"/>
        <w:spacing w:after="240"/>
        <w:rPr>
          <w:szCs w:val="18"/>
        </w:rPr>
      </w:pPr>
      <w:r>
        <w:tab/>
      </w:r>
      <w:r w:rsidR="005B0501" w:rsidRPr="007C6E2A">
        <w:rPr>
          <w:sz w:val="20"/>
        </w:rPr>
        <w:t>« </w:t>
      </w:r>
      <w:r w:rsidR="00F368F4" w:rsidRPr="007C6E2A">
        <w:rPr>
          <w:b/>
          <w:bCs/>
          <w:szCs w:val="18"/>
          <w:vertAlign w:val="superscript"/>
        </w:rPr>
        <w:t>15</w:t>
      </w:r>
      <w:r w:rsidR="00F368F4" w:rsidRPr="005B0501">
        <w:rPr>
          <w:szCs w:val="18"/>
        </w:rPr>
        <w:tab/>
        <w:t>Cette disposition ne s’applique pas au faisceau de croisement lorsque l’éclairage en virage est actionné pour un virage à droite en circulation à droite (pour un virage à gauche en circulation à gauche).</w:t>
      </w:r>
      <w:r w:rsidR="005B0501" w:rsidRPr="007C6E2A">
        <w:rPr>
          <w:sz w:val="20"/>
        </w:rPr>
        <w:t> »</w:t>
      </w:r>
      <w:r w:rsidRPr="007C6E2A">
        <w:rPr>
          <w:sz w:val="20"/>
        </w:rPr>
        <w:t>.</w:t>
      </w:r>
    </w:p>
    <w:p w14:paraId="63C03756" w14:textId="33826188" w:rsidR="00F368F4" w:rsidRPr="005B0501" w:rsidRDefault="00F368F4" w:rsidP="00571590">
      <w:pPr>
        <w:pStyle w:val="SingleTxtG"/>
        <w:keepNext/>
      </w:pPr>
      <w:r w:rsidRPr="004E58D6">
        <w:rPr>
          <w:i/>
          <w:iCs/>
        </w:rPr>
        <w:t>Paragraphe</w:t>
      </w:r>
      <w:r w:rsidRPr="005B0501">
        <w:rPr>
          <w:i/>
          <w:szCs w:val="16"/>
        </w:rPr>
        <w:t xml:space="preserve"> 6.22.9.1</w:t>
      </w:r>
      <w:r w:rsidRPr="007C6E2A">
        <w:rPr>
          <w:iCs/>
          <w:szCs w:val="16"/>
        </w:rPr>
        <w:t xml:space="preserve">, </w:t>
      </w:r>
      <w:r w:rsidRPr="005B0501">
        <w:rPr>
          <w:szCs w:val="16"/>
        </w:rPr>
        <w:t>lire</w:t>
      </w:r>
      <w:r w:rsidR="00EB6374" w:rsidRPr="005B0501">
        <w:rPr>
          <w:szCs w:val="16"/>
        </w:rPr>
        <w:t> :</w:t>
      </w:r>
    </w:p>
    <w:p w14:paraId="6017C39E" w14:textId="1D111521" w:rsidR="00F368F4" w:rsidRPr="005B0501" w:rsidRDefault="005B0501" w:rsidP="00295078">
      <w:pPr>
        <w:pStyle w:val="SingleTxtG"/>
        <w:ind w:left="2268" w:hanging="1134"/>
      </w:pPr>
      <w:r w:rsidRPr="005B0501">
        <w:t>«</w:t>
      </w:r>
      <w:r>
        <w:t> </w:t>
      </w:r>
      <w:r w:rsidR="00F368F4" w:rsidRPr="005B0501">
        <w:t>6.22.9.1</w:t>
      </w:r>
      <w:r w:rsidR="00F368F4" w:rsidRPr="005B0501">
        <w:tab/>
      </w:r>
      <w:r w:rsidR="00F368F4" w:rsidRPr="005B0501">
        <w:tab/>
        <w:t>Le</w:t>
      </w:r>
      <w:r w:rsidR="00F368F4" w:rsidRPr="005B0501">
        <w:rPr>
          <w:lang w:eastAsia="fr-FR"/>
        </w:rPr>
        <w:t xml:space="preserve"> montage d’un système AFS n’est autorisé que si le véhicule est aussi équipé de dispositifs de nettoyage des projecteurs conformes au Règlement</w:t>
      </w:r>
      <w:r w:rsidR="007C6E2A">
        <w:rPr>
          <w:lang w:eastAsia="fr-FR"/>
        </w:rPr>
        <w:t xml:space="preserve"> </w:t>
      </w:r>
      <w:r w:rsidR="00F368F4" w:rsidRPr="005B0501">
        <w:rPr>
          <w:lang w:eastAsia="fr-FR"/>
        </w:rPr>
        <w:t xml:space="preserve">ONU </w:t>
      </w:r>
      <w:r w:rsidR="00F368F4" w:rsidRPr="005B0501">
        <w:rPr>
          <w:rFonts w:eastAsia="MS Mincho"/>
        </w:rPr>
        <w:t>n</w:t>
      </w:r>
      <w:r w:rsidR="00F368F4" w:rsidRPr="005B0501">
        <w:rPr>
          <w:rFonts w:eastAsia="MS Mincho"/>
          <w:vertAlign w:val="superscript"/>
        </w:rPr>
        <w:t>o</w:t>
      </w:r>
      <w:r w:rsidR="00F368F4" w:rsidRPr="005B0501">
        <w:rPr>
          <w:rFonts w:eastAsia="MS Mincho"/>
        </w:rPr>
        <w:t> </w:t>
      </w:r>
      <w:r w:rsidR="00F368F4" w:rsidRPr="005B0501">
        <w:t>45</w:t>
      </w:r>
      <w:r w:rsidR="00F368F4" w:rsidRPr="007C6E2A">
        <w:rPr>
          <w:strike/>
          <w:sz w:val="18"/>
          <w:szCs w:val="18"/>
          <w:vertAlign w:val="superscript"/>
        </w:rPr>
        <w:t>17</w:t>
      </w:r>
      <w:r w:rsidR="00F368F4" w:rsidRPr="007C6E2A">
        <w:rPr>
          <w:b/>
          <w:bCs/>
          <w:sz w:val="18"/>
          <w:szCs w:val="18"/>
          <w:vertAlign w:val="superscript"/>
        </w:rPr>
        <w:t>16</w:t>
      </w:r>
      <w:r w:rsidR="00F368F4" w:rsidRPr="005B0501">
        <w:rPr>
          <w:lang w:eastAsia="fr-FR"/>
        </w:rPr>
        <w:t>, au moins sur les unités d’éclairage énumérées au point</w:t>
      </w:r>
      <w:r w:rsidR="007C6E2A">
        <w:rPr>
          <w:lang w:eastAsia="fr-FR"/>
        </w:rPr>
        <w:t xml:space="preserve"> </w:t>
      </w:r>
      <w:r w:rsidR="00F368F4" w:rsidRPr="005B0501">
        <w:rPr>
          <w:lang w:eastAsia="fr-FR"/>
        </w:rPr>
        <w:t xml:space="preserve">9.2.3 de la </w:t>
      </w:r>
      <w:r w:rsidR="00F368F4" w:rsidRPr="005B0501">
        <w:rPr>
          <w:lang w:eastAsia="fr-FR"/>
        </w:rPr>
        <w:lastRenderedPageBreak/>
        <w:t>fiche de communication conforme au modèle de l’annexe</w:t>
      </w:r>
      <w:r w:rsidR="007C6E2A">
        <w:rPr>
          <w:lang w:eastAsia="fr-FR"/>
        </w:rPr>
        <w:t xml:space="preserve"> </w:t>
      </w:r>
      <w:r w:rsidR="00F368F4" w:rsidRPr="005B0501">
        <w:rPr>
          <w:lang w:eastAsia="fr-FR"/>
        </w:rPr>
        <w:t xml:space="preserve">1 du Règlement ONU </w:t>
      </w:r>
      <w:r w:rsidR="00F368F4" w:rsidRPr="005B0501">
        <w:rPr>
          <w:rFonts w:eastAsia="MS Mincho"/>
        </w:rPr>
        <w:t>n</w:t>
      </w:r>
      <w:r w:rsidR="00F368F4" w:rsidRPr="005B0501">
        <w:rPr>
          <w:rFonts w:eastAsia="MS Mincho"/>
          <w:vertAlign w:val="superscript"/>
        </w:rPr>
        <w:t>o</w:t>
      </w:r>
      <w:r w:rsidR="00F368F4" w:rsidRPr="005B0501">
        <w:rPr>
          <w:rFonts w:eastAsia="MS Mincho"/>
        </w:rPr>
        <w:t> </w:t>
      </w:r>
      <w:r w:rsidR="00F368F4" w:rsidRPr="005B0501">
        <w:rPr>
          <w:lang w:eastAsia="fr-FR"/>
        </w:rPr>
        <w:t>123 ou au point</w:t>
      </w:r>
      <w:r w:rsidR="00F368F4" w:rsidRPr="005B0501">
        <w:rPr>
          <w:b/>
          <w:bCs/>
          <w:lang w:eastAsia="fr-FR"/>
        </w:rPr>
        <w:t xml:space="preserve"> </w:t>
      </w:r>
      <w:r w:rsidR="00F368F4" w:rsidRPr="005B0501">
        <w:rPr>
          <w:bCs/>
          <w:iCs/>
          <w:strike/>
          <w:kern w:val="2"/>
          <w:lang w:eastAsia="ja-JP"/>
        </w:rPr>
        <w:t xml:space="preserve">9.3.3 </w:t>
      </w:r>
      <w:r w:rsidR="00F368F4" w:rsidRPr="005B0501">
        <w:rPr>
          <w:b/>
          <w:iCs/>
          <w:kern w:val="2"/>
          <w:lang w:eastAsia="ja-JP"/>
        </w:rPr>
        <w:t xml:space="preserve">9.3.2.3 de la fiche de communication conforme au modèle </w:t>
      </w:r>
      <w:r w:rsidR="00F368F4" w:rsidRPr="005B0501">
        <w:rPr>
          <w:bCs/>
          <w:iCs/>
          <w:kern w:val="2"/>
          <w:lang w:eastAsia="ja-JP"/>
        </w:rPr>
        <w:t>de l’annexe 1</w:t>
      </w:r>
      <w:r w:rsidR="00F368F4" w:rsidRPr="005B0501">
        <w:rPr>
          <w:b/>
          <w:iCs/>
          <w:kern w:val="2"/>
          <w:lang w:eastAsia="ja-JP"/>
        </w:rPr>
        <w:t xml:space="preserve"> de</w:t>
      </w:r>
      <w:r w:rsidR="00F368F4" w:rsidRPr="005B0501">
        <w:rPr>
          <w:bCs/>
          <w:iCs/>
          <w:kern w:val="2"/>
          <w:lang w:eastAsia="ja-JP"/>
        </w:rPr>
        <w:t xml:space="preserve"> </w:t>
      </w:r>
      <w:r w:rsidR="00F368F4" w:rsidRPr="005B0501">
        <w:rPr>
          <w:b/>
          <w:iCs/>
          <w:kern w:val="2"/>
          <w:lang w:eastAsia="ja-JP"/>
        </w:rPr>
        <w:t>la série 00 d’amendements au</w:t>
      </w:r>
      <w:r w:rsidR="00F368F4" w:rsidRPr="005B0501">
        <w:rPr>
          <w:bCs/>
          <w:iCs/>
          <w:kern w:val="2"/>
          <w:lang w:eastAsia="ja-JP"/>
        </w:rPr>
        <w:t xml:space="preserve"> Règlement ONU </w:t>
      </w:r>
      <w:r w:rsidR="00F368F4" w:rsidRPr="005B0501">
        <w:rPr>
          <w:rFonts w:eastAsia="MS Mincho"/>
        </w:rPr>
        <w:t>n</w:t>
      </w:r>
      <w:r w:rsidR="00F368F4" w:rsidRPr="005B0501">
        <w:rPr>
          <w:rFonts w:eastAsia="MS Mincho"/>
          <w:vertAlign w:val="superscript"/>
        </w:rPr>
        <w:t>o</w:t>
      </w:r>
      <w:r w:rsidR="00F368F4" w:rsidRPr="005B0501">
        <w:rPr>
          <w:rFonts w:eastAsia="MS Mincho"/>
        </w:rPr>
        <w:t> </w:t>
      </w:r>
      <w:r w:rsidR="00F368F4" w:rsidRPr="005B0501">
        <w:rPr>
          <w:bCs/>
          <w:iCs/>
          <w:kern w:val="2"/>
          <w:lang w:eastAsia="ja-JP"/>
        </w:rPr>
        <w:t>149</w:t>
      </w:r>
      <w:r w:rsidR="00F368F4" w:rsidRPr="005B0501">
        <w:t xml:space="preserve">, </w:t>
      </w:r>
      <w:r w:rsidR="00F368F4" w:rsidRPr="005B0501">
        <w:rPr>
          <w:b/>
          <w:iCs/>
          <w:kern w:val="2"/>
          <w:lang w:eastAsia="ja-JP"/>
        </w:rPr>
        <w:t xml:space="preserve">ou au point 9.2.2.3 de la fiche de communication conforme au modèle de l’annexe 1 de la série 01 d’amendements au Règlement ONU </w:t>
      </w:r>
      <w:r w:rsidR="00F368F4" w:rsidRPr="005B0501">
        <w:rPr>
          <w:rFonts w:eastAsia="MS Mincho"/>
          <w:b/>
          <w:bCs/>
        </w:rPr>
        <w:t>n</w:t>
      </w:r>
      <w:r w:rsidR="00F368F4" w:rsidRPr="005B0501">
        <w:rPr>
          <w:rFonts w:eastAsia="MS Mincho"/>
          <w:b/>
          <w:bCs/>
          <w:vertAlign w:val="superscript"/>
        </w:rPr>
        <w:t>o</w:t>
      </w:r>
      <w:r w:rsidR="00F368F4" w:rsidRPr="005B0501">
        <w:rPr>
          <w:rFonts w:eastAsia="MS Mincho"/>
        </w:rPr>
        <w:t> </w:t>
      </w:r>
      <w:r w:rsidR="00F368F4" w:rsidRPr="005B0501">
        <w:rPr>
          <w:b/>
          <w:iCs/>
          <w:kern w:val="2"/>
          <w:lang w:eastAsia="ja-JP"/>
        </w:rPr>
        <w:t>149</w:t>
      </w:r>
      <w:r w:rsidR="00F368F4" w:rsidRPr="005B0501">
        <w:rPr>
          <w:lang w:eastAsia="fr-FR"/>
        </w:rPr>
        <w:t>, si le flux lumineux normal total des sources lumineuses de ces unités d’éclairage dépasse 2</w:t>
      </w:r>
      <w:r w:rsidR="007C6E2A">
        <w:rPr>
          <w:lang w:eastAsia="fr-FR"/>
        </w:rPr>
        <w:t> </w:t>
      </w:r>
      <w:r w:rsidR="00F368F4" w:rsidRPr="005B0501">
        <w:rPr>
          <w:lang w:eastAsia="fr-FR"/>
        </w:rPr>
        <w:t>000</w:t>
      </w:r>
      <w:r w:rsidR="007C6E2A">
        <w:rPr>
          <w:lang w:eastAsia="fr-FR"/>
        </w:rPr>
        <w:t xml:space="preserve"> </w:t>
      </w:r>
      <w:r w:rsidR="00F368F4" w:rsidRPr="005B0501">
        <w:rPr>
          <w:lang w:eastAsia="fr-FR"/>
        </w:rPr>
        <w:t>lm par côté, et si ces unités contribuent au faisceau de croisement (élémentaire) classe</w:t>
      </w:r>
      <w:r w:rsidR="007C6E2A">
        <w:rPr>
          <w:lang w:eastAsia="fr-FR"/>
        </w:rPr>
        <w:t xml:space="preserve"> </w:t>
      </w:r>
      <w:r w:rsidR="00F368F4" w:rsidRPr="005B0501">
        <w:rPr>
          <w:lang w:eastAsia="fr-FR"/>
        </w:rPr>
        <w:t>C.</w:t>
      </w:r>
      <w:r>
        <w:t> </w:t>
      </w:r>
      <w:r w:rsidRPr="005B0501">
        <w:t>»</w:t>
      </w:r>
      <w:r w:rsidR="007C6E2A">
        <w:t>.</w:t>
      </w:r>
    </w:p>
    <w:p w14:paraId="0AB87B63" w14:textId="758CF594" w:rsidR="00F368F4" w:rsidRPr="005B0501" w:rsidRDefault="00F368F4" w:rsidP="004E58D6">
      <w:pPr>
        <w:pStyle w:val="SingleTxtG"/>
        <w:keepNext/>
      </w:pPr>
      <w:r w:rsidRPr="004E58D6">
        <w:rPr>
          <w:i/>
          <w:iCs/>
        </w:rPr>
        <w:t>Paragraphe</w:t>
      </w:r>
      <w:r w:rsidRPr="005B0501">
        <w:rPr>
          <w:i/>
        </w:rPr>
        <w:t xml:space="preserve"> 6.24.9.1</w:t>
      </w:r>
      <w:r w:rsidRPr="007C6E2A">
        <w:rPr>
          <w:iCs/>
        </w:rPr>
        <w:t>,</w:t>
      </w:r>
      <w:r w:rsidRPr="005B0501">
        <w:t xml:space="preserve"> lire</w:t>
      </w:r>
      <w:r w:rsidR="00EB6374" w:rsidRPr="005B0501">
        <w:t> :</w:t>
      </w:r>
    </w:p>
    <w:p w14:paraId="62624986" w14:textId="0DE2ECCA" w:rsidR="00F368F4" w:rsidRPr="005B0501" w:rsidRDefault="005B0501" w:rsidP="00295078">
      <w:pPr>
        <w:pStyle w:val="SingleTxtG"/>
        <w:ind w:left="2268" w:hanging="1134"/>
        <w:rPr>
          <w:rFonts w:eastAsia="Calibri"/>
          <w:iCs/>
          <w:kern w:val="2"/>
          <w:lang w:eastAsia="ja-JP"/>
        </w:rPr>
      </w:pPr>
      <w:r w:rsidRPr="005B0501">
        <w:t>«</w:t>
      </w:r>
      <w:r>
        <w:t> </w:t>
      </w:r>
      <w:r w:rsidR="00F368F4" w:rsidRPr="005B0501">
        <w:rPr>
          <w:rFonts w:eastAsia="Calibri"/>
          <w:iCs/>
          <w:kern w:val="2"/>
          <w:lang w:eastAsia="ja-JP"/>
        </w:rPr>
        <w:t>6.24.9.1</w:t>
      </w:r>
      <w:r w:rsidR="00F368F4" w:rsidRPr="005B0501">
        <w:rPr>
          <w:rFonts w:eastAsia="Calibri"/>
          <w:iCs/>
          <w:kern w:val="2"/>
          <w:lang w:eastAsia="ja-JP"/>
        </w:rPr>
        <w:tab/>
      </w:r>
      <w:r w:rsidR="00F368F4" w:rsidRPr="00295078">
        <w:t>Le</w:t>
      </w:r>
      <w:r w:rsidR="00F368F4" w:rsidRPr="005B0501">
        <w:rPr>
          <w:rFonts w:eastAsia="Calibri"/>
          <w:iCs/>
          <w:kern w:val="2"/>
          <w:lang w:eastAsia="ja-JP"/>
        </w:rPr>
        <w:t xml:space="preserve"> feu de courtoisie extérieur ne peut être allumé que si le véhicule est à l’arrêt et que l’une au moins des conditions suivantes est remplie</w:t>
      </w:r>
      <w:r w:rsidR="00EB6374" w:rsidRPr="005B0501">
        <w:rPr>
          <w:rFonts w:eastAsia="Calibri"/>
          <w:iCs/>
          <w:kern w:val="2"/>
          <w:lang w:eastAsia="ja-JP"/>
        </w:rPr>
        <w:t> :</w:t>
      </w:r>
    </w:p>
    <w:p w14:paraId="42BFF423" w14:textId="77777777" w:rsidR="007C6E2A" w:rsidRDefault="00F368F4" w:rsidP="007C6E2A">
      <w:pPr>
        <w:pStyle w:val="SingleTxtG"/>
        <w:ind w:left="2835" w:hanging="567"/>
      </w:pPr>
      <w:r w:rsidRPr="005B0501">
        <w:t>a)</w:t>
      </w:r>
      <w:r w:rsidRPr="005B0501">
        <w:tab/>
        <w:t>Le système de propulsion est arrêté</w:t>
      </w:r>
      <w:r w:rsidR="00EB6374" w:rsidRPr="005B0501">
        <w:t> ;</w:t>
      </w:r>
    </w:p>
    <w:p w14:paraId="2863DE0F" w14:textId="77777777" w:rsidR="007C6E2A" w:rsidRDefault="00F368F4" w:rsidP="007C6E2A">
      <w:pPr>
        <w:pStyle w:val="SingleTxtG"/>
        <w:ind w:left="2835" w:hanging="567"/>
        <w:rPr>
          <w:rFonts w:eastAsia="Calibri"/>
        </w:rPr>
      </w:pPr>
      <w:r w:rsidRPr="005B0501">
        <w:rPr>
          <w:rFonts w:eastAsia="Calibri"/>
        </w:rPr>
        <w:t>b)</w:t>
      </w:r>
      <w:r w:rsidRPr="005B0501">
        <w:rPr>
          <w:rFonts w:eastAsia="Calibri"/>
        </w:rPr>
        <w:tab/>
        <w:t>La porte du conducteur ou l’une des portes des passagers est ouverte</w:t>
      </w:r>
      <w:r w:rsidR="00EB6374" w:rsidRPr="005B0501">
        <w:rPr>
          <w:rFonts w:eastAsia="Calibri"/>
        </w:rPr>
        <w:t> ;</w:t>
      </w:r>
      <w:r w:rsidRPr="005B0501">
        <w:rPr>
          <w:rFonts w:eastAsia="Calibri"/>
        </w:rPr>
        <w:t xml:space="preserve"> ou</w:t>
      </w:r>
    </w:p>
    <w:p w14:paraId="3F4B0C1D" w14:textId="4CF9DB6E" w:rsidR="00F368F4" w:rsidRPr="005B0501" w:rsidRDefault="00F368F4" w:rsidP="007C6E2A">
      <w:pPr>
        <w:pStyle w:val="SingleTxtG"/>
        <w:ind w:left="2835" w:hanging="567"/>
        <w:rPr>
          <w:rFonts w:eastAsia="Calibri"/>
        </w:rPr>
      </w:pPr>
      <w:r w:rsidRPr="005B0501">
        <w:rPr>
          <w:rFonts w:eastAsia="Calibri"/>
        </w:rPr>
        <w:t>c)</w:t>
      </w:r>
      <w:r w:rsidRPr="005B0501">
        <w:rPr>
          <w:rFonts w:eastAsia="Calibri"/>
        </w:rPr>
        <w:tab/>
        <w:t>Une porte du compartiment de chargement est ouverte.</w:t>
      </w:r>
    </w:p>
    <w:p w14:paraId="3D1C89F4" w14:textId="228C58F6" w:rsidR="00F368F4" w:rsidRPr="005B0501" w:rsidRDefault="00F368F4" w:rsidP="007C6E2A">
      <w:pPr>
        <w:spacing w:after="120"/>
        <w:ind w:left="2835" w:right="1134"/>
        <w:jc w:val="both"/>
        <w:rPr>
          <w:rFonts w:eastAsia="Calibri"/>
          <w:iCs/>
          <w:strike/>
          <w:kern w:val="2"/>
          <w:lang w:eastAsia="ja-JP"/>
        </w:rPr>
      </w:pPr>
      <w:r w:rsidRPr="005B0501">
        <w:rPr>
          <w:rFonts w:eastAsia="Calibri"/>
          <w:bCs/>
          <w:iCs/>
          <w:kern w:val="2"/>
          <w:lang w:eastAsia="ja-JP"/>
        </w:rPr>
        <w:tab/>
      </w:r>
      <w:r w:rsidRPr="005B0501">
        <w:rPr>
          <w:rFonts w:eastAsia="Calibri"/>
          <w:bCs/>
          <w:iCs/>
          <w:strike/>
          <w:kern w:val="2"/>
          <w:lang w:eastAsia="ja-JP"/>
        </w:rPr>
        <w:t>L</w:t>
      </w:r>
      <w:r w:rsidRPr="005B0501">
        <w:rPr>
          <w:rFonts w:eastAsia="Calibri"/>
          <w:iCs/>
          <w:strike/>
          <w:kern w:val="2"/>
          <w:lang w:eastAsia="ja-JP"/>
        </w:rPr>
        <w:t>es dispositions du paragraphe</w:t>
      </w:r>
      <w:r w:rsidR="007C6E2A">
        <w:rPr>
          <w:rFonts w:eastAsia="Calibri"/>
          <w:iCs/>
          <w:strike/>
          <w:kern w:val="2"/>
          <w:lang w:eastAsia="ja-JP"/>
        </w:rPr>
        <w:t xml:space="preserve"> </w:t>
      </w:r>
      <w:r w:rsidRPr="005B0501">
        <w:rPr>
          <w:rFonts w:eastAsia="Calibri"/>
          <w:iCs/>
          <w:strike/>
          <w:kern w:val="2"/>
          <w:lang w:eastAsia="ja-JP"/>
        </w:rPr>
        <w:t>5.10 doivent être respectées dans toutes</w:t>
      </w:r>
      <w:r w:rsidR="007C6E2A">
        <w:rPr>
          <w:rFonts w:eastAsia="Calibri"/>
          <w:iCs/>
          <w:strike/>
          <w:kern w:val="2"/>
          <w:lang w:eastAsia="ja-JP"/>
        </w:rPr>
        <w:t xml:space="preserve"> </w:t>
      </w:r>
      <w:r w:rsidRPr="005B0501">
        <w:rPr>
          <w:rFonts w:eastAsia="Calibri"/>
          <w:iCs/>
          <w:strike/>
          <w:kern w:val="2"/>
          <w:lang w:eastAsia="ja-JP"/>
        </w:rPr>
        <w:t>les positions d’utilisation fixes.</w:t>
      </w:r>
    </w:p>
    <w:p w14:paraId="0AE5322E" w14:textId="4ADBFA30" w:rsidR="00F368F4" w:rsidRPr="005B0501" w:rsidRDefault="00F368F4" w:rsidP="007C6E2A">
      <w:pPr>
        <w:pStyle w:val="SingleTxtG"/>
        <w:ind w:left="2268"/>
        <w:rPr>
          <w:bCs/>
        </w:rPr>
      </w:pPr>
      <w:r w:rsidRPr="007C6E2A">
        <w:rPr>
          <w:b/>
          <w:bCs/>
          <w:lang w:eastAsia="ja-JP"/>
        </w:rPr>
        <w:t>Les dispositions du paragraphe</w:t>
      </w:r>
      <w:r w:rsidR="007C6E2A">
        <w:rPr>
          <w:b/>
          <w:bCs/>
          <w:lang w:eastAsia="ja-JP"/>
        </w:rPr>
        <w:t xml:space="preserve"> </w:t>
      </w:r>
      <w:r w:rsidRPr="007C6E2A">
        <w:rPr>
          <w:b/>
          <w:bCs/>
          <w:lang w:eastAsia="ja-JP"/>
        </w:rPr>
        <w:t>5.10 doivent être respectées dans toutes</w:t>
      </w:r>
      <w:r w:rsidR="007C6E2A" w:rsidRPr="007C6E2A">
        <w:rPr>
          <w:b/>
          <w:bCs/>
          <w:lang w:eastAsia="ja-JP"/>
        </w:rPr>
        <w:t xml:space="preserve"> </w:t>
      </w:r>
      <w:r w:rsidRPr="007C6E2A">
        <w:rPr>
          <w:b/>
          <w:bCs/>
          <w:lang w:eastAsia="ja-JP"/>
        </w:rPr>
        <w:t>les positions d’utilisation fixes.</w:t>
      </w:r>
      <w:r w:rsidR="005B0501">
        <w:t> </w:t>
      </w:r>
      <w:r w:rsidR="005B0501" w:rsidRPr="005B0501">
        <w:t>»</w:t>
      </w:r>
      <w:r w:rsidRPr="005B0501">
        <w:rPr>
          <w:lang w:eastAsia="ja-JP"/>
        </w:rPr>
        <w:t>.</w:t>
      </w:r>
    </w:p>
    <w:p w14:paraId="15C2CEB4" w14:textId="30EAF089" w:rsidR="00F368F4" w:rsidRPr="005B0501" w:rsidRDefault="00F368F4" w:rsidP="004E58D6">
      <w:pPr>
        <w:pStyle w:val="SingleTxtG"/>
        <w:keepNext/>
      </w:pPr>
      <w:r w:rsidRPr="005B0501">
        <w:rPr>
          <w:i/>
          <w:iCs/>
        </w:rPr>
        <w:t>Paragraphe 12.2, note de bas de page 18</w:t>
      </w:r>
      <w:r w:rsidRPr="007C6E2A">
        <w:t xml:space="preserve">, </w:t>
      </w:r>
      <w:r w:rsidRPr="005B0501">
        <w:t>lire</w:t>
      </w:r>
      <w:r w:rsidR="00EB6374" w:rsidRPr="005B0501">
        <w:t> :</w:t>
      </w:r>
    </w:p>
    <w:p w14:paraId="6D808782" w14:textId="0CFCCDEC" w:rsidR="00F368F4" w:rsidRPr="005B0501" w:rsidRDefault="007C6E2A" w:rsidP="005A3A19">
      <w:pPr>
        <w:pStyle w:val="Notedebasdepage"/>
        <w:spacing w:after="240"/>
        <w:rPr>
          <w:i/>
          <w:iCs/>
          <w:szCs w:val="18"/>
        </w:rPr>
      </w:pPr>
      <w:bookmarkStart w:id="5" w:name="_Toc338161448"/>
      <w:r>
        <w:tab/>
      </w:r>
      <w:r w:rsidR="005B0501" w:rsidRPr="007C6E2A">
        <w:rPr>
          <w:sz w:val="20"/>
        </w:rPr>
        <w:t>« </w:t>
      </w:r>
      <w:r w:rsidR="00F368F4" w:rsidRPr="007C6E2A">
        <w:rPr>
          <w:b/>
          <w:bCs/>
          <w:szCs w:val="18"/>
          <w:vertAlign w:val="superscript"/>
        </w:rPr>
        <w:t>17</w:t>
      </w:r>
      <w:r w:rsidR="00F368F4" w:rsidRPr="005B0501">
        <w:rPr>
          <w:szCs w:val="18"/>
        </w:rPr>
        <w:tab/>
        <w:t>Note du secrétariat</w:t>
      </w:r>
      <w:r w:rsidR="00EB6374" w:rsidRPr="005B0501">
        <w:rPr>
          <w:szCs w:val="18"/>
        </w:rPr>
        <w:t> :</w:t>
      </w:r>
      <w:r w:rsidR="00F368F4" w:rsidRPr="005B0501">
        <w:rPr>
          <w:szCs w:val="18"/>
        </w:rPr>
        <w:t xml:space="preserve"> En ce qui concerne le paragraphe</w:t>
      </w:r>
      <w:r>
        <w:rPr>
          <w:szCs w:val="18"/>
        </w:rPr>
        <w:t xml:space="preserve"> </w:t>
      </w:r>
      <w:r w:rsidR="00F368F4" w:rsidRPr="005B0501">
        <w:rPr>
          <w:szCs w:val="18"/>
        </w:rPr>
        <w:t>6.21.4.1.3, se référer au texte de la série</w:t>
      </w:r>
      <w:r>
        <w:rPr>
          <w:szCs w:val="18"/>
        </w:rPr>
        <w:t xml:space="preserve"> </w:t>
      </w:r>
      <w:r w:rsidR="00F368F4" w:rsidRPr="005B0501">
        <w:rPr>
          <w:szCs w:val="18"/>
        </w:rPr>
        <w:t>03 d’amendements figurant dans le document</w:t>
      </w:r>
      <w:r w:rsidR="00F368F4" w:rsidRPr="005B0501">
        <w:rPr>
          <w:rFonts w:eastAsia="Calibri"/>
          <w:szCs w:val="18"/>
        </w:rPr>
        <w:t xml:space="preserve"> </w:t>
      </w:r>
      <w:r w:rsidR="00F368F4" w:rsidRPr="005B0501">
        <w:rPr>
          <w:szCs w:val="18"/>
        </w:rPr>
        <w:t>E/ECE/324/Rev.1/Add.47/Rev.6 − E/ECE/TRANS/505/</w:t>
      </w:r>
      <w:r>
        <w:rPr>
          <w:szCs w:val="18"/>
        </w:rPr>
        <w:t xml:space="preserve"> </w:t>
      </w:r>
      <w:r w:rsidR="00F368F4" w:rsidRPr="005B0501">
        <w:rPr>
          <w:szCs w:val="18"/>
        </w:rPr>
        <w:t>Rev.1/Add.47/Rev.6.</w:t>
      </w:r>
      <w:r w:rsidR="005B0501">
        <w:t> </w:t>
      </w:r>
      <w:r w:rsidR="005B0501" w:rsidRPr="007C6E2A">
        <w:rPr>
          <w:sz w:val="20"/>
        </w:rPr>
        <w:t>»</w:t>
      </w:r>
      <w:r w:rsidRPr="007C6E2A">
        <w:rPr>
          <w:sz w:val="20"/>
        </w:rPr>
        <w:t>.</w:t>
      </w:r>
    </w:p>
    <w:p w14:paraId="76DB884D" w14:textId="2A528497" w:rsidR="00F368F4" w:rsidRPr="005B0501" w:rsidRDefault="00F368F4" w:rsidP="004E58D6">
      <w:pPr>
        <w:pStyle w:val="SingleTxtG"/>
        <w:keepNext/>
        <w:rPr>
          <w:rFonts w:eastAsia="MS Mincho"/>
          <w:szCs w:val="16"/>
        </w:rPr>
      </w:pPr>
      <w:r w:rsidRPr="004E58D6">
        <w:rPr>
          <w:i/>
          <w:iCs/>
        </w:rPr>
        <w:t>Annexe</w:t>
      </w:r>
      <w:r w:rsidRPr="005B0501">
        <w:rPr>
          <w:i/>
          <w:szCs w:val="16"/>
        </w:rPr>
        <w:t xml:space="preserve"> 2</w:t>
      </w:r>
      <w:bookmarkStart w:id="6" w:name="_Toc338161449"/>
      <w:bookmarkEnd w:id="5"/>
      <w:r w:rsidRPr="007C6E2A">
        <w:rPr>
          <w:iCs/>
          <w:szCs w:val="16"/>
        </w:rPr>
        <w:t>,</w:t>
      </w:r>
      <w:r w:rsidRPr="007C6E2A">
        <w:rPr>
          <w:rFonts w:eastAsia="MS Mincho"/>
          <w:iCs/>
          <w:szCs w:val="16"/>
        </w:rPr>
        <w:t xml:space="preserve"> </w:t>
      </w:r>
      <w:r w:rsidRPr="005B0501">
        <w:rPr>
          <w:rFonts w:eastAsia="MS Mincho"/>
          <w:szCs w:val="16"/>
        </w:rPr>
        <w:t>lire</w:t>
      </w:r>
      <w:r w:rsidR="00EB6374" w:rsidRPr="005B0501">
        <w:rPr>
          <w:rFonts w:eastAsia="MS Mincho"/>
          <w:szCs w:val="16"/>
        </w:rPr>
        <w:t> :</w:t>
      </w:r>
    </w:p>
    <w:p w14:paraId="5F08D866" w14:textId="3F795F16" w:rsidR="00F368F4" w:rsidRPr="005B0501" w:rsidRDefault="00F368F4" w:rsidP="007C6E2A">
      <w:pPr>
        <w:pStyle w:val="HChG"/>
      </w:pPr>
      <w:r w:rsidRPr="005B0501">
        <w:tab/>
      </w:r>
      <w:r w:rsidRPr="005B0501">
        <w:tab/>
      </w:r>
      <w:r w:rsidR="005B0501" w:rsidRPr="007C6E2A">
        <w:rPr>
          <w:b w:val="0"/>
          <w:bCs/>
          <w:sz w:val="20"/>
        </w:rPr>
        <w:t>« </w:t>
      </w:r>
      <w:r w:rsidRPr="005B0501">
        <w:t>E</w:t>
      </w:r>
      <w:r w:rsidRPr="005B0501">
        <w:rPr>
          <w:lang w:eastAsia="fr-FR"/>
        </w:rPr>
        <w:t>xemples de marques d’homologation</w:t>
      </w:r>
    </w:p>
    <w:p w14:paraId="7162A694" w14:textId="77777777" w:rsidR="00F368F4" w:rsidRPr="005B0501" w:rsidRDefault="00F368F4" w:rsidP="007C6E2A">
      <w:pPr>
        <w:pStyle w:val="SingleTxtG"/>
      </w:pPr>
      <w:r w:rsidRPr="005B0501">
        <w:t xml:space="preserve">Modèle A </w:t>
      </w:r>
      <w:r w:rsidRPr="005B0501">
        <w:br/>
      </w:r>
      <w:bookmarkEnd w:id="6"/>
      <w:r w:rsidRPr="005B0501">
        <w:t>(</w:t>
      </w:r>
      <w:r w:rsidRPr="005B0501">
        <w:rPr>
          <w:lang w:eastAsia="fr-FR"/>
        </w:rPr>
        <w:t>Voir par. 4.4 du présent Règlement</w:t>
      </w:r>
      <w:r w:rsidRPr="005B0501">
        <w:t>)</w:t>
      </w:r>
    </w:p>
    <w:p w14:paraId="2116E0B7" w14:textId="28F42832" w:rsidR="007C6E2A" w:rsidRDefault="00F368F4" w:rsidP="007C6E2A">
      <w:pPr>
        <w:pStyle w:val="SingleTxtG"/>
      </w:pPr>
      <w:r w:rsidRPr="005B0501">
        <w:rPr>
          <w:noProof/>
          <w:lang w:eastAsia="fr-CH"/>
        </w:rPr>
        <mc:AlternateContent>
          <mc:Choice Requires="wps">
            <w:drawing>
              <wp:anchor distT="0" distB="0" distL="114300" distR="114300" simplePos="0" relativeHeight="251659264" behindDoc="0" locked="0" layoutInCell="1" allowOverlap="1" wp14:anchorId="36C7802A" wp14:editId="1E8C9CA2">
                <wp:simplePos x="0" y="0"/>
                <wp:positionH relativeFrom="column">
                  <wp:posOffset>2697871</wp:posOffset>
                </wp:positionH>
                <wp:positionV relativeFrom="paragraph">
                  <wp:posOffset>373380</wp:posOffset>
                </wp:positionV>
                <wp:extent cx="1943100" cy="3429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1B093" w14:textId="77777777" w:rsidR="00F368F4" w:rsidRPr="00A1709C" w:rsidRDefault="00F368F4" w:rsidP="00F368F4">
                            <w:pPr>
                              <w:rPr>
                                <w:rFonts w:ascii="Arial" w:hAnsi="Arial" w:cs="Arial"/>
                                <w:sz w:val="40"/>
                                <w:szCs w:val="40"/>
                              </w:rPr>
                            </w:pPr>
                            <w:r w:rsidRPr="00A1709C">
                              <w:rPr>
                                <w:rFonts w:ascii="Arial" w:hAnsi="Arial" w:cs="Arial"/>
                                <w:sz w:val="40"/>
                                <w:szCs w:val="40"/>
                              </w:rPr>
                              <w:t xml:space="preserve">48 R </w:t>
                            </w:r>
                            <w:r>
                              <w:rPr>
                                <w:rFonts w:ascii="Arial" w:hAnsi="Arial" w:cs="Arial"/>
                                <w:sz w:val="40"/>
                                <w:szCs w:val="40"/>
                              </w:rPr>
                              <w:t xml:space="preserve">- </w:t>
                            </w:r>
                            <w:r w:rsidRPr="00A1709C">
                              <w:rPr>
                                <w:rFonts w:ascii="Arial" w:hAnsi="Arial" w:cs="Arial"/>
                                <w:sz w:val="40"/>
                                <w:szCs w:val="40"/>
                              </w:rPr>
                              <w:t>0</w:t>
                            </w:r>
                            <w:r>
                              <w:rPr>
                                <w:rFonts w:ascii="Arial" w:hAnsi="Arial" w:cs="Arial"/>
                                <w:sz w:val="40"/>
                                <w:szCs w:val="40"/>
                              </w:rPr>
                              <w:t>7</w:t>
                            </w:r>
                            <w:r w:rsidRPr="00A1709C">
                              <w:rPr>
                                <w:rFonts w:ascii="Arial" w:hAnsi="Arial" w:cs="Arial"/>
                                <w:sz w:val="40"/>
                                <w:szCs w:val="40"/>
                              </w:rPr>
                              <w:t xml:space="preserve"> 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7802A" id="_x0000_t202" coordsize="21600,21600" o:spt="202" path="m,l,21600r21600,l21600,xe">
                <v:stroke joinstyle="miter"/>
                <v:path gradientshapeok="t" o:connecttype="rect"/>
              </v:shapetype>
              <v:shape id="Zone de texte 5" o:spid="_x0000_s1026" type="#_x0000_t202" style="position:absolute;left:0;text-align:left;margin-left:212.45pt;margin-top:29.4pt;width:1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" stroked="f">
                <v:textbox inset="0,0,0,0">
                  <w:txbxContent>
                    <w:p w14:paraId="2401B093" w14:textId="77777777" w:rsidR="00F368F4" w:rsidRPr="00A1709C" w:rsidRDefault="00F368F4" w:rsidP="00F368F4">
                      <w:pPr>
                        <w:rPr>
                          <w:rFonts w:ascii="Arial" w:hAnsi="Arial" w:cs="Arial"/>
                          <w:sz w:val="40"/>
                          <w:szCs w:val="40"/>
                        </w:rPr>
                      </w:pPr>
                      <w:r w:rsidRPr="00A1709C">
                        <w:rPr>
                          <w:rFonts w:ascii="Arial" w:hAnsi="Arial" w:cs="Arial"/>
                          <w:sz w:val="40"/>
                          <w:szCs w:val="40"/>
                        </w:rPr>
                        <w:t xml:space="preserve">48 R </w:t>
                      </w:r>
                      <w:r>
                        <w:rPr>
                          <w:rFonts w:ascii="Arial" w:hAnsi="Arial" w:cs="Arial"/>
                          <w:sz w:val="40"/>
                          <w:szCs w:val="40"/>
                        </w:rPr>
                        <w:t xml:space="preserve">- </w:t>
                      </w:r>
                      <w:r w:rsidRPr="00A1709C">
                        <w:rPr>
                          <w:rFonts w:ascii="Arial" w:hAnsi="Arial" w:cs="Arial"/>
                          <w:sz w:val="40"/>
                          <w:szCs w:val="40"/>
                        </w:rPr>
                        <w:t>0</w:t>
                      </w:r>
                      <w:r>
                        <w:rPr>
                          <w:rFonts w:ascii="Arial" w:hAnsi="Arial" w:cs="Arial"/>
                          <w:sz w:val="40"/>
                          <w:szCs w:val="40"/>
                        </w:rPr>
                        <w:t>7</w:t>
                      </w:r>
                      <w:r w:rsidRPr="00A1709C">
                        <w:rPr>
                          <w:rFonts w:ascii="Arial" w:hAnsi="Arial" w:cs="Arial"/>
                          <w:sz w:val="40"/>
                          <w:szCs w:val="40"/>
                        </w:rPr>
                        <w:t xml:space="preserve"> 2439</w:t>
                      </w:r>
                    </w:p>
                  </w:txbxContent>
                </v:textbox>
              </v:shape>
            </w:pict>
          </mc:Fallback>
        </mc:AlternateContent>
      </w:r>
      <w:r w:rsidR="00C262D0" w:rsidRPr="005B0501">
        <w:object w:dxaOrig="8430" w:dyaOrig="1586" w14:anchorId="38548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65pt;height:85.25pt" o:ole="" o:bordertopcolor="this" o:borderleftcolor="this" o:borderbottomcolor="this" o:borderrightcolor="this">
            <v:imagedata r:id="rId8" o:title="" cropleft="2865f" cropright="2688f"/>
            <o:lock v:ext="edit" aspectratio="f"/>
          </v:shape>
          <o:OLEObject Type="Embed" ProgID="Word.Picture.8" ShapeID="_x0000_i1025" DrawAspect="Content" ObjectID="_1723975424" r:id="rId9"/>
        </w:object>
      </w:r>
    </w:p>
    <w:p w14:paraId="709D80B0" w14:textId="4217AB64" w:rsidR="00F368F4" w:rsidRPr="005B0501" w:rsidRDefault="00F368F4" w:rsidP="007C6E2A">
      <w:pPr>
        <w:pStyle w:val="SingleTxtG"/>
        <w:jc w:val="right"/>
      </w:pPr>
      <w:r w:rsidRPr="005B0501">
        <w:t>a = 8 mm min.</w:t>
      </w:r>
    </w:p>
    <w:p w14:paraId="655EC2C4" w14:textId="50212AAD" w:rsidR="00F368F4" w:rsidRPr="005B0501" w:rsidRDefault="00F368F4" w:rsidP="007C6E2A">
      <w:pPr>
        <w:pStyle w:val="SingleTxtG"/>
        <w:ind w:firstLine="567"/>
      </w:pPr>
      <w:r w:rsidRPr="005B0501">
        <w:rPr>
          <w:lang w:eastAsia="fr-FR"/>
        </w:rPr>
        <w:t xml:space="preserve">La marque d’homologation ci-dessus, apposée sur un véhicule, indique que le type de ce véhicule a été homologué aux Pays-Bas (E 4), en ce qui concerne l’installation de dispositifs d’éclairage et de signalisation lumineuse, en application du Règlement ONU </w:t>
      </w:r>
      <w:r w:rsidRPr="005B0501">
        <w:rPr>
          <w:rFonts w:eastAsia="MS Mincho"/>
        </w:rPr>
        <w:t>n</w:t>
      </w:r>
      <w:r w:rsidRPr="005B0501">
        <w:rPr>
          <w:rFonts w:eastAsia="MS Mincho"/>
          <w:vertAlign w:val="superscript"/>
        </w:rPr>
        <w:t>o</w:t>
      </w:r>
      <w:r w:rsidRPr="005B0501">
        <w:rPr>
          <w:rFonts w:eastAsia="MS Mincho"/>
        </w:rPr>
        <w:t> </w:t>
      </w:r>
      <w:r w:rsidRPr="005B0501">
        <w:rPr>
          <w:lang w:eastAsia="fr-FR"/>
        </w:rPr>
        <w:t>48 tel que modifié par la série</w:t>
      </w:r>
      <w:r w:rsidR="00C262D0">
        <w:rPr>
          <w:lang w:eastAsia="fr-FR"/>
        </w:rPr>
        <w:t xml:space="preserve"> </w:t>
      </w:r>
      <w:r w:rsidRPr="005B0501">
        <w:rPr>
          <w:lang w:eastAsia="fr-FR"/>
        </w:rPr>
        <w:t xml:space="preserve">07 d’amendements. Le numéro d’homologation indique que l’homologation a été accordée conformément aux prescriptions du Règlement ONU </w:t>
      </w:r>
      <w:r w:rsidRPr="005B0501">
        <w:rPr>
          <w:rFonts w:eastAsia="MS Mincho"/>
        </w:rPr>
        <w:t>n</w:t>
      </w:r>
      <w:r w:rsidRPr="005B0501">
        <w:rPr>
          <w:rFonts w:eastAsia="MS Mincho"/>
          <w:vertAlign w:val="superscript"/>
        </w:rPr>
        <w:t>o</w:t>
      </w:r>
      <w:r w:rsidRPr="005B0501">
        <w:rPr>
          <w:rFonts w:eastAsia="MS Mincho"/>
        </w:rPr>
        <w:t> </w:t>
      </w:r>
      <w:r w:rsidRPr="005B0501">
        <w:rPr>
          <w:lang w:eastAsia="fr-FR"/>
        </w:rPr>
        <w:t>48 tel que modifié par la série</w:t>
      </w:r>
      <w:r w:rsidR="00571590">
        <w:rPr>
          <w:lang w:eastAsia="fr-FR"/>
        </w:rPr>
        <w:t xml:space="preserve"> </w:t>
      </w:r>
      <w:r w:rsidRPr="005B0501">
        <w:rPr>
          <w:lang w:eastAsia="fr-FR"/>
        </w:rPr>
        <w:t>07 d’amendements.</w:t>
      </w:r>
    </w:p>
    <w:p w14:paraId="7F62C984" w14:textId="77777777" w:rsidR="00F368F4" w:rsidRPr="005B0501" w:rsidRDefault="00F368F4" w:rsidP="00C262D0">
      <w:pPr>
        <w:pStyle w:val="SingleTxtG"/>
        <w:keepNext/>
      </w:pPr>
      <w:r w:rsidRPr="005B0501">
        <w:lastRenderedPageBreak/>
        <w:t xml:space="preserve">Modèle B </w:t>
      </w:r>
      <w:r w:rsidRPr="005B0501">
        <w:br/>
        <w:t>(</w:t>
      </w:r>
      <w:r w:rsidRPr="005B0501">
        <w:rPr>
          <w:lang w:eastAsia="fr-FR"/>
        </w:rPr>
        <w:t>Voir par. 4.5 du présent Règlement</w:t>
      </w:r>
      <w:r w:rsidRPr="005B0501">
        <w:t>)</w:t>
      </w:r>
    </w:p>
    <w:p w14:paraId="1C934B42" w14:textId="77777777" w:rsidR="00C262D0" w:rsidRDefault="00C262D0" w:rsidP="00C262D0">
      <w:pPr>
        <w:pStyle w:val="SingleTxtG"/>
      </w:pPr>
      <w:r w:rsidRPr="005B0501">
        <w:object w:dxaOrig="8505" w:dyaOrig="1590" w14:anchorId="1E425698">
          <v:shape id="_x0000_i1026" type="#_x0000_t75" style="width:368.65pt;height:85.25pt" o:ole="">
            <v:imagedata r:id="rId10" o:title="" cropleft="2577f" cropright="1660f"/>
            <o:lock v:ext="edit" aspectratio="f"/>
          </v:shape>
          <o:OLEObject Type="Embed" ProgID="Word.Picture.8" ShapeID="_x0000_i1026" DrawAspect="Content" ObjectID="_1723975425" r:id="rId11"/>
        </w:object>
      </w:r>
    </w:p>
    <w:p w14:paraId="0BD9D7E0" w14:textId="255A8454" w:rsidR="00F368F4" w:rsidRPr="005B0501" w:rsidRDefault="00F368F4" w:rsidP="00C262D0">
      <w:pPr>
        <w:pStyle w:val="SingleTxtG"/>
        <w:jc w:val="right"/>
      </w:pPr>
      <w:r w:rsidRPr="005B0501">
        <w:rPr>
          <w:noProof/>
          <w:lang w:eastAsia="fr-CH"/>
        </w:rPr>
        <mc:AlternateContent>
          <mc:Choice Requires="wps">
            <w:drawing>
              <wp:anchor distT="0" distB="0" distL="114300" distR="114300" simplePos="0" relativeHeight="251660288" behindDoc="0" locked="0" layoutInCell="1" allowOverlap="1" wp14:anchorId="1361B05F" wp14:editId="25B7E4DC">
                <wp:simplePos x="0" y="0"/>
                <wp:positionH relativeFrom="column">
                  <wp:posOffset>-2513965</wp:posOffset>
                </wp:positionH>
                <wp:positionV relativeFrom="paragraph">
                  <wp:posOffset>16510</wp:posOffset>
                </wp:positionV>
                <wp:extent cx="1440180" cy="372110"/>
                <wp:effectExtent l="0" t="0" r="26670" b="2794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72110"/>
                        </a:xfrm>
                        <a:prstGeom prst="rect">
                          <a:avLst/>
                        </a:prstGeom>
                        <a:solidFill>
                          <a:srgbClr val="FFFFFF"/>
                        </a:solidFill>
                        <a:ln w="12700">
                          <a:solidFill>
                            <a:srgbClr val="000000"/>
                          </a:solidFill>
                          <a:miter lim="800000"/>
                          <a:headEnd/>
                          <a:tailEnd/>
                        </a:ln>
                      </wps:spPr>
                      <wps:txbx>
                        <w:txbxContent>
                          <w:p w14:paraId="76432206" w14:textId="77777777" w:rsidR="00F368F4" w:rsidRPr="002218D4" w:rsidRDefault="00F368F4" w:rsidP="00F368F4">
                            <w:pPr>
                              <w:spacing w:line="300" w:lineRule="atLeast"/>
                              <w:rPr>
                                <w:rFonts w:ascii="Arial" w:hAnsi="Arial" w:cs="Arial"/>
                                <w:sz w:val="48"/>
                                <w:szCs w:val="48"/>
                              </w:rPr>
                            </w:pPr>
                            <w:r w:rsidRPr="002218D4">
                              <w:rPr>
                                <w:rFonts w:ascii="Arial" w:hAnsi="Arial" w:cs="Arial"/>
                                <w:sz w:val="48"/>
                                <w:szCs w:val="48"/>
                              </w:rPr>
                              <w:t>04 2439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1B05F" id="Zone de texte 11" o:spid="_x0000_s1027" type="#_x0000_t202" style="position:absolute;left:0;text-align:left;margin-left:-197.95pt;margin-top:1.3pt;width:113.4pt;height: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" strokeweight="1pt">
                <v:textbox>
                  <w:txbxContent>
                    <w:p w14:paraId="76432206" w14:textId="77777777" w:rsidR="00F368F4" w:rsidRPr="002218D4" w:rsidRDefault="00F368F4" w:rsidP="00F368F4">
                      <w:pPr>
                        <w:spacing w:line="300" w:lineRule="atLeast"/>
                        <w:rPr>
                          <w:rFonts w:ascii="Arial" w:hAnsi="Arial" w:cs="Arial"/>
                          <w:sz w:val="48"/>
                          <w:szCs w:val="48"/>
                        </w:rPr>
                      </w:pPr>
                      <w:r w:rsidRPr="002218D4">
                        <w:rPr>
                          <w:rFonts w:ascii="Arial" w:hAnsi="Arial" w:cs="Arial"/>
                          <w:sz w:val="48"/>
                          <w:szCs w:val="48"/>
                        </w:rPr>
                        <w:t>04 2439</w:t>
                      </w:r>
                    </w:p>
                  </w:txbxContent>
                </v:textbox>
              </v:shape>
            </w:pict>
          </mc:Fallback>
        </mc:AlternateContent>
      </w:r>
      <w:r w:rsidRPr="005B0501">
        <w:t>a = 8 mm min.</w:t>
      </w:r>
    </w:p>
    <w:p w14:paraId="3F3B56DC" w14:textId="5187F5C6" w:rsidR="00F368F4" w:rsidRPr="005B0501" w:rsidRDefault="00F368F4" w:rsidP="00C262D0">
      <w:pPr>
        <w:pStyle w:val="SingleTxtG"/>
        <w:ind w:firstLine="567"/>
        <w:rPr>
          <w:lang w:eastAsia="fr-FR"/>
        </w:rPr>
      </w:pPr>
      <w:bookmarkStart w:id="7" w:name="_Toc338161453"/>
      <w:bookmarkEnd w:id="7"/>
      <w:r w:rsidRPr="005B0501">
        <w:rPr>
          <w:lang w:eastAsia="fr-FR"/>
        </w:rPr>
        <w:t>La marque d’homologation ci-dessus, apposée sur un véhicule, indique que le type de ce véhicule a été homologué aux Pays-Bas (E 4), en application du Règlement</w:t>
      </w:r>
      <w:r w:rsidR="00C262D0">
        <w:rPr>
          <w:lang w:eastAsia="fr-FR"/>
        </w:rPr>
        <w:t xml:space="preserve"> </w:t>
      </w:r>
      <w:r w:rsidRPr="005B0501">
        <w:rPr>
          <w:lang w:eastAsia="fr-FR"/>
        </w:rPr>
        <w:t xml:space="preserve">ONU </w:t>
      </w:r>
      <w:r w:rsidRPr="005B0501">
        <w:rPr>
          <w:rFonts w:eastAsia="MS Mincho"/>
        </w:rPr>
        <w:t>n</w:t>
      </w:r>
      <w:r w:rsidRPr="005B0501">
        <w:rPr>
          <w:rFonts w:eastAsia="MS Mincho"/>
          <w:vertAlign w:val="superscript"/>
        </w:rPr>
        <w:t>o</w:t>
      </w:r>
      <w:r w:rsidRPr="005B0501">
        <w:rPr>
          <w:rFonts w:eastAsia="MS Mincho"/>
        </w:rPr>
        <w:t> </w:t>
      </w:r>
      <w:r w:rsidRPr="005B0501">
        <w:rPr>
          <w:lang w:eastAsia="fr-FR"/>
        </w:rPr>
        <w:t>48 tel que modifié par la série</w:t>
      </w:r>
      <w:r w:rsidR="00C262D0">
        <w:rPr>
          <w:lang w:eastAsia="fr-FR"/>
        </w:rPr>
        <w:t xml:space="preserve"> </w:t>
      </w:r>
      <w:r w:rsidRPr="005B0501">
        <w:rPr>
          <w:lang w:eastAsia="fr-FR"/>
        </w:rPr>
        <w:t>07 d’amendements et du Règlement</w:t>
      </w:r>
      <w:r w:rsidR="00C262D0">
        <w:rPr>
          <w:lang w:eastAsia="fr-FR"/>
        </w:rPr>
        <w:t xml:space="preserve"> </w:t>
      </w:r>
      <w:r w:rsidRPr="005B0501">
        <w:rPr>
          <w:lang w:eastAsia="fr-FR"/>
        </w:rPr>
        <w:t xml:space="preserve">ONU </w:t>
      </w:r>
      <w:r w:rsidRPr="005B0501">
        <w:rPr>
          <w:rFonts w:eastAsia="MS Mincho"/>
        </w:rPr>
        <w:t>n</w:t>
      </w:r>
      <w:r w:rsidRPr="005B0501">
        <w:rPr>
          <w:rFonts w:eastAsia="MS Mincho"/>
          <w:vertAlign w:val="superscript"/>
        </w:rPr>
        <w:t>o</w:t>
      </w:r>
      <w:r w:rsidRPr="005B0501">
        <w:rPr>
          <w:rFonts w:eastAsia="MS Mincho"/>
        </w:rPr>
        <w:t> </w:t>
      </w:r>
      <w:r w:rsidRPr="005B0501">
        <w:rPr>
          <w:lang w:eastAsia="fr-FR"/>
        </w:rPr>
        <w:t>33</w:t>
      </w:r>
      <w:r w:rsidRPr="005B0501">
        <w:rPr>
          <w:sz w:val="18"/>
          <w:szCs w:val="18"/>
          <w:vertAlign w:val="superscript"/>
          <w:lang w:eastAsia="fr-FR"/>
        </w:rPr>
        <w:t>1</w:t>
      </w:r>
      <w:r w:rsidRPr="005B0501">
        <w:rPr>
          <w:lang w:eastAsia="fr-FR"/>
        </w:rPr>
        <w:t xml:space="preserve">. Le numéro d’homologation indique qu’aux dates auxquelles les homologations respectives ont été accordées, le Règlement ONU </w:t>
      </w:r>
      <w:r w:rsidRPr="005B0501">
        <w:rPr>
          <w:rFonts w:eastAsia="MS Mincho"/>
        </w:rPr>
        <w:t>n</w:t>
      </w:r>
      <w:r w:rsidRPr="005B0501">
        <w:rPr>
          <w:rFonts w:eastAsia="MS Mincho"/>
          <w:vertAlign w:val="superscript"/>
        </w:rPr>
        <w:t>o</w:t>
      </w:r>
      <w:r w:rsidRPr="005B0501">
        <w:rPr>
          <w:rFonts w:eastAsia="MS Mincho"/>
        </w:rPr>
        <w:t> </w:t>
      </w:r>
      <w:r w:rsidRPr="005B0501">
        <w:rPr>
          <w:lang w:eastAsia="fr-FR"/>
        </w:rPr>
        <w:t>48 avait déjà été modifié par la série</w:t>
      </w:r>
      <w:r w:rsidR="00C262D0">
        <w:rPr>
          <w:lang w:eastAsia="fr-FR"/>
        </w:rPr>
        <w:t xml:space="preserve"> </w:t>
      </w:r>
      <w:r w:rsidRPr="005B0501">
        <w:rPr>
          <w:lang w:eastAsia="fr-FR"/>
        </w:rPr>
        <w:t xml:space="preserve">07 d’amendements et que le Règlement ONU </w:t>
      </w:r>
      <w:r w:rsidRPr="005B0501">
        <w:rPr>
          <w:rFonts w:eastAsia="MS Mincho"/>
        </w:rPr>
        <w:t>n</w:t>
      </w:r>
      <w:r w:rsidRPr="005B0501">
        <w:rPr>
          <w:rFonts w:eastAsia="MS Mincho"/>
          <w:vertAlign w:val="superscript"/>
        </w:rPr>
        <w:t>o</w:t>
      </w:r>
      <w:r w:rsidRPr="005B0501">
        <w:rPr>
          <w:rFonts w:eastAsia="MS Mincho"/>
        </w:rPr>
        <w:t> </w:t>
      </w:r>
      <w:r w:rsidRPr="005B0501">
        <w:rPr>
          <w:lang w:eastAsia="fr-FR"/>
        </w:rPr>
        <w:t>33 était encore sous sa forme originale.</w:t>
      </w:r>
    </w:p>
    <w:p w14:paraId="5268CCBF" w14:textId="77777777" w:rsidR="004B55BF" w:rsidRPr="005B0501" w:rsidRDefault="004B55BF" w:rsidP="004B55BF">
      <w:pPr>
        <w:tabs>
          <w:tab w:val="left" w:pos="6516"/>
        </w:tabs>
        <w:spacing w:after="120"/>
        <w:ind w:left="737"/>
        <w:jc w:val="both"/>
        <w:rPr>
          <w:rFonts w:eastAsia="Calibri"/>
          <w:sz w:val="18"/>
          <w:szCs w:val="18"/>
        </w:rPr>
      </w:pPr>
      <w:r w:rsidRPr="005B0501">
        <w:rPr>
          <w:rFonts w:eastAsia="Calibri"/>
          <w:sz w:val="18"/>
          <w:szCs w:val="18"/>
        </w:rPr>
        <w:t>________________</w:t>
      </w:r>
    </w:p>
    <w:p w14:paraId="65DB1E28" w14:textId="550AD066" w:rsidR="00F368F4" w:rsidRPr="005B0501" w:rsidRDefault="004B55BF" w:rsidP="005A3A19">
      <w:pPr>
        <w:pStyle w:val="Notedebasdepage"/>
        <w:spacing w:after="240"/>
      </w:pPr>
      <w:r w:rsidRPr="004B55BF">
        <w:rPr>
          <w:rFonts w:eastAsia="Calibri"/>
          <w:szCs w:val="18"/>
        </w:rPr>
        <w:tab/>
      </w:r>
      <w:r w:rsidR="00F368F4" w:rsidRPr="005B0501">
        <w:rPr>
          <w:rFonts w:eastAsia="Calibri"/>
          <w:szCs w:val="18"/>
          <w:vertAlign w:val="superscript"/>
        </w:rPr>
        <w:t>1</w:t>
      </w:r>
      <w:r w:rsidR="00F368F4" w:rsidRPr="005B0501">
        <w:rPr>
          <w:rFonts w:eastAsia="Calibri"/>
          <w:szCs w:val="18"/>
        </w:rPr>
        <w:tab/>
        <w:t>Ce dernier numéro n’est donné qu’à titre d’exemple.</w:t>
      </w:r>
      <w:r w:rsidR="005B0501">
        <w:t> </w:t>
      </w:r>
      <w:r w:rsidR="005B0501" w:rsidRPr="004B55BF">
        <w:rPr>
          <w:sz w:val="20"/>
        </w:rPr>
        <w:t>»</w:t>
      </w:r>
      <w:r w:rsidR="00F368F4" w:rsidRPr="004B55BF">
        <w:rPr>
          <w:rFonts w:eastAsia="Calibri"/>
          <w:sz w:val="20"/>
        </w:rPr>
        <w:t>.</w:t>
      </w:r>
    </w:p>
    <w:p w14:paraId="2220D287" w14:textId="0338228B" w:rsidR="00F368F4" w:rsidRPr="005B0501" w:rsidRDefault="00F368F4" w:rsidP="004E58D6">
      <w:pPr>
        <w:pStyle w:val="SingleTxtG"/>
        <w:keepNext/>
        <w:rPr>
          <w:b/>
        </w:rPr>
      </w:pPr>
      <w:r w:rsidRPr="004E58D6">
        <w:rPr>
          <w:i/>
          <w:iCs/>
        </w:rPr>
        <w:t>Annexe</w:t>
      </w:r>
      <w:r w:rsidRPr="005B0501">
        <w:rPr>
          <w:i/>
          <w:szCs w:val="16"/>
        </w:rPr>
        <w:t xml:space="preserve"> 6</w:t>
      </w:r>
      <w:r w:rsidRPr="005B0501">
        <w:rPr>
          <w:rFonts w:eastAsia="MS Mincho"/>
          <w:szCs w:val="16"/>
        </w:rPr>
        <w:t xml:space="preserve">, </w:t>
      </w:r>
      <w:r w:rsidRPr="005B0501">
        <w:rPr>
          <w:rFonts w:eastAsia="MS Mincho"/>
          <w:i/>
          <w:iCs/>
          <w:szCs w:val="16"/>
        </w:rPr>
        <w:t>paragraphe 5.4.3</w:t>
      </w:r>
      <w:r w:rsidRPr="00C262D0">
        <w:rPr>
          <w:rFonts w:eastAsia="MS Mincho"/>
          <w:szCs w:val="16"/>
        </w:rPr>
        <w:t>, l</w:t>
      </w:r>
      <w:r w:rsidRPr="005B0501">
        <w:rPr>
          <w:rFonts w:eastAsia="MS Mincho"/>
          <w:szCs w:val="16"/>
        </w:rPr>
        <w:t>ire</w:t>
      </w:r>
      <w:r w:rsidR="00EB6374" w:rsidRPr="005B0501">
        <w:rPr>
          <w:rFonts w:eastAsia="MS Mincho"/>
          <w:szCs w:val="16"/>
        </w:rPr>
        <w:t> :</w:t>
      </w:r>
    </w:p>
    <w:p w14:paraId="60395165" w14:textId="792A3481" w:rsidR="00F368F4" w:rsidRPr="005B0501" w:rsidRDefault="005B0501" w:rsidP="00C262D0">
      <w:pPr>
        <w:pStyle w:val="SingleTxtG"/>
        <w:ind w:left="2268" w:hanging="1134"/>
      </w:pPr>
      <w:r w:rsidRPr="005B0501">
        <w:t>«</w:t>
      </w:r>
      <w:r>
        <w:t> </w:t>
      </w:r>
      <w:r w:rsidR="00F368F4" w:rsidRPr="005B0501">
        <w:t>5.4.3</w:t>
      </w:r>
      <w:r w:rsidR="00F368F4" w:rsidRPr="005B0501">
        <w:tab/>
      </w:r>
      <w:r w:rsidR="00F368F4" w:rsidRPr="005B0501">
        <w:tab/>
      </w:r>
      <w:r w:rsidR="00F368F4" w:rsidRPr="00C262D0">
        <w:rPr>
          <w:rFonts w:eastAsia="Calibri"/>
        </w:rPr>
        <w:t>Véhicules</w:t>
      </w:r>
      <w:r w:rsidR="00F368F4" w:rsidRPr="005B0501">
        <w:rPr>
          <w:lang w:eastAsia="fr-FR"/>
        </w:rPr>
        <w:t xml:space="preserve"> dont la suspension n’est pas classique et qui nécessitent la mise en</w:t>
      </w:r>
      <w:r w:rsidR="00C262D0">
        <w:rPr>
          <w:lang w:eastAsia="fr-FR"/>
        </w:rPr>
        <w:t xml:space="preserve"> </w:t>
      </w:r>
      <w:r w:rsidR="00F368F4" w:rsidRPr="005B0501">
        <w:rPr>
          <w:lang w:eastAsia="fr-FR"/>
        </w:rPr>
        <w:t xml:space="preserve">marche du </w:t>
      </w:r>
      <w:r w:rsidR="00F368F4" w:rsidRPr="005B0501">
        <w:t>système de propulsion.</w:t>
      </w:r>
    </w:p>
    <w:p w14:paraId="11F46D0E" w14:textId="43268AA7" w:rsidR="00F368F4" w:rsidRPr="005B0501" w:rsidRDefault="00F368F4" w:rsidP="00C262D0">
      <w:pPr>
        <w:pStyle w:val="SingleTxtG"/>
        <w:ind w:left="2268"/>
      </w:pPr>
      <w:r w:rsidRPr="00C262D0">
        <w:rPr>
          <w:b/>
          <w:bCs/>
          <w:lang w:eastAsia="fr-FR"/>
        </w:rPr>
        <w:t>Avant de procéder à quelque mesure que ce soit, attendre que le véhicule se soit immobilisé avec le moteur en marche.</w:t>
      </w:r>
      <w:r w:rsidR="005B0501">
        <w:t> </w:t>
      </w:r>
      <w:r w:rsidR="005B0501" w:rsidRPr="005B0501">
        <w:t>»</w:t>
      </w:r>
      <w:r w:rsidRPr="005B0501">
        <w:t>.</w:t>
      </w:r>
    </w:p>
    <w:p w14:paraId="690871FF" w14:textId="566DDC0F" w:rsidR="00F368F4" w:rsidRPr="005B0501" w:rsidRDefault="004B55BF" w:rsidP="004B55BF">
      <w:pPr>
        <w:pStyle w:val="H1G"/>
        <w:rPr>
          <w:rFonts w:eastAsia="SimSun"/>
        </w:rPr>
      </w:pPr>
      <w:r>
        <w:rPr>
          <w:bCs/>
        </w:rPr>
        <w:tab/>
      </w:r>
      <w:r w:rsidR="00F368F4" w:rsidRPr="005B0501">
        <w:rPr>
          <w:bCs/>
        </w:rPr>
        <w:t>C.</w:t>
      </w:r>
      <w:r w:rsidR="00F368F4" w:rsidRPr="005B0501">
        <w:tab/>
        <w:t>Proposition de nouveau complément à la série 08 d’amendements au</w:t>
      </w:r>
      <w:r w:rsidR="00C262D0">
        <w:t> </w:t>
      </w:r>
      <w:r w:rsidR="00F368F4" w:rsidRPr="005B0501">
        <w:t xml:space="preserve">Règlement ONU </w:t>
      </w:r>
      <w:r w:rsidR="00F368F4" w:rsidRPr="005B0501">
        <w:rPr>
          <w:rFonts w:eastAsia="MS Mincho"/>
          <w:bCs/>
        </w:rPr>
        <w:t>n</w:t>
      </w:r>
      <w:r w:rsidR="00F368F4" w:rsidRPr="005B0501">
        <w:rPr>
          <w:rFonts w:eastAsia="MS Mincho"/>
          <w:bCs/>
          <w:vertAlign w:val="superscript"/>
        </w:rPr>
        <w:t>o</w:t>
      </w:r>
      <w:r w:rsidR="00F368F4" w:rsidRPr="005B0501">
        <w:rPr>
          <w:rFonts w:eastAsia="MS Mincho"/>
        </w:rPr>
        <w:t> </w:t>
      </w:r>
      <w:r w:rsidR="00F368F4" w:rsidRPr="005B0501">
        <w:t>48</w:t>
      </w:r>
    </w:p>
    <w:p w14:paraId="040A4185" w14:textId="46DEBBE6" w:rsidR="00F368F4" w:rsidRPr="005B0501" w:rsidRDefault="00F368F4" w:rsidP="004E58D6">
      <w:pPr>
        <w:pStyle w:val="SingleTxtG"/>
        <w:keepNext/>
      </w:pPr>
      <w:r w:rsidRPr="004E58D6">
        <w:rPr>
          <w:i/>
          <w:iCs/>
        </w:rPr>
        <w:t>Paragraphe</w:t>
      </w:r>
      <w:r w:rsidRPr="005B0501">
        <w:rPr>
          <w:i/>
        </w:rPr>
        <w:t xml:space="preserve"> 2.3.11</w:t>
      </w:r>
      <w:r w:rsidRPr="005B0501">
        <w:t>, lire</w:t>
      </w:r>
      <w:r w:rsidR="00EB6374" w:rsidRPr="005B0501">
        <w:t> :</w:t>
      </w:r>
    </w:p>
    <w:p w14:paraId="188044CA" w14:textId="00DEEB3D" w:rsidR="00F368F4" w:rsidRPr="005B0501" w:rsidRDefault="005B0501" w:rsidP="00295078">
      <w:pPr>
        <w:pStyle w:val="SingleTxtG"/>
        <w:ind w:left="2268" w:hanging="1134"/>
        <w:rPr>
          <w:rFonts w:eastAsia="Calibri"/>
          <w:lang w:eastAsia="fr-FR"/>
        </w:rPr>
      </w:pPr>
      <w:r w:rsidRPr="005B0501">
        <w:t>«</w:t>
      </w:r>
      <w:r>
        <w:t> </w:t>
      </w:r>
      <w:r w:rsidR="00F368F4" w:rsidRPr="005B0501">
        <w:t>2.3.11</w:t>
      </w:r>
      <w:r w:rsidR="00F368F4" w:rsidRPr="005B0501">
        <w:tab/>
      </w:r>
      <w:r w:rsidR="00F368F4" w:rsidRPr="005B0501">
        <w:rPr>
          <w:rFonts w:eastAsia="Calibri"/>
          <w:lang w:eastAsia="fr-FR"/>
        </w:rPr>
        <w:t>“</w:t>
      </w:r>
      <w:r w:rsidR="00F368F4" w:rsidRPr="005B0501">
        <w:rPr>
          <w:rFonts w:eastAsia="Calibri"/>
          <w:i/>
          <w:lang w:eastAsia="fr-FR"/>
        </w:rPr>
        <w:t>Arrêt d’un véhicule</w:t>
      </w:r>
      <w:r w:rsidR="00F368F4" w:rsidRPr="005B0501">
        <w:rPr>
          <w:rFonts w:eastAsia="Calibri"/>
          <w:lang w:eastAsia="fr-FR"/>
        </w:rPr>
        <w:t>”</w:t>
      </w:r>
    </w:p>
    <w:p w14:paraId="0BDBB913" w14:textId="3B364C9A" w:rsidR="00F368F4" w:rsidRPr="005B0501" w:rsidRDefault="00F368F4" w:rsidP="00295078">
      <w:pPr>
        <w:pStyle w:val="SingleTxtG"/>
        <w:ind w:left="2268" w:hanging="1134"/>
        <w:rPr>
          <w:rFonts w:eastAsia="Calibri"/>
        </w:rPr>
      </w:pPr>
      <w:r w:rsidRPr="005B0501">
        <w:rPr>
          <w:rFonts w:eastAsia="Calibri"/>
          <w:lang w:eastAsia="fr-FR"/>
        </w:rPr>
        <w:t>2.3.11</w:t>
      </w:r>
      <w:r w:rsidRPr="005B0501">
        <w:rPr>
          <w:rFonts w:eastAsia="Calibri"/>
        </w:rPr>
        <w:t>.1</w:t>
      </w:r>
      <w:r w:rsidRPr="005B0501">
        <w:rPr>
          <w:rFonts w:eastAsia="Calibri"/>
        </w:rPr>
        <w:tab/>
      </w:r>
      <w:r w:rsidRPr="005B0501">
        <w:rPr>
          <w:rFonts w:eastAsia="Calibri"/>
        </w:rPr>
        <w:tab/>
      </w:r>
      <w:r w:rsidRPr="00295078">
        <w:t>Pour</w:t>
      </w:r>
      <w:r w:rsidRPr="005B0501">
        <w:rPr>
          <w:rFonts w:eastAsia="Calibri"/>
        </w:rPr>
        <w:t xml:space="preserve"> un véhicule à moteur, la situation dans laquelle il se trouve lorsqu’il est immobile, que son système de propulsion est arrêté et que ses éléments mobiles sont dans la (les) position(s) normale(s) définie(s) au paragraphe 2.3.9</w:t>
      </w:r>
      <w:r w:rsidR="00EB6374" w:rsidRPr="005B0501">
        <w:rPr>
          <w:rFonts w:eastAsia="Calibri"/>
        </w:rPr>
        <w:t> ;</w:t>
      </w:r>
    </w:p>
    <w:p w14:paraId="0757D084" w14:textId="4F4E3E78" w:rsidR="00F368F4" w:rsidRPr="005B0501" w:rsidRDefault="00F368F4" w:rsidP="00295078">
      <w:pPr>
        <w:pStyle w:val="SingleTxtG"/>
        <w:ind w:left="2268" w:hanging="1134"/>
        <w:rPr>
          <w:b/>
          <w:bCs/>
        </w:rPr>
      </w:pPr>
      <w:r w:rsidRPr="005B0501">
        <w:rPr>
          <w:rFonts w:eastAsia="Calibri"/>
          <w:b/>
          <w:bCs/>
        </w:rPr>
        <w:t>2.3.11.2</w:t>
      </w:r>
      <w:r w:rsidRPr="005B0501">
        <w:rPr>
          <w:rFonts w:eastAsia="Calibri"/>
        </w:rPr>
        <w:tab/>
      </w:r>
      <w:r w:rsidRPr="005B0501">
        <w:rPr>
          <w:rFonts w:eastAsia="Calibri"/>
          <w:b/>
          <w:bCs/>
        </w:rPr>
        <w:t>Pour une remorque, la situation dans laquelle se trouve la remorque lorsqu’elle est attelée à un véhicule à moteur se trouvant dans les conditions définies au paragraphe</w:t>
      </w:r>
      <w:r w:rsidR="00C262D0">
        <w:rPr>
          <w:rFonts w:eastAsia="Calibri"/>
          <w:b/>
          <w:bCs/>
        </w:rPr>
        <w:t xml:space="preserve"> </w:t>
      </w:r>
      <w:r w:rsidRPr="005B0501">
        <w:rPr>
          <w:rFonts w:eastAsia="Calibri"/>
          <w:b/>
          <w:bCs/>
        </w:rPr>
        <w:t>2.3.11.1 et que ses éléments mobiles sont dans la (les) position(s) normale(s) définie(s) au paragraphe</w:t>
      </w:r>
      <w:r w:rsidR="00C262D0">
        <w:rPr>
          <w:rFonts w:eastAsia="Calibri"/>
          <w:b/>
          <w:bCs/>
        </w:rPr>
        <w:t xml:space="preserve"> </w:t>
      </w:r>
      <w:r w:rsidRPr="005B0501">
        <w:rPr>
          <w:rFonts w:eastAsia="Calibri"/>
          <w:b/>
          <w:bCs/>
        </w:rPr>
        <w:t>2.3.9.</w:t>
      </w:r>
      <w:r w:rsidR="005B0501">
        <w:t> </w:t>
      </w:r>
      <w:r w:rsidR="005B0501" w:rsidRPr="005B0501">
        <w:t>»</w:t>
      </w:r>
      <w:r w:rsidR="00C262D0">
        <w:t>.</w:t>
      </w:r>
    </w:p>
    <w:p w14:paraId="4EE71DC9" w14:textId="1AB27AD5" w:rsidR="00F368F4" w:rsidRPr="005B0501" w:rsidRDefault="00F368F4" w:rsidP="004E58D6">
      <w:pPr>
        <w:pStyle w:val="SingleTxtG"/>
        <w:keepNext/>
        <w:rPr>
          <w:highlight w:val="yellow"/>
        </w:rPr>
      </w:pPr>
      <w:r w:rsidRPr="004E58D6">
        <w:rPr>
          <w:i/>
          <w:iCs/>
        </w:rPr>
        <w:t>Paragraphe</w:t>
      </w:r>
      <w:r w:rsidRPr="005B0501">
        <w:rPr>
          <w:i/>
        </w:rPr>
        <w:t xml:space="preserve"> 5.9.2</w:t>
      </w:r>
      <w:r w:rsidRPr="005B0501">
        <w:t>, lire</w:t>
      </w:r>
      <w:r w:rsidR="00EB6374" w:rsidRPr="005B0501">
        <w:t> :</w:t>
      </w:r>
    </w:p>
    <w:p w14:paraId="136E8CF3" w14:textId="4464C0D7" w:rsidR="00F368F4" w:rsidRPr="005B0501" w:rsidRDefault="005B0501" w:rsidP="00295078">
      <w:pPr>
        <w:pStyle w:val="SingleTxtG"/>
        <w:ind w:left="2268" w:hanging="1134"/>
      </w:pPr>
      <w:r w:rsidRPr="005B0501">
        <w:t>«</w:t>
      </w:r>
      <w:r>
        <w:t> </w:t>
      </w:r>
      <w:r w:rsidR="00F368F4" w:rsidRPr="005B0501">
        <w:t>5.9.2</w:t>
      </w:r>
      <w:r w:rsidR="00F368F4" w:rsidRPr="005B0501">
        <w:tab/>
        <w:t>Les caractéristiques photométriques de chaque feu peuvent varier</w:t>
      </w:r>
      <w:r w:rsidR="00EB6374" w:rsidRPr="005B0501">
        <w:t> :</w:t>
      </w:r>
    </w:p>
    <w:p w14:paraId="13221375" w14:textId="11BF713E" w:rsidR="00F368F4" w:rsidRPr="005B0501" w:rsidRDefault="00F368F4" w:rsidP="00C262D0">
      <w:pPr>
        <w:pStyle w:val="SingleTxtG"/>
        <w:ind w:left="2835" w:hanging="567"/>
      </w:pPr>
      <w:r w:rsidRPr="005B0501">
        <w:t>a)</w:t>
      </w:r>
      <w:r w:rsidRPr="005B0501">
        <w:tab/>
        <w:t>En fonction de la luminosité</w:t>
      </w:r>
      <w:r w:rsidR="00EB6374" w:rsidRPr="005B0501">
        <w:t> ;</w:t>
      </w:r>
    </w:p>
    <w:p w14:paraId="3AD10215" w14:textId="77777777" w:rsidR="00C262D0" w:rsidRDefault="00F368F4" w:rsidP="00C262D0">
      <w:pPr>
        <w:pStyle w:val="SingleTxtG"/>
        <w:ind w:left="2835" w:hanging="567"/>
      </w:pPr>
      <w:r w:rsidRPr="005B0501">
        <w:t>b)</w:t>
      </w:r>
      <w:r w:rsidRPr="005B0501">
        <w:tab/>
        <w:t>Du fait de l’allumage ou de l’extinction d’autres feux</w:t>
      </w:r>
      <w:r w:rsidR="00EB6374" w:rsidRPr="005B0501">
        <w:t> ;</w:t>
      </w:r>
      <w:r w:rsidRPr="005B0501">
        <w:t xml:space="preserve"> ou</w:t>
      </w:r>
    </w:p>
    <w:p w14:paraId="4D3C02E8" w14:textId="42B5281F" w:rsidR="00F368F4" w:rsidRPr="005B0501" w:rsidRDefault="00F368F4" w:rsidP="00C262D0">
      <w:pPr>
        <w:pStyle w:val="SingleTxtG"/>
        <w:ind w:left="2835" w:hanging="567"/>
      </w:pPr>
      <w:r w:rsidRPr="005B0501">
        <w:t>c)</w:t>
      </w:r>
      <w:r w:rsidRPr="005B0501">
        <w:tab/>
        <w:t>Lorsque les feux servent à assurer une autre fonction d’éclairage</w:t>
      </w:r>
      <w:r w:rsidR="00EB6374" w:rsidRPr="005B0501">
        <w:t> ;</w:t>
      </w:r>
      <w:r w:rsidRPr="005B0501">
        <w:t xml:space="preserve"> </w:t>
      </w:r>
      <w:r w:rsidRPr="005B0501">
        <w:rPr>
          <w:strike/>
        </w:rPr>
        <w:t>à condition que toute variation des caractéristiques photométriques soit conforme aux prescriptions techniques relatives au feu concerné.</w:t>
      </w:r>
    </w:p>
    <w:p w14:paraId="124859EC" w14:textId="25DA37BC" w:rsidR="00F368F4" w:rsidRPr="005B0501" w:rsidRDefault="00F368F4" w:rsidP="00C262D0">
      <w:pPr>
        <w:pStyle w:val="SingleTxtG"/>
        <w:ind w:left="2268"/>
      </w:pPr>
      <w:r w:rsidRPr="00C262D0">
        <w:rPr>
          <w:b/>
          <w:bCs/>
        </w:rPr>
        <w:t>à condition que toute variation des caractéristiques photométriques soit conforme aux prescriptions techniques relatives au feu concerné.</w:t>
      </w:r>
      <w:r w:rsidR="005B0501">
        <w:t> </w:t>
      </w:r>
      <w:r w:rsidR="005B0501" w:rsidRPr="005B0501">
        <w:t>»</w:t>
      </w:r>
      <w:r w:rsidRPr="005B0501">
        <w:t>.</w:t>
      </w:r>
    </w:p>
    <w:p w14:paraId="7CAE6BD4" w14:textId="77777777" w:rsidR="00F368F4" w:rsidRPr="005B0501" w:rsidRDefault="00F368F4" w:rsidP="00C262D0">
      <w:pPr>
        <w:pStyle w:val="SingleTxtG"/>
        <w:rPr>
          <w:szCs w:val="16"/>
        </w:rPr>
      </w:pPr>
      <w:r w:rsidRPr="004E58D6">
        <w:rPr>
          <w:i/>
          <w:iCs/>
        </w:rPr>
        <w:t>Paragraphe</w:t>
      </w:r>
      <w:r w:rsidRPr="005B0501">
        <w:rPr>
          <w:i/>
          <w:szCs w:val="16"/>
        </w:rPr>
        <w:t xml:space="preserve"> 5.21.1</w:t>
      </w:r>
      <w:r w:rsidRPr="00C262D0">
        <w:rPr>
          <w:iCs/>
          <w:szCs w:val="16"/>
        </w:rPr>
        <w:t>,</w:t>
      </w:r>
      <w:r w:rsidRPr="005B0501">
        <w:rPr>
          <w:szCs w:val="16"/>
        </w:rPr>
        <w:t xml:space="preserve"> modification sans objet en français.</w:t>
      </w:r>
    </w:p>
    <w:p w14:paraId="1B23B126" w14:textId="264DAD30" w:rsidR="00F368F4" w:rsidRPr="005B0501" w:rsidRDefault="00F368F4" w:rsidP="004E58D6">
      <w:pPr>
        <w:pStyle w:val="SingleTxtG"/>
        <w:keepNext/>
        <w:rPr>
          <w:szCs w:val="16"/>
        </w:rPr>
      </w:pPr>
      <w:r w:rsidRPr="004E58D6">
        <w:rPr>
          <w:i/>
          <w:iCs/>
        </w:rPr>
        <w:lastRenderedPageBreak/>
        <w:t>Paragraphe</w:t>
      </w:r>
      <w:r w:rsidRPr="005B0501">
        <w:rPr>
          <w:i/>
          <w:szCs w:val="16"/>
        </w:rPr>
        <w:t xml:space="preserve"> 6.1.8.1</w:t>
      </w:r>
      <w:r w:rsidRPr="00C262D0">
        <w:rPr>
          <w:iCs/>
          <w:szCs w:val="16"/>
        </w:rPr>
        <w:t>,</w:t>
      </w:r>
      <w:r w:rsidRPr="005B0501">
        <w:rPr>
          <w:szCs w:val="16"/>
        </w:rPr>
        <w:t xml:space="preserve"> lire</w:t>
      </w:r>
      <w:r w:rsidR="00EB6374" w:rsidRPr="005B0501">
        <w:rPr>
          <w:szCs w:val="16"/>
        </w:rPr>
        <w:t> :</w:t>
      </w:r>
    </w:p>
    <w:p w14:paraId="434FC9BC" w14:textId="63469E1E" w:rsidR="00F368F4" w:rsidRPr="005B0501" w:rsidRDefault="005B0501" w:rsidP="00295078">
      <w:pPr>
        <w:pStyle w:val="SingleTxtG"/>
        <w:ind w:left="2268" w:hanging="1134"/>
      </w:pPr>
      <w:r w:rsidRPr="005B0501">
        <w:t>«</w:t>
      </w:r>
      <w:r>
        <w:t> </w:t>
      </w:r>
      <w:r w:rsidR="00F368F4" w:rsidRPr="005B0501">
        <w:t>6.1.8.1</w:t>
      </w:r>
      <w:r w:rsidR="00F368F4" w:rsidRPr="005B0501">
        <w:tab/>
        <w:t xml:space="preserve">Si les feux de route sont commandés automatiquement, comme il est décrit au paragraphe </w:t>
      </w:r>
      <w:r w:rsidR="00F368F4" w:rsidRPr="005B0501">
        <w:rPr>
          <w:strike/>
        </w:rPr>
        <w:t>6.1.7.1</w:t>
      </w:r>
      <w:r w:rsidR="00F368F4" w:rsidRPr="005B0501">
        <w:t xml:space="preserve">. </w:t>
      </w:r>
      <w:r w:rsidR="00F368F4" w:rsidRPr="005B0501">
        <w:rPr>
          <w:b/>
          <w:bCs/>
        </w:rPr>
        <w:t>6.1.7.2</w:t>
      </w:r>
      <w:r w:rsidR="00F368F4" w:rsidRPr="005B0501">
        <w:t xml:space="preserve"> ci-dessus, il doit être indiqué au conducteur que la commande automatique de la fonction feu de route est activée. Cette information doit rester visible aussi longtemps que le fonctionnement automatique est activé.</w:t>
      </w:r>
      <w:r>
        <w:t> </w:t>
      </w:r>
      <w:r w:rsidRPr="005B0501">
        <w:t>»</w:t>
      </w:r>
      <w:r w:rsidR="00C262D0">
        <w:t>.</w:t>
      </w:r>
    </w:p>
    <w:p w14:paraId="66FAFD59" w14:textId="683BDA89" w:rsidR="00F368F4" w:rsidRPr="005B0501" w:rsidRDefault="00F368F4" w:rsidP="004E58D6">
      <w:pPr>
        <w:pStyle w:val="SingleTxtG"/>
        <w:keepNext/>
      </w:pPr>
      <w:r w:rsidRPr="004E58D6">
        <w:rPr>
          <w:i/>
          <w:iCs/>
        </w:rPr>
        <w:t>Paragraphe</w:t>
      </w:r>
      <w:r w:rsidRPr="005B0501">
        <w:rPr>
          <w:i/>
        </w:rPr>
        <w:t xml:space="preserve"> 6.1.9.3.1</w:t>
      </w:r>
      <w:r w:rsidRPr="00C262D0">
        <w:rPr>
          <w:iCs/>
        </w:rPr>
        <w:t>,</w:t>
      </w:r>
      <w:r w:rsidRPr="005B0501">
        <w:t xml:space="preserve"> lire</w:t>
      </w:r>
      <w:r w:rsidR="00EB6374" w:rsidRPr="005B0501">
        <w:t> :</w:t>
      </w:r>
    </w:p>
    <w:p w14:paraId="45D6272F" w14:textId="7D0B0E65" w:rsidR="00F368F4" w:rsidRPr="005B0501" w:rsidRDefault="005B0501" w:rsidP="00295078">
      <w:pPr>
        <w:pStyle w:val="SingleTxtG"/>
        <w:ind w:left="2268" w:hanging="1134"/>
        <w:rPr>
          <w:rFonts w:eastAsia="Calibri"/>
        </w:rPr>
      </w:pPr>
      <w:r w:rsidRPr="005B0501">
        <w:t>«</w:t>
      </w:r>
      <w:r>
        <w:t> </w:t>
      </w:r>
      <w:r w:rsidR="00F368F4" w:rsidRPr="005B0501">
        <w:rPr>
          <w:rFonts w:eastAsia="Calibri"/>
        </w:rPr>
        <w:t>6.1.9.3.1</w:t>
      </w:r>
      <w:r w:rsidR="00F368F4" w:rsidRPr="005B0501">
        <w:rPr>
          <w:rFonts w:eastAsia="Calibri"/>
        </w:rPr>
        <w:tab/>
        <w:t>L</w:t>
      </w:r>
      <w:r w:rsidR="00F368F4" w:rsidRPr="005B0501">
        <w:rPr>
          <w:rFonts w:eastAsia="Calibri"/>
          <w:lang w:eastAsia="fr-FR"/>
        </w:rPr>
        <w:t>e système de capteurs utilisé pour commander l’allumage et l’extinction automatiques des feux de route, tel qu’il est décrit au paragraphe</w:t>
      </w:r>
      <w:r w:rsidR="00C262D0">
        <w:rPr>
          <w:rFonts w:eastAsia="Calibri"/>
          <w:lang w:eastAsia="fr-FR"/>
        </w:rPr>
        <w:t xml:space="preserve"> </w:t>
      </w:r>
      <w:r w:rsidR="00F368F4" w:rsidRPr="005B0501">
        <w:rPr>
          <w:strike/>
        </w:rPr>
        <w:t xml:space="preserve">6.1.7.1 </w:t>
      </w:r>
      <w:r w:rsidR="00F368F4" w:rsidRPr="005B0501">
        <w:rPr>
          <w:b/>
          <w:bCs/>
        </w:rPr>
        <w:t>6.1.7.2</w:t>
      </w:r>
      <w:r w:rsidR="00F368F4" w:rsidRPr="005B0501">
        <w:rPr>
          <w:rFonts w:eastAsia="Calibri"/>
          <w:lang w:eastAsia="fr-FR"/>
        </w:rPr>
        <w:t>, doit répondre aux prescriptions suivantes</w:t>
      </w:r>
      <w:r w:rsidR="00EB6374" w:rsidRPr="005B0501">
        <w:rPr>
          <w:rFonts w:eastAsia="Calibri"/>
          <w:lang w:eastAsia="fr-FR"/>
        </w:rPr>
        <w:t> :</w:t>
      </w:r>
    </w:p>
    <w:p w14:paraId="43AA0679" w14:textId="693B4929" w:rsidR="00F368F4" w:rsidRPr="005B0501" w:rsidRDefault="00F368F4" w:rsidP="00295078">
      <w:pPr>
        <w:pStyle w:val="SingleTxtG"/>
        <w:ind w:left="2268" w:hanging="1134"/>
        <w:rPr>
          <w:szCs w:val="16"/>
        </w:rPr>
      </w:pPr>
      <w:r w:rsidRPr="005B0501">
        <w:rPr>
          <w:rFonts w:eastAsia="Calibri"/>
        </w:rPr>
        <w:t>6.1.9.3.1.1</w:t>
      </w:r>
      <w:r w:rsidRPr="005B0501">
        <w:rPr>
          <w:rFonts w:eastAsia="Calibri"/>
        </w:rPr>
        <w:tab/>
      </w:r>
      <w:r w:rsidRPr="00295078">
        <w:t>Les</w:t>
      </w:r>
      <w:r w:rsidRPr="005B0501">
        <w:rPr>
          <w:rFonts w:eastAsia="Calibri"/>
        </w:rPr>
        <w:t xml:space="preserve"> limites des champs minimaux dans lesquels le capteur est capable de détecter la lumière émise par d’autres véhicules, conformément à la définition qui en est donnée au paragraphe</w:t>
      </w:r>
      <w:r w:rsidR="00C262D0">
        <w:rPr>
          <w:rFonts w:eastAsia="Calibri"/>
        </w:rPr>
        <w:t xml:space="preserve"> </w:t>
      </w:r>
      <w:r w:rsidRPr="005B0501">
        <w:rPr>
          <w:strike/>
        </w:rPr>
        <w:t xml:space="preserve">6.1.7.1 </w:t>
      </w:r>
      <w:r w:rsidRPr="005B0501">
        <w:rPr>
          <w:b/>
          <w:bCs/>
        </w:rPr>
        <w:t xml:space="preserve">6.1.7.2 </w:t>
      </w:r>
      <w:r w:rsidRPr="005B0501">
        <w:rPr>
          <w:rFonts w:eastAsia="Calibri"/>
        </w:rPr>
        <w:t>ci-dessus, sont définies par les angles indiqués ci-après</w:t>
      </w:r>
      <w:r w:rsidRPr="005B0501">
        <w:rPr>
          <w:rFonts w:eastAsia="Calibri"/>
          <w:lang w:eastAsia="fr-FR"/>
        </w:rPr>
        <w:t>.</w:t>
      </w:r>
    </w:p>
    <w:p w14:paraId="6CC725F9" w14:textId="3EDFEF16" w:rsidR="00F368F4" w:rsidRPr="005B0501" w:rsidRDefault="00F368F4" w:rsidP="00295078">
      <w:pPr>
        <w:pStyle w:val="SingleTxtG"/>
        <w:ind w:left="2268" w:hanging="1134"/>
        <w:rPr>
          <w:rFonts w:eastAsia="Calibri"/>
        </w:rPr>
      </w:pPr>
      <w:r w:rsidRPr="005B0501">
        <w:rPr>
          <w:rFonts w:eastAsia="Calibri"/>
        </w:rPr>
        <w:t>6.1.9.3.1.1.1</w:t>
      </w:r>
      <w:r w:rsidRPr="005B0501">
        <w:rPr>
          <w:rFonts w:eastAsia="Calibri"/>
        </w:rPr>
        <w:tab/>
      </w:r>
      <w:r w:rsidRPr="00295078">
        <w:t>Angles</w:t>
      </w:r>
      <w:r w:rsidRPr="005B0501">
        <w:rPr>
          <w:rFonts w:eastAsia="Calibri"/>
          <w:lang w:eastAsia="fr-FR"/>
        </w:rPr>
        <w:t xml:space="preserve"> horizontaux</w:t>
      </w:r>
      <w:r w:rsidR="00EB6374" w:rsidRPr="005B0501">
        <w:rPr>
          <w:rFonts w:eastAsia="Calibri"/>
          <w:lang w:eastAsia="fr-FR"/>
        </w:rPr>
        <w:t> :</w:t>
      </w:r>
      <w:r w:rsidRPr="005B0501">
        <w:rPr>
          <w:rFonts w:eastAsia="Calibri"/>
          <w:lang w:eastAsia="fr-FR"/>
        </w:rPr>
        <w:t xml:space="preserve"> 15° à gauche et 15° à droite.</w:t>
      </w:r>
    </w:p>
    <w:p w14:paraId="2F08AF61" w14:textId="564CA661" w:rsidR="00F368F4" w:rsidRPr="005B0501" w:rsidRDefault="00F368F4" w:rsidP="00C262D0">
      <w:pPr>
        <w:pStyle w:val="SingleTxtG"/>
        <w:ind w:left="2268"/>
      </w:pPr>
      <w:r w:rsidRPr="005B0501">
        <w:tab/>
      </w:r>
      <w:r w:rsidRPr="005B0501">
        <w:rPr>
          <w:lang w:eastAsia="fr-FR"/>
        </w:rPr>
        <w:t>Angles verticaux</w:t>
      </w:r>
      <w:r w:rsidR="00EB6374" w:rsidRPr="005B0501">
        <w:rPr>
          <w:lang w:eastAsia="fr-FR"/>
        </w:rPr>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8"/>
        <w:gridCol w:w="1417"/>
        <w:gridCol w:w="1417"/>
        <w:gridCol w:w="1418"/>
      </w:tblGrid>
      <w:tr w:rsidR="00F368F4" w:rsidRPr="005B0501" w14:paraId="6C7A0477" w14:textId="77777777" w:rsidTr="00C262D0">
        <w:trPr>
          <w:tblHeader/>
        </w:trPr>
        <w:tc>
          <w:tcPr>
            <w:tcW w:w="3118" w:type="dxa"/>
            <w:shd w:val="clear" w:color="auto" w:fill="auto"/>
            <w:tcMar>
              <w:left w:w="0" w:type="dxa"/>
              <w:right w:w="0" w:type="dxa"/>
            </w:tcMar>
            <w:vAlign w:val="bottom"/>
          </w:tcPr>
          <w:p w14:paraId="7B3CE1B2" w14:textId="77777777" w:rsidR="00F368F4" w:rsidRPr="005B0501" w:rsidRDefault="00F368F4" w:rsidP="00A5686B">
            <w:pPr>
              <w:keepNext/>
              <w:keepLines/>
              <w:suppressAutoHyphens w:val="0"/>
              <w:spacing w:before="60" w:after="60"/>
              <w:ind w:left="57" w:right="57"/>
              <w:rPr>
                <w:rFonts w:eastAsia="Calibri"/>
              </w:rPr>
            </w:pPr>
            <w:r w:rsidRPr="005B0501">
              <w:rPr>
                <w:rFonts w:eastAsia="Calibri"/>
                <w:lang w:eastAsia="fr-FR"/>
              </w:rPr>
              <w:t>Angle d’inclinaison vers le haut</w:t>
            </w:r>
          </w:p>
        </w:tc>
        <w:tc>
          <w:tcPr>
            <w:tcW w:w="4252" w:type="dxa"/>
            <w:gridSpan w:val="3"/>
            <w:shd w:val="clear" w:color="auto" w:fill="auto"/>
            <w:tcMar>
              <w:left w:w="0" w:type="dxa"/>
              <w:right w:w="0" w:type="dxa"/>
            </w:tcMar>
            <w:vAlign w:val="bottom"/>
          </w:tcPr>
          <w:p w14:paraId="69AB521D" w14:textId="77777777" w:rsidR="00F368F4" w:rsidRPr="005B0501" w:rsidRDefault="00F368F4" w:rsidP="00A5686B">
            <w:pPr>
              <w:keepNext/>
              <w:keepLines/>
              <w:suppressAutoHyphens w:val="0"/>
              <w:spacing w:before="60" w:after="60"/>
              <w:ind w:left="57" w:right="57"/>
              <w:rPr>
                <w:rFonts w:eastAsia="Calibri"/>
              </w:rPr>
            </w:pPr>
            <w:r w:rsidRPr="005B0501">
              <w:rPr>
                <w:rFonts w:eastAsia="Calibri"/>
              </w:rPr>
              <w:t>5°</w:t>
            </w:r>
          </w:p>
        </w:tc>
      </w:tr>
      <w:tr w:rsidR="00F368F4" w:rsidRPr="005B0501" w14:paraId="5A9DF42E" w14:textId="77777777" w:rsidTr="00C262D0">
        <w:tc>
          <w:tcPr>
            <w:tcW w:w="3119" w:type="dxa"/>
            <w:shd w:val="clear" w:color="auto" w:fill="auto"/>
            <w:tcMar>
              <w:left w:w="0" w:type="dxa"/>
              <w:right w:w="0" w:type="dxa"/>
            </w:tcMar>
          </w:tcPr>
          <w:p w14:paraId="200A3295" w14:textId="141385E2" w:rsidR="00F368F4" w:rsidRPr="005B0501" w:rsidRDefault="00F368F4" w:rsidP="00A5686B">
            <w:pPr>
              <w:keepNext/>
              <w:keepLines/>
              <w:suppressAutoHyphens w:val="0"/>
              <w:spacing w:before="60" w:after="60"/>
              <w:ind w:left="57" w:right="57"/>
              <w:rPr>
                <w:rFonts w:eastAsia="Calibri"/>
              </w:rPr>
            </w:pPr>
            <w:r w:rsidRPr="005B0501">
              <w:rPr>
                <w:rFonts w:eastAsia="Calibri"/>
                <w:spacing w:val="2"/>
                <w:lang w:eastAsia="fr-FR"/>
              </w:rPr>
              <w:t>Hauteur de montage du capteur (mesuré par rapport au sol à partir</w:t>
            </w:r>
            <w:r w:rsidRPr="005B0501">
              <w:rPr>
                <w:rFonts w:eastAsia="Calibri"/>
                <w:spacing w:val="-2"/>
                <w:lang w:eastAsia="fr-FR"/>
              </w:rPr>
              <w:t xml:space="preserve"> du</w:t>
            </w:r>
            <w:r w:rsidR="00C60D95">
              <w:rPr>
                <w:rFonts w:eastAsia="Calibri"/>
                <w:spacing w:val="-2"/>
                <w:lang w:eastAsia="fr-FR"/>
              </w:rPr>
              <w:t xml:space="preserve"> </w:t>
            </w:r>
            <w:r w:rsidRPr="005B0501">
              <w:rPr>
                <w:rFonts w:eastAsia="Calibri"/>
                <w:spacing w:val="-2"/>
                <w:lang w:eastAsia="fr-FR"/>
              </w:rPr>
              <w:t>centre de l’ouverture du</w:t>
            </w:r>
            <w:r w:rsidR="00C60D95">
              <w:rPr>
                <w:rFonts w:eastAsia="Calibri"/>
                <w:spacing w:val="-2"/>
                <w:lang w:eastAsia="fr-FR"/>
              </w:rPr>
              <w:t xml:space="preserve"> </w:t>
            </w:r>
            <w:r w:rsidRPr="005B0501">
              <w:rPr>
                <w:rFonts w:eastAsia="Calibri"/>
                <w:spacing w:val="-2"/>
                <w:lang w:eastAsia="fr-FR"/>
              </w:rPr>
              <w:t>capteur)</w:t>
            </w:r>
          </w:p>
        </w:tc>
        <w:tc>
          <w:tcPr>
            <w:tcW w:w="1417" w:type="dxa"/>
            <w:shd w:val="clear" w:color="auto" w:fill="auto"/>
            <w:tcMar>
              <w:left w:w="0" w:type="dxa"/>
              <w:right w:w="0" w:type="dxa"/>
            </w:tcMar>
          </w:tcPr>
          <w:p w14:paraId="42434097" w14:textId="77777777" w:rsidR="00F368F4" w:rsidRPr="005B0501" w:rsidRDefault="00F368F4" w:rsidP="00A5686B">
            <w:pPr>
              <w:keepNext/>
              <w:keepLines/>
              <w:suppressAutoHyphens w:val="0"/>
              <w:spacing w:before="60" w:after="60"/>
              <w:ind w:left="57" w:right="57"/>
              <w:rPr>
                <w:rFonts w:eastAsia="Calibri"/>
              </w:rPr>
            </w:pPr>
            <w:r w:rsidRPr="005B0501">
              <w:rPr>
                <w:rFonts w:eastAsia="Calibri"/>
                <w:lang w:eastAsia="fr-FR"/>
              </w:rPr>
              <w:t>Moins de 2 m</w:t>
            </w:r>
          </w:p>
        </w:tc>
        <w:tc>
          <w:tcPr>
            <w:tcW w:w="1417" w:type="dxa"/>
            <w:shd w:val="clear" w:color="auto" w:fill="auto"/>
            <w:tcMar>
              <w:left w:w="0" w:type="dxa"/>
              <w:right w:w="0" w:type="dxa"/>
            </w:tcMar>
          </w:tcPr>
          <w:p w14:paraId="2911BF1E" w14:textId="4F9EB0D4" w:rsidR="00F368F4" w:rsidRPr="005B0501" w:rsidRDefault="00F368F4" w:rsidP="00A5686B">
            <w:pPr>
              <w:keepNext/>
              <w:keepLines/>
              <w:suppressAutoHyphens w:val="0"/>
              <w:spacing w:before="60" w:after="60"/>
              <w:ind w:left="57" w:right="57"/>
              <w:rPr>
                <w:rFonts w:eastAsia="Calibri"/>
              </w:rPr>
            </w:pPr>
            <w:r w:rsidRPr="005B0501">
              <w:rPr>
                <w:rFonts w:eastAsia="Calibri"/>
                <w:lang w:eastAsia="fr-FR"/>
              </w:rPr>
              <w:t>Entre 1,5 m et</w:t>
            </w:r>
            <w:r w:rsidR="00C60D95">
              <w:rPr>
                <w:rFonts w:eastAsia="Calibri"/>
                <w:lang w:eastAsia="fr-FR"/>
              </w:rPr>
              <w:t xml:space="preserve"> </w:t>
            </w:r>
            <w:r w:rsidRPr="005B0501">
              <w:rPr>
                <w:rFonts w:eastAsia="Calibri"/>
                <w:lang w:eastAsia="fr-FR"/>
              </w:rPr>
              <w:t>2,5 m</w:t>
            </w:r>
          </w:p>
        </w:tc>
        <w:tc>
          <w:tcPr>
            <w:tcW w:w="1417" w:type="dxa"/>
            <w:shd w:val="clear" w:color="auto" w:fill="auto"/>
            <w:tcMar>
              <w:left w:w="0" w:type="dxa"/>
              <w:right w:w="0" w:type="dxa"/>
            </w:tcMar>
          </w:tcPr>
          <w:p w14:paraId="28DDA8B5" w14:textId="77777777" w:rsidR="00F368F4" w:rsidRPr="005B0501" w:rsidRDefault="00F368F4" w:rsidP="00A5686B">
            <w:pPr>
              <w:keepNext/>
              <w:keepLines/>
              <w:suppressAutoHyphens w:val="0"/>
              <w:spacing w:before="60" w:after="60"/>
              <w:ind w:left="57" w:right="57"/>
              <w:rPr>
                <w:rFonts w:eastAsia="Calibri"/>
              </w:rPr>
            </w:pPr>
            <w:r w:rsidRPr="005B0501">
              <w:rPr>
                <w:rFonts w:eastAsia="Calibri"/>
                <w:lang w:eastAsia="fr-FR"/>
              </w:rPr>
              <w:t>Plus de 2,0 m</w:t>
            </w:r>
          </w:p>
        </w:tc>
      </w:tr>
      <w:tr w:rsidR="00F368F4" w:rsidRPr="005B0501" w14:paraId="352B1A41" w14:textId="77777777" w:rsidTr="00C262D0">
        <w:tc>
          <w:tcPr>
            <w:tcW w:w="3119" w:type="dxa"/>
            <w:shd w:val="clear" w:color="auto" w:fill="auto"/>
            <w:tcMar>
              <w:left w:w="0" w:type="dxa"/>
              <w:right w:w="0" w:type="dxa"/>
            </w:tcMar>
          </w:tcPr>
          <w:p w14:paraId="78AD6D09" w14:textId="77777777" w:rsidR="00F368F4" w:rsidRPr="005B0501" w:rsidRDefault="00F368F4" w:rsidP="00A5686B">
            <w:pPr>
              <w:suppressAutoHyphens w:val="0"/>
              <w:spacing w:before="60" w:after="60"/>
              <w:ind w:left="57" w:right="57"/>
              <w:rPr>
                <w:rFonts w:eastAsia="Calibri"/>
              </w:rPr>
            </w:pPr>
            <w:r w:rsidRPr="005B0501">
              <w:rPr>
                <w:rFonts w:eastAsia="Calibri"/>
                <w:lang w:eastAsia="fr-FR"/>
              </w:rPr>
              <w:t>Angle d’inclinaison vers le bas</w:t>
            </w:r>
          </w:p>
        </w:tc>
        <w:tc>
          <w:tcPr>
            <w:tcW w:w="1417" w:type="dxa"/>
            <w:shd w:val="clear" w:color="auto" w:fill="auto"/>
            <w:tcMar>
              <w:left w:w="0" w:type="dxa"/>
              <w:right w:w="0" w:type="dxa"/>
            </w:tcMar>
          </w:tcPr>
          <w:p w14:paraId="303CFACA" w14:textId="77777777" w:rsidR="00F368F4" w:rsidRPr="005B0501" w:rsidRDefault="00F368F4" w:rsidP="00A5686B">
            <w:pPr>
              <w:suppressAutoHyphens w:val="0"/>
              <w:spacing w:before="60" w:after="60"/>
              <w:ind w:left="57" w:right="57"/>
              <w:rPr>
                <w:rFonts w:eastAsia="Calibri"/>
              </w:rPr>
            </w:pPr>
            <w:r w:rsidRPr="005B0501">
              <w:rPr>
                <w:rFonts w:eastAsia="Calibri"/>
              </w:rPr>
              <w:t>2°</w:t>
            </w:r>
          </w:p>
        </w:tc>
        <w:tc>
          <w:tcPr>
            <w:tcW w:w="1417" w:type="dxa"/>
            <w:shd w:val="clear" w:color="auto" w:fill="auto"/>
            <w:tcMar>
              <w:left w:w="0" w:type="dxa"/>
              <w:right w:w="0" w:type="dxa"/>
            </w:tcMar>
          </w:tcPr>
          <w:p w14:paraId="2E6DEF6D" w14:textId="77777777" w:rsidR="00F368F4" w:rsidRPr="005B0501" w:rsidRDefault="00F368F4" w:rsidP="00A5686B">
            <w:pPr>
              <w:suppressAutoHyphens w:val="0"/>
              <w:spacing w:before="60" w:after="60"/>
              <w:ind w:left="57" w:right="57"/>
              <w:rPr>
                <w:rFonts w:eastAsia="Calibri"/>
              </w:rPr>
            </w:pPr>
            <w:r w:rsidRPr="005B0501">
              <w:rPr>
                <w:rFonts w:eastAsia="Calibri"/>
              </w:rPr>
              <w:t>2° à 5°</w:t>
            </w:r>
          </w:p>
        </w:tc>
        <w:tc>
          <w:tcPr>
            <w:tcW w:w="1417" w:type="dxa"/>
            <w:shd w:val="clear" w:color="auto" w:fill="auto"/>
            <w:tcMar>
              <w:left w:w="0" w:type="dxa"/>
              <w:right w:w="0" w:type="dxa"/>
            </w:tcMar>
          </w:tcPr>
          <w:p w14:paraId="4A86EC7B" w14:textId="77777777" w:rsidR="00F368F4" w:rsidRPr="005B0501" w:rsidRDefault="00F368F4" w:rsidP="00A5686B">
            <w:pPr>
              <w:suppressAutoHyphens w:val="0"/>
              <w:spacing w:before="60" w:after="60"/>
              <w:ind w:left="57" w:right="57"/>
              <w:rPr>
                <w:rFonts w:eastAsia="Calibri"/>
              </w:rPr>
            </w:pPr>
            <w:r w:rsidRPr="005B0501">
              <w:rPr>
                <w:rFonts w:eastAsia="Calibri"/>
              </w:rPr>
              <w:t>5°</w:t>
            </w:r>
          </w:p>
        </w:tc>
      </w:tr>
    </w:tbl>
    <w:p w14:paraId="519AF4D9" w14:textId="4FE2AFF9" w:rsidR="00F368F4" w:rsidRPr="005B0501" w:rsidRDefault="00F368F4" w:rsidP="00C262D0">
      <w:pPr>
        <w:pStyle w:val="SingleTxtG"/>
        <w:spacing w:before="120"/>
        <w:ind w:left="2268"/>
        <w:rPr>
          <w:szCs w:val="16"/>
        </w:rPr>
      </w:pPr>
      <w:r w:rsidRPr="005B0501">
        <w:t>Ces angles sont mesurés à partir du centre de l’ouverture du capteur par rapport à une ligne droite horizontale passant par ledit centre, parallèlement au plan médian longitudinal du</w:t>
      </w:r>
      <w:r w:rsidR="00C262D0">
        <w:t xml:space="preserve"> </w:t>
      </w:r>
      <w:r w:rsidRPr="005B0501">
        <w:t>véhicule.</w:t>
      </w:r>
      <w:r w:rsidR="005B0501">
        <w:t> </w:t>
      </w:r>
      <w:r w:rsidR="005B0501" w:rsidRPr="005B0501">
        <w:t>»</w:t>
      </w:r>
      <w:r w:rsidR="00C262D0">
        <w:t>.</w:t>
      </w:r>
    </w:p>
    <w:p w14:paraId="40AFFC61" w14:textId="39A48497" w:rsidR="00F368F4" w:rsidRPr="005B0501" w:rsidRDefault="00F368F4" w:rsidP="004E58D6">
      <w:pPr>
        <w:pStyle w:val="SingleTxtG"/>
        <w:keepNext/>
      </w:pPr>
      <w:r w:rsidRPr="004E58D6">
        <w:rPr>
          <w:i/>
          <w:iCs/>
        </w:rPr>
        <w:t>Paragraphe</w:t>
      </w:r>
      <w:r w:rsidRPr="005B0501">
        <w:rPr>
          <w:i/>
        </w:rPr>
        <w:t xml:space="preserve"> 6.1.9.3.2</w:t>
      </w:r>
      <w:r w:rsidRPr="00C262D0">
        <w:rPr>
          <w:iCs/>
        </w:rPr>
        <w:t>,</w:t>
      </w:r>
      <w:r w:rsidRPr="005B0501">
        <w:t xml:space="preserve"> lire</w:t>
      </w:r>
      <w:r w:rsidR="00EB6374" w:rsidRPr="005B0501">
        <w:t> :</w:t>
      </w:r>
    </w:p>
    <w:p w14:paraId="3A71DD05" w14:textId="7ADE4919" w:rsidR="00F368F4" w:rsidRPr="005B0501" w:rsidRDefault="005B0501" w:rsidP="00295078">
      <w:pPr>
        <w:pStyle w:val="SingleTxtG"/>
        <w:ind w:left="2268" w:hanging="1134"/>
        <w:rPr>
          <w:i/>
        </w:rPr>
      </w:pPr>
      <w:r w:rsidRPr="005B0501">
        <w:t>«</w:t>
      </w:r>
      <w:r>
        <w:t> </w:t>
      </w:r>
      <w:r w:rsidR="00F368F4" w:rsidRPr="005B0501">
        <w:rPr>
          <w:rFonts w:eastAsia="Calibri"/>
          <w:bCs/>
        </w:rPr>
        <w:t>6.1.9.3.2</w:t>
      </w:r>
      <w:r w:rsidR="00F368F4" w:rsidRPr="005B0501">
        <w:rPr>
          <w:rFonts w:eastAsia="Calibri"/>
          <w:bCs/>
        </w:rPr>
        <w:tab/>
      </w:r>
      <w:r w:rsidR="00F368F4" w:rsidRPr="005B0501">
        <w:rPr>
          <w:rFonts w:eastAsia="Calibri"/>
        </w:rPr>
        <w:t>Le passage du faisceau de route au faisceau de croisement et inversement, dans les conditions indiquées au paragraphe</w:t>
      </w:r>
      <w:r w:rsidR="00C262D0">
        <w:rPr>
          <w:rFonts w:eastAsia="Calibri"/>
        </w:rPr>
        <w:t xml:space="preserve"> </w:t>
      </w:r>
      <w:r w:rsidR="00F368F4" w:rsidRPr="005B0501">
        <w:rPr>
          <w:strike/>
        </w:rPr>
        <w:t xml:space="preserve">6.1.7.1 </w:t>
      </w:r>
      <w:r w:rsidR="00F368F4" w:rsidRPr="005B0501">
        <w:rPr>
          <w:b/>
          <w:bCs/>
        </w:rPr>
        <w:t xml:space="preserve">6.1.7.2 </w:t>
      </w:r>
      <w:r w:rsidR="00F368F4" w:rsidRPr="005B0501">
        <w:rPr>
          <w:rFonts w:eastAsia="Calibri"/>
        </w:rPr>
        <w:t>ci-dessus, peut être effectué automatiquement</w:t>
      </w:r>
      <w:r w:rsidR="00EB6374" w:rsidRPr="005B0501">
        <w:rPr>
          <w:rFonts w:eastAsia="Calibri"/>
        </w:rPr>
        <w:t> ;</w:t>
      </w:r>
      <w:r w:rsidR="00F368F4" w:rsidRPr="005B0501">
        <w:rPr>
          <w:rFonts w:eastAsia="Calibri"/>
        </w:rPr>
        <w:t xml:space="preserve"> il ne doit occasionner ni gêne, ni distraction, ni</w:t>
      </w:r>
      <w:r w:rsidR="00C262D0">
        <w:rPr>
          <w:rFonts w:eastAsia="Calibri"/>
        </w:rPr>
        <w:t xml:space="preserve"> </w:t>
      </w:r>
      <w:r w:rsidR="00F368F4" w:rsidRPr="005B0501">
        <w:rPr>
          <w:rFonts w:eastAsia="Calibri"/>
        </w:rPr>
        <w:t>éblouissement.</w:t>
      </w:r>
      <w:r>
        <w:t> </w:t>
      </w:r>
      <w:r w:rsidRPr="005B0501">
        <w:t>»</w:t>
      </w:r>
      <w:r w:rsidR="00C262D0">
        <w:t>.</w:t>
      </w:r>
    </w:p>
    <w:p w14:paraId="3D38E31B" w14:textId="6E64B8BB" w:rsidR="00F368F4" w:rsidRPr="005B0501" w:rsidRDefault="00F368F4" w:rsidP="004E58D6">
      <w:pPr>
        <w:pStyle w:val="SingleTxtG"/>
        <w:keepNext/>
      </w:pPr>
      <w:r w:rsidRPr="004E58D6">
        <w:rPr>
          <w:i/>
          <w:iCs/>
        </w:rPr>
        <w:t>Paragraphe</w:t>
      </w:r>
      <w:r w:rsidRPr="005B0501">
        <w:rPr>
          <w:i/>
        </w:rPr>
        <w:t xml:space="preserve"> 6.1.9.3.4</w:t>
      </w:r>
      <w:r w:rsidRPr="004518B0">
        <w:rPr>
          <w:iCs/>
        </w:rPr>
        <w:t>,</w:t>
      </w:r>
      <w:r w:rsidRPr="005B0501">
        <w:t xml:space="preserve"> lire</w:t>
      </w:r>
      <w:r w:rsidR="00EB6374" w:rsidRPr="005B0501">
        <w:t> :</w:t>
      </w:r>
    </w:p>
    <w:p w14:paraId="4A6D57ED" w14:textId="130BCD7C" w:rsidR="00F368F4" w:rsidRPr="005B0501" w:rsidRDefault="005B0501" w:rsidP="00295078">
      <w:pPr>
        <w:pStyle w:val="SingleTxtG"/>
        <w:ind w:left="2268" w:hanging="1134"/>
        <w:rPr>
          <w:rFonts w:eastAsia="Calibri"/>
        </w:rPr>
      </w:pPr>
      <w:r w:rsidRPr="005B0501">
        <w:t>«</w:t>
      </w:r>
      <w:r>
        <w:t> </w:t>
      </w:r>
      <w:r w:rsidR="00F368F4" w:rsidRPr="005B0501">
        <w:rPr>
          <w:rFonts w:eastAsia="Calibri"/>
        </w:rPr>
        <w:t>6.1.9.3.4</w:t>
      </w:r>
      <w:r w:rsidR="00F368F4" w:rsidRPr="005B0501">
        <w:rPr>
          <w:rFonts w:eastAsia="Calibri"/>
        </w:rPr>
        <w:tab/>
        <w:t xml:space="preserve">La commande des feux de route ne peut permettre qu’ils s’allument de manière </w:t>
      </w:r>
      <w:r w:rsidR="00F368F4" w:rsidRPr="00295078">
        <w:t>automatique</w:t>
      </w:r>
      <w:r w:rsidR="00F368F4" w:rsidRPr="005B0501">
        <w:rPr>
          <w:rFonts w:eastAsia="Calibri"/>
        </w:rPr>
        <w:t xml:space="preserve"> que</w:t>
      </w:r>
      <w:r w:rsidR="00EB6374" w:rsidRPr="005B0501">
        <w:rPr>
          <w:rFonts w:eastAsia="Calibri"/>
        </w:rPr>
        <w:t> :</w:t>
      </w:r>
    </w:p>
    <w:p w14:paraId="17BB1711" w14:textId="77777777" w:rsidR="004518B0" w:rsidRDefault="00F368F4" w:rsidP="004518B0">
      <w:pPr>
        <w:pStyle w:val="SingleTxtG"/>
        <w:ind w:left="2835" w:hanging="567"/>
      </w:pPr>
      <w:r w:rsidRPr="005B0501">
        <w:rPr>
          <w:bCs/>
        </w:rPr>
        <w:t>a)</w:t>
      </w:r>
      <w:r w:rsidRPr="005B0501">
        <w:rPr>
          <w:bCs/>
        </w:rPr>
        <w:tab/>
      </w:r>
      <w:r w:rsidRPr="005B0501">
        <w:t>Lorsque aucun des véhicules mentionnés au paragraphe</w:t>
      </w:r>
      <w:r w:rsidR="004518B0">
        <w:t xml:space="preserve"> </w:t>
      </w:r>
      <w:r w:rsidRPr="005B0501">
        <w:rPr>
          <w:strike/>
        </w:rPr>
        <w:t xml:space="preserve">6.1.7.1 </w:t>
      </w:r>
      <w:r w:rsidRPr="005B0501">
        <w:rPr>
          <w:b/>
          <w:bCs/>
        </w:rPr>
        <w:t>6.1.7.2</w:t>
      </w:r>
      <w:r w:rsidRPr="005B0501">
        <w:t xml:space="preserve"> ci</w:t>
      </w:r>
      <w:r w:rsidRPr="005B0501">
        <w:noBreakHyphen/>
        <w:t>dessus n’est détecté dans la limite des champs et des distances visés aux paragraphes</w:t>
      </w:r>
      <w:r w:rsidR="004518B0">
        <w:t xml:space="preserve"> </w:t>
      </w:r>
      <w:r w:rsidRPr="005B0501">
        <w:t>6.1.9.3.1.1 et 6.1.9.3.1.2</w:t>
      </w:r>
      <w:r w:rsidR="00EB6374" w:rsidRPr="005B0501">
        <w:t> ;</w:t>
      </w:r>
    </w:p>
    <w:p w14:paraId="3D9ECA19" w14:textId="4BF4B8E8" w:rsidR="00F368F4" w:rsidRPr="005B0501" w:rsidRDefault="00F368F4" w:rsidP="004518B0">
      <w:pPr>
        <w:pStyle w:val="SingleTxtG"/>
        <w:ind w:left="2835" w:hanging="567"/>
        <w:rPr>
          <w:bCs/>
          <w:color w:val="000000"/>
        </w:rPr>
      </w:pPr>
      <w:r w:rsidRPr="005B0501">
        <w:rPr>
          <w:rFonts w:eastAsia="Calibri"/>
          <w:bCs/>
        </w:rPr>
        <w:t>b)</w:t>
      </w:r>
      <w:r w:rsidRPr="005B0501">
        <w:rPr>
          <w:rFonts w:eastAsia="Calibri"/>
          <w:bCs/>
        </w:rPr>
        <w:tab/>
      </w:r>
      <w:r w:rsidRPr="005B0501">
        <w:rPr>
          <w:rFonts w:eastAsia="Calibri"/>
        </w:rPr>
        <w:t>Lorsque le niveau d’éclairage ambiant détecté est conforme à celui prescrit au paragraphe</w:t>
      </w:r>
      <w:r w:rsidR="004518B0">
        <w:rPr>
          <w:rFonts w:eastAsia="Calibri"/>
        </w:rPr>
        <w:t xml:space="preserve"> </w:t>
      </w:r>
      <w:r w:rsidRPr="005B0501">
        <w:rPr>
          <w:rFonts w:eastAsia="Calibri"/>
        </w:rPr>
        <w:t>6.1.9.3.5 ci-dessous.</w:t>
      </w:r>
      <w:r w:rsidR="005B0501">
        <w:t> </w:t>
      </w:r>
      <w:r w:rsidR="005B0501" w:rsidRPr="005B0501">
        <w:t>»</w:t>
      </w:r>
      <w:r w:rsidR="004518B0">
        <w:t>.</w:t>
      </w:r>
    </w:p>
    <w:p w14:paraId="0FBBFE12" w14:textId="534DAEDD" w:rsidR="00F368F4" w:rsidRPr="005B0501" w:rsidRDefault="00F368F4" w:rsidP="004E58D6">
      <w:pPr>
        <w:pStyle w:val="SingleTxtG"/>
        <w:keepNext/>
      </w:pPr>
      <w:r w:rsidRPr="004E58D6">
        <w:rPr>
          <w:i/>
          <w:iCs/>
        </w:rPr>
        <w:t>Paragraphe</w:t>
      </w:r>
      <w:r w:rsidRPr="005B0501">
        <w:rPr>
          <w:i/>
        </w:rPr>
        <w:t xml:space="preserve"> 6.1.9.3.5</w:t>
      </w:r>
      <w:r w:rsidRPr="004518B0">
        <w:rPr>
          <w:iCs/>
        </w:rPr>
        <w:t>,</w:t>
      </w:r>
      <w:r w:rsidRPr="005B0501">
        <w:t xml:space="preserve"> lire</w:t>
      </w:r>
      <w:r w:rsidR="00EB6374" w:rsidRPr="005B0501">
        <w:t> :</w:t>
      </w:r>
    </w:p>
    <w:p w14:paraId="3A0EBBFA" w14:textId="538A0969" w:rsidR="00F368F4" w:rsidRPr="005B0501" w:rsidRDefault="005B0501" w:rsidP="00295078">
      <w:pPr>
        <w:pStyle w:val="SingleTxtG"/>
        <w:ind w:left="2268" w:hanging="1134"/>
      </w:pPr>
      <w:r w:rsidRPr="005B0501">
        <w:t>«</w:t>
      </w:r>
      <w:r>
        <w:t> </w:t>
      </w:r>
      <w:r w:rsidR="00F368F4" w:rsidRPr="005B0501">
        <w:rPr>
          <w:rFonts w:eastAsia="Calibri"/>
          <w:bCs/>
        </w:rPr>
        <w:t>6.1.9.3.5</w:t>
      </w:r>
      <w:r w:rsidR="00F368F4" w:rsidRPr="005B0501">
        <w:rPr>
          <w:rFonts w:eastAsia="Calibri"/>
          <w:bCs/>
        </w:rPr>
        <w:tab/>
      </w:r>
      <w:r w:rsidR="00F368F4" w:rsidRPr="00295078">
        <w:t>Lorsque</w:t>
      </w:r>
      <w:r w:rsidR="00F368F4" w:rsidRPr="005B0501">
        <w:rPr>
          <w:rFonts w:eastAsia="Calibri"/>
        </w:rPr>
        <w:t xml:space="preserve"> les feux de route sont allumés automatiquement, ils doivent être éteints automatiquement lorsque des véhicules venant en sens inverse ou des</w:t>
      </w:r>
      <w:r w:rsidR="004518B0">
        <w:rPr>
          <w:rFonts w:eastAsia="Calibri"/>
        </w:rPr>
        <w:t xml:space="preserve"> </w:t>
      </w:r>
      <w:r w:rsidR="00F368F4" w:rsidRPr="005B0501">
        <w:rPr>
          <w:rFonts w:eastAsia="Calibri"/>
        </w:rPr>
        <w:t>véhicules en aval, tels qu’ils sont mentionnés au paragraphe</w:t>
      </w:r>
      <w:r w:rsidR="004518B0">
        <w:rPr>
          <w:rFonts w:eastAsia="Calibri"/>
        </w:rPr>
        <w:t xml:space="preserve"> </w:t>
      </w:r>
      <w:r w:rsidR="00F368F4" w:rsidRPr="005B0501">
        <w:rPr>
          <w:strike/>
        </w:rPr>
        <w:t xml:space="preserve">6.1.7.1 </w:t>
      </w:r>
      <w:r w:rsidR="00F368F4" w:rsidRPr="005B0501">
        <w:rPr>
          <w:b/>
          <w:bCs/>
        </w:rPr>
        <w:t xml:space="preserve">6.1.7.2 </w:t>
      </w:r>
      <w:r w:rsidR="00F368F4" w:rsidRPr="005B0501">
        <w:rPr>
          <w:rFonts w:eastAsia="Calibri"/>
        </w:rPr>
        <w:t>ci</w:t>
      </w:r>
      <w:r w:rsidR="00F368F4" w:rsidRPr="005B0501">
        <w:rPr>
          <w:rFonts w:eastAsia="Calibri"/>
        </w:rPr>
        <w:noBreakHyphen/>
        <w:t>dessus, sont détectés dans la limite des champs et des distances visés aux paragraphes</w:t>
      </w:r>
      <w:r w:rsidR="004518B0">
        <w:rPr>
          <w:rFonts w:eastAsia="Calibri"/>
        </w:rPr>
        <w:t xml:space="preserve"> </w:t>
      </w:r>
      <w:r w:rsidR="00F368F4" w:rsidRPr="005B0501">
        <w:rPr>
          <w:rFonts w:eastAsia="Calibri"/>
        </w:rPr>
        <w:t>6.1.9.3.1.1 et</w:t>
      </w:r>
      <w:r w:rsidR="004518B0">
        <w:rPr>
          <w:rFonts w:eastAsia="Calibri"/>
        </w:rPr>
        <w:t xml:space="preserve"> </w:t>
      </w:r>
      <w:r w:rsidR="00F368F4" w:rsidRPr="005B0501">
        <w:rPr>
          <w:rFonts w:eastAsia="Calibri"/>
        </w:rPr>
        <w:t>6.1.9.3.1.2.</w:t>
      </w:r>
    </w:p>
    <w:p w14:paraId="624E2B94" w14:textId="4B99C77F" w:rsidR="00F368F4" w:rsidRPr="005B0501" w:rsidRDefault="00F368F4" w:rsidP="004518B0">
      <w:pPr>
        <w:pStyle w:val="SingleTxtG"/>
        <w:ind w:left="2268"/>
      </w:pPr>
      <w:r w:rsidRPr="005B0501">
        <w:t>Ils doivent en outre être éteints automatiquement lorsque l’éclairement produit par les conditions d’éclairage ambiantes dépasse 7</w:t>
      </w:r>
      <w:r w:rsidR="004518B0">
        <w:t> </w:t>
      </w:r>
      <w:r w:rsidRPr="005B0501">
        <w:t>000</w:t>
      </w:r>
      <w:r w:rsidR="004518B0">
        <w:t xml:space="preserve"> </w:t>
      </w:r>
      <w:r w:rsidRPr="005B0501">
        <w:t>lx.</w:t>
      </w:r>
    </w:p>
    <w:p w14:paraId="6BEAAAB9" w14:textId="16DAA82A" w:rsidR="00F368F4" w:rsidRPr="005B0501" w:rsidRDefault="00F368F4" w:rsidP="004518B0">
      <w:pPr>
        <w:pStyle w:val="SingleTxtG"/>
        <w:ind w:left="2268"/>
        <w:rPr>
          <w:bCs/>
          <w:sz w:val="16"/>
          <w:szCs w:val="16"/>
        </w:rPr>
      </w:pPr>
      <w:r w:rsidRPr="005B0501">
        <w:t xml:space="preserve">Le respect de cette prescription doit être prouvé par le demandeur par simulation ou par tout autre moyen de vérification agréé par l’autorité d’homologation de type. Au besoin, l’éclairement doit être mesuré sur une </w:t>
      </w:r>
      <w:r w:rsidRPr="005B0501">
        <w:lastRenderedPageBreak/>
        <w:t>surface horizontale, à l’aide d’un capteur à correction de cosinus placé à la même hauteur que la position de montage du capteur situé sur le véhicule. Le</w:t>
      </w:r>
      <w:r w:rsidR="00C60D95">
        <w:t xml:space="preserve"> </w:t>
      </w:r>
      <w:r w:rsidRPr="005B0501">
        <w:t>fabricant peut en fournir la preuve à l’aide d’une documentation suffisante ou de tout autre moyen agréé par l’autorité d’homologation de type.</w:t>
      </w:r>
      <w:r w:rsidR="005B0501">
        <w:t> </w:t>
      </w:r>
      <w:r w:rsidR="005B0501" w:rsidRPr="005B0501">
        <w:t>»</w:t>
      </w:r>
      <w:r w:rsidR="004518B0">
        <w:t>.</w:t>
      </w:r>
    </w:p>
    <w:p w14:paraId="24A472DF" w14:textId="641BEFDC" w:rsidR="00F368F4" w:rsidRPr="005B0501" w:rsidRDefault="00F368F4" w:rsidP="004E58D6">
      <w:pPr>
        <w:pStyle w:val="SingleTxtG"/>
        <w:keepNext/>
        <w:rPr>
          <w:szCs w:val="16"/>
        </w:rPr>
      </w:pPr>
      <w:r w:rsidRPr="004E58D6">
        <w:rPr>
          <w:i/>
          <w:iCs/>
        </w:rPr>
        <w:t>Paragraphe</w:t>
      </w:r>
      <w:r w:rsidRPr="005B0501">
        <w:rPr>
          <w:i/>
          <w:szCs w:val="16"/>
        </w:rPr>
        <w:t xml:space="preserve"> 6.2.9</w:t>
      </w:r>
      <w:r w:rsidRPr="004518B0">
        <w:rPr>
          <w:iCs/>
          <w:szCs w:val="16"/>
        </w:rPr>
        <w:t xml:space="preserve">, </w:t>
      </w:r>
      <w:r w:rsidRPr="005B0501">
        <w:rPr>
          <w:szCs w:val="16"/>
        </w:rPr>
        <w:t>lire</w:t>
      </w:r>
      <w:r w:rsidR="00EB6374" w:rsidRPr="005B0501">
        <w:rPr>
          <w:szCs w:val="16"/>
        </w:rPr>
        <w:t> :</w:t>
      </w:r>
    </w:p>
    <w:p w14:paraId="53D78BA2" w14:textId="16E8C845" w:rsidR="00F368F4" w:rsidRPr="005B0501" w:rsidRDefault="005B0501" w:rsidP="004518B0">
      <w:pPr>
        <w:pStyle w:val="SingleTxtG"/>
        <w:keepNext/>
        <w:ind w:left="2268" w:hanging="1134"/>
      </w:pPr>
      <w:r w:rsidRPr="005B0501">
        <w:t>«</w:t>
      </w:r>
      <w:r>
        <w:t> </w:t>
      </w:r>
      <w:r w:rsidR="00F368F4" w:rsidRPr="005B0501">
        <w:rPr>
          <w:rFonts w:eastAsia="Calibri"/>
        </w:rPr>
        <w:t>6.2.9</w:t>
      </w:r>
      <w:r w:rsidR="00F368F4" w:rsidRPr="005B0501">
        <w:rPr>
          <w:rFonts w:eastAsia="Calibri"/>
        </w:rPr>
        <w:tab/>
      </w:r>
      <w:r w:rsidR="00F368F4" w:rsidRPr="00295078">
        <w:t>Autres</w:t>
      </w:r>
      <w:r w:rsidR="00F368F4" w:rsidRPr="005B0501">
        <w:rPr>
          <w:rFonts w:eastAsia="Calibri"/>
          <w:lang w:eastAsia="fr-FR"/>
        </w:rPr>
        <w:t xml:space="preserve"> prescriptions</w:t>
      </w:r>
    </w:p>
    <w:p w14:paraId="0F14AFA7" w14:textId="77777777" w:rsidR="00F368F4" w:rsidRPr="005B0501" w:rsidRDefault="00F368F4" w:rsidP="00295078">
      <w:pPr>
        <w:pStyle w:val="SingleTxtG"/>
        <w:ind w:left="2268" w:hanging="1134"/>
        <w:rPr>
          <w:szCs w:val="16"/>
        </w:rPr>
      </w:pPr>
      <w:r w:rsidRPr="005B0501">
        <w:rPr>
          <w:b/>
          <w:bCs/>
        </w:rPr>
        <w:t>6.2.9.1</w:t>
      </w:r>
      <w:r w:rsidRPr="005B0501">
        <w:tab/>
        <w:t>Les prescriptions du paragraphe 5.5.2 ne sont pas applicables aux feux de croisement.</w:t>
      </w:r>
    </w:p>
    <w:p w14:paraId="27A35F6E" w14:textId="4E075748" w:rsidR="00F368F4" w:rsidRPr="005B0501" w:rsidRDefault="00F368F4" w:rsidP="00295078">
      <w:pPr>
        <w:pStyle w:val="SingleTxtG"/>
        <w:ind w:left="2268" w:hanging="1134"/>
        <w:rPr>
          <w:szCs w:val="16"/>
        </w:rPr>
      </w:pPr>
      <w:r w:rsidRPr="005B0501">
        <w:rPr>
          <w:b/>
          <w:bCs/>
        </w:rPr>
        <w:t>6.2.9.2</w:t>
      </w:r>
      <w:r w:rsidRPr="005B0501">
        <w:tab/>
      </w:r>
      <w:r w:rsidRPr="005B0501">
        <w:rPr>
          <w:rFonts w:eastAsia="Calibri"/>
          <w:lang w:eastAsia="fr-FR"/>
        </w:rPr>
        <w:t xml:space="preserve">Les feux de croisement munis d’une source lumineuse ou d’un ou de plusieurs </w:t>
      </w:r>
      <w:r w:rsidRPr="00295078">
        <w:t>modules</w:t>
      </w:r>
      <w:r w:rsidRPr="005B0501">
        <w:rPr>
          <w:rFonts w:eastAsia="Calibri"/>
          <w:lang w:eastAsia="fr-FR"/>
        </w:rPr>
        <w:t xml:space="preserve"> DEL produisant le faisceau de croisement principal </w:t>
      </w:r>
      <w:r w:rsidRPr="005B0501">
        <w:rPr>
          <w:rFonts w:eastAsia="Calibri"/>
          <w:strike/>
          <w:lang w:eastAsia="fr-FR"/>
        </w:rPr>
        <w:t xml:space="preserve">et </w:t>
      </w:r>
      <w:r w:rsidRPr="005B0501">
        <w:rPr>
          <w:rFonts w:eastAsia="Calibri"/>
          <w:lang w:eastAsia="fr-FR"/>
        </w:rPr>
        <w:t>ayant un flux lumineux objectif total supérieur à 2</w:t>
      </w:r>
      <w:r w:rsidR="004518B0">
        <w:rPr>
          <w:rFonts w:eastAsia="Calibri"/>
          <w:lang w:eastAsia="fr-FR"/>
        </w:rPr>
        <w:t> </w:t>
      </w:r>
      <w:r w:rsidRPr="005B0501">
        <w:rPr>
          <w:rFonts w:eastAsia="Calibri"/>
          <w:lang w:eastAsia="fr-FR"/>
        </w:rPr>
        <w:t xml:space="preserve">000 lm </w:t>
      </w:r>
      <w:r w:rsidRPr="005B0501">
        <w:rPr>
          <w:rFonts w:eastAsia="Calibri"/>
          <w:b/>
          <w:bCs/>
          <w:lang w:eastAsia="fr-FR"/>
        </w:rPr>
        <w:t xml:space="preserve">pour chaque feu </w:t>
      </w:r>
      <w:r w:rsidRPr="005B0501">
        <w:rPr>
          <w:rFonts w:eastAsia="Calibri"/>
          <w:lang w:eastAsia="fr-FR"/>
        </w:rPr>
        <w:t xml:space="preserve">ne peuvent être installés que si un ou plusieurs nettoie-projecteurs conformes au Règlement </w:t>
      </w:r>
      <w:r w:rsidRPr="005B0501">
        <w:rPr>
          <w:rFonts w:eastAsia="MS Mincho"/>
        </w:rPr>
        <w:t>n</w:t>
      </w:r>
      <w:r w:rsidRPr="005B0501">
        <w:rPr>
          <w:rFonts w:eastAsia="MS Mincho"/>
          <w:vertAlign w:val="superscript"/>
        </w:rPr>
        <w:t>o</w:t>
      </w:r>
      <w:r w:rsidRPr="005B0501">
        <w:rPr>
          <w:rFonts w:eastAsia="MS Mincho"/>
        </w:rPr>
        <w:t> </w:t>
      </w:r>
      <w:r w:rsidRPr="005B0501">
        <w:rPr>
          <w:rFonts w:eastAsia="Calibri"/>
        </w:rPr>
        <w:t>45</w:t>
      </w:r>
      <w:r w:rsidRPr="00C60D95">
        <w:rPr>
          <w:rFonts w:eastAsia="Calibri"/>
          <w:sz w:val="18"/>
          <w:szCs w:val="18"/>
          <w:vertAlign w:val="superscript"/>
        </w:rPr>
        <w:t>11</w:t>
      </w:r>
      <w:r w:rsidRPr="005B0501">
        <w:rPr>
          <w:rFonts w:eastAsia="Calibri"/>
          <w:lang w:eastAsia="fr-FR"/>
        </w:rPr>
        <w:t xml:space="preserve"> le sont également.</w:t>
      </w:r>
    </w:p>
    <w:p w14:paraId="4190B68F" w14:textId="03D14554" w:rsidR="00F368F4" w:rsidRPr="005B0501" w:rsidRDefault="00F368F4" w:rsidP="00295078">
      <w:pPr>
        <w:pStyle w:val="SingleTxtG"/>
        <w:ind w:left="2268" w:hanging="1134"/>
      </w:pPr>
      <w:r w:rsidRPr="005B0501">
        <w:rPr>
          <w:b/>
          <w:bCs/>
        </w:rPr>
        <w:t>6.2.9.3</w:t>
      </w:r>
      <w:r w:rsidRPr="005B0501">
        <w:tab/>
        <w:t>En ce qui concerne l’inclinaison verticale, les prescriptions du paragraphe</w:t>
      </w:r>
      <w:r w:rsidR="004518B0">
        <w:t xml:space="preserve"> </w:t>
      </w:r>
      <w:r w:rsidRPr="005B0501">
        <w:t>6.2.6.2.2 ne s’appliquent pas aux feux de croisement munis d’une source lumineuse ou d’un ou de plusieurs modules DEL produisant le faisceau de croisement principal et ayant un flux lumineux objectif supérieur à 2</w:t>
      </w:r>
      <w:r w:rsidR="004518B0">
        <w:t> </w:t>
      </w:r>
      <w:r w:rsidRPr="005B0501">
        <w:t>000</w:t>
      </w:r>
      <w:r w:rsidR="004518B0">
        <w:t xml:space="preserve"> </w:t>
      </w:r>
      <w:r w:rsidRPr="005B0501">
        <w:t xml:space="preserve">lm </w:t>
      </w:r>
      <w:r w:rsidRPr="005B0501">
        <w:rPr>
          <w:b/>
          <w:bCs/>
        </w:rPr>
        <w:t>pour chaque feu</w:t>
      </w:r>
      <w:r w:rsidRPr="005B0501">
        <w:t>.</w:t>
      </w:r>
    </w:p>
    <w:p w14:paraId="4CBCAB89" w14:textId="77777777" w:rsidR="004518B0" w:rsidRDefault="00F368F4" w:rsidP="004518B0">
      <w:pPr>
        <w:pStyle w:val="SingleTxtG"/>
        <w:ind w:left="2268"/>
      </w:pPr>
      <w:r w:rsidRPr="005B0501">
        <w:t>Dans le cas des lampes à incandescence pour lesquelles plus d’une tension d’essai est prescrite, on applique la valeur du flux lumineux objectif correspondant au faisceau de croisement principal, indiquée sur la fiche de communication relative à l’homologation de type du dispositif.</w:t>
      </w:r>
    </w:p>
    <w:p w14:paraId="26DE16CD" w14:textId="3C9F779E" w:rsidR="00F368F4" w:rsidRPr="005B0501" w:rsidRDefault="00F368F4" w:rsidP="004518B0">
      <w:pPr>
        <w:pStyle w:val="SingleTxtG"/>
        <w:ind w:left="2268"/>
        <w:rPr>
          <w:bCs/>
          <w:szCs w:val="16"/>
        </w:rPr>
      </w:pPr>
      <w:r w:rsidRPr="005B0501">
        <w:t>Dans le cas de feux de croisement équipés d’une source lumineuse homologuée, le flux lumineux objectif applicable est celui qui, à la tension d’essai pertinente, figure dans la fiche de renseignements pertinente du Règlement ONU, en vertu duquel la source lumineuse appliquée a été homologuée, sans tenir compte des tolérances applicables au flux lumineux objectif prescrit dans cette fiche de renseignements.</w:t>
      </w:r>
    </w:p>
    <w:p w14:paraId="34BA369C" w14:textId="77777777" w:rsidR="004518B0" w:rsidRDefault="00F368F4" w:rsidP="004518B0">
      <w:pPr>
        <w:pStyle w:val="SingleTxtG"/>
        <w:ind w:left="2268" w:hanging="1134"/>
      </w:pPr>
      <w:r w:rsidRPr="005B0501">
        <w:rPr>
          <w:b/>
          <w:bCs/>
        </w:rPr>
        <w:t>6.2.9.4</w:t>
      </w:r>
      <w:r w:rsidRPr="005B0501">
        <w:tab/>
        <w:t xml:space="preserve">L’éclairage de virage ne peut être obtenu qu’au moyen de feux de croisement conformes aux Règlements ONU </w:t>
      </w:r>
      <w:r w:rsidRPr="005B0501">
        <w:rPr>
          <w:rFonts w:eastAsia="MS Mincho"/>
        </w:rPr>
        <w:t>n</w:t>
      </w:r>
      <w:r w:rsidRPr="005B0501">
        <w:rPr>
          <w:rFonts w:eastAsia="MS Mincho"/>
          <w:vertAlign w:val="superscript"/>
        </w:rPr>
        <w:t>o</w:t>
      </w:r>
      <w:r w:rsidR="004518B0">
        <w:rPr>
          <w:rFonts w:eastAsia="MS Mincho"/>
          <w:vertAlign w:val="superscript"/>
        </w:rPr>
        <w:t>s</w:t>
      </w:r>
      <w:r w:rsidRPr="005B0501">
        <w:rPr>
          <w:rFonts w:eastAsia="MS Mincho"/>
        </w:rPr>
        <w:t> </w:t>
      </w:r>
      <w:r w:rsidRPr="005B0501">
        <w:t>98, 112 ou 149.</w:t>
      </w:r>
    </w:p>
    <w:p w14:paraId="51CF516E" w14:textId="7E5C446E" w:rsidR="00F368F4" w:rsidRPr="005B0501" w:rsidRDefault="00F368F4" w:rsidP="004518B0">
      <w:pPr>
        <w:pStyle w:val="SingleTxtG"/>
        <w:ind w:left="2268"/>
        <w:rPr>
          <w:bCs/>
          <w:szCs w:val="16"/>
        </w:rPr>
      </w:pPr>
      <w:r w:rsidRPr="005B0501">
        <w:t>Si l’éclairage de virage est obtenu au moyen d’un mouvement horizontal de l’ensemble du feu ou du coude de la ligne de coupure, il ne doit pouvoir fonctionner que si le véhicule est en marche avant, sauf lors d’un virage à droite dans la circulation à droite (ou d’un virage à gauche dans la circulation à gauche).</w:t>
      </w:r>
      <w:r w:rsidR="005B0501">
        <w:t> </w:t>
      </w:r>
      <w:r w:rsidR="005B0501" w:rsidRPr="005B0501">
        <w:t>»</w:t>
      </w:r>
      <w:r w:rsidRPr="005B0501">
        <w:t>.</w:t>
      </w:r>
    </w:p>
    <w:p w14:paraId="1973C68D" w14:textId="77777777" w:rsidR="00F368F4" w:rsidRPr="005B0501" w:rsidRDefault="00F368F4" w:rsidP="004518B0">
      <w:pPr>
        <w:pStyle w:val="SingleTxtG"/>
        <w:rPr>
          <w:i/>
          <w:iCs/>
        </w:rPr>
      </w:pPr>
      <w:r w:rsidRPr="005B0501">
        <w:rPr>
          <w:i/>
          <w:iCs/>
        </w:rPr>
        <w:t>Paragraphe 6.3.5, note de bas de page 13</w:t>
      </w:r>
      <w:r w:rsidRPr="004518B0">
        <w:t xml:space="preserve">, </w:t>
      </w:r>
      <w:r w:rsidRPr="005B0501">
        <w:t>supprimer</w:t>
      </w:r>
      <w:r w:rsidRPr="005B0501">
        <w:rPr>
          <w:i/>
          <w:iCs/>
        </w:rPr>
        <w:t>.</w:t>
      </w:r>
    </w:p>
    <w:p w14:paraId="0994BDAF" w14:textId="77777777" w:rsidR="00F368F4" w:rsidRPr="005B0501" w:rsidRDefault="00F368F4" w:rsidP="004518B0">
      <w:pPr>
        <w:pStyle w:val="SingleTxtG"/>
        <w:rPr>
          <w:i/>
          <w:iCs/>
        </w:rPr>
      </w:pPr>
      <w:r w:rsidRPr="005B0501">
        <w:rPr>
          <w:i/>
          <w:iCs/>
        </w:rPr>
        <w:t>Paragraphe 6.3.6.1.1, appel de de bas de page 13</w:t>
      </w:r>
      <w:r w:rsidRPr="004518B0">
        <w:t xml:space="preserve">, </w:t>
      </w:r>
      <w:r w:rsidRPr="005B0501">
        <w:t>supprimer</w:t>
      </w:r>
      <w:r w:rsidRPr="005B0501">
        <w:rPr>
          <w:i/>
          <w:iCs/>
        </w:rPr>
        <w:t>.</w:t>
      </w:r>
    </w:p>
    <w:p w14:paraId="2A3D875E" w14:textId="5566F9C8" w:rsidR="00F368F4" w:rsidRPr="005B0501" w:rsidRDefault="00F368F4" w:rsidP="004E58D6">
      <w:pPr>
        <w:pStyle w:val="SingleTxtG"/>
        <w:keepNext/>
        <w:rPr>
          <w:szCs w:val="16"/>
        </w:rPr>
      </w:pPr>
      <w:r w:rsidRPr="004E58D6">
        <w:rPr>
          <w:i/>
          <w:iCs/>
        </w:rPr>
        <w:t>Paragraphe</w:t>
      </w:r>
      <w:r w:rsidRPr="005B0501">
        <w:rPr>
          <w:i/>
          <w:szCs w:val="16"/>
        </w:rPr>
        <w:t xml:space="preserve"> 6.5.7</w:t>
      </w:r>
      <w:r w:rsidRPr="004518B0">
        <w:rPr>
          <w:iCs/>
          <w:szCs w:val="16"/>
        </w:rPr>
        <w:t xml:space="preserve">, </w:t>
      </w:r>
      <w:r w:rsidRPr="005B0501">
        <w:rPr>
          <w:szCs w:val="16"/>
        </w:rPr>
        <w:t>lire</w:t>
      </w:r>
      <w:r w:rsidR="00EB6374" w:rsidRPr="005B0501">
        <w:rPr>
          <w:szCs w:val="16"/>
        </w:rPr>
        <w:t> :</w:t>
      </w:r>
    </w:p>
    <w:p w14:paraId="157EDBBF" w14:textId="71CD691C" w:rsidR="00F368F4" w:rsidRPr="005B0501" w:rsidRDefault="005B0501" w:rsidP="00295078">
      <w:pPr>
        <w:pStyle w:val="SingleTxtG"/>
        <w:ind w:left="2268" w:hanging="1134"/>
        <w:rPr>
          <w:rFonts w:eastAsia="Calibri"/>
        </w:rPr>
      </w:pPr>
      <w:r w:rsidRPr="005B0501">
        <w:t>«</w:t>
      </w:r>
      <w:r>
        <w:t> </w:t>
      </w:r>
      <w:r w:rsidR="00F368F4" w:rsidRPr="005B0501">
        <w:rPr>
          <w:rFonts w:eastAsia="Calibri"/>
        </w:rPr>
        <w:t>6.5.7</w:t>
      </w:r>
      <w:r w:rsidR="00F368F4" w:rsidRPr="005B0501">
        <w:rPr>
          <w:rFonts w:eastAsia="Calibri"/>
        </w:rPr>
        <w:tab/>
      </w:r>
      <w:r w:rsidR="00F368F4" w:rsidRPr="00295078">
        <w:t>Connexions</w:t>
      </w:r>
      <w:r w:rsidR="00F368F4" w:rsidRPr="005B0501">
        <w:rPr>
          <w:rFonts w:eastAsia="Calibri"/>
        </w:rPr>
        <w:t xml:space="preserve"> électriques</w:t>
      </w:r>
    </w:p>
    <w:p w14:paraId="3EC0E383" w14:textId="7207D99F" w:rsidR="00F368F4" w:rsidRPr="005B0501" w:rsidRDefault="00F368F4" w:rsidP="004518B0">
      <w:pPr>
        <w:pStyle w:val="SingleTxtG"/>
        <w:ind w:left="2268"/>
      </w:pPr>
      <w:r w:rsidRPr="005B0501">
        <w:rPr>
          <w:rFonts w:eastAsia="Calibri"/>
        </w:rPr>
        <w:t>L’allumage des feux indicateurs de direction est indépendant de celui des autres feux. Tous les feux indicateurs de direction situés sur un même côté du véhicule sont allumés et éteints au moyen de la même commande et doivent clignoter de façon synchrone.</w:t>
      </w:r>
    </w:p>
    <w:p w14:paraId="08E4EA1E" w14:textId="29C9F77A" w:rsidR="00F368F4" w:rsidRPr="005B0501" w:rsidRDefault="00F368F4" w:rsidP="004518B0">
      <w:pPr>
        <w:pStyle w:val="SingleTxtG"/>
        <w:ind w:left="2268"/>
      </w:pPr>
      <w:r w:rsidRPr="005B0501">
        <w:rPr>
          <w:rFonts w:eastAsia="Calibri"/>
        </w:rPr>
        <w:t xml:space="preserve">Sur les véhicules </w:t>
      </w:r>
      <w:r w:rsidRPr="004518B0">
        <w:t>des</w:t>
      </w:r>
      <w:r w:rsidRPr="005B0501">
        <w:rPr>
          <w:rFonts w:eastAsia="Calibri"/>
        </w:rPr>
        <w:t xml:space="preserve"> catégories M</w:t>
      </w:r>
      <w:r w:rsidRPr="005B0501">
        <w:rPr>
          <w:rFonts w:eastAsia="Calibri"/>
          <w:vertAlign w:val="subscript"/>
        </w:rPr>
        <w:t>1</w:t>
      </w:r>
      <w:r w:rsidRPr="005B0501">
        <w:rPr>
          <w:rFonts w:eastAsia="Calibri"/>
        </w:rPr>
        <w:t xml:space="preserve"> et N</w:t>
      </w:r>
      <w:r w:rsidRPr="005B0501">
        <w:rPr>
          <w:rFonts w:eastAsia="Calibri"/>
          <w:vertAlign w:val="subscript"/>
        </w:rPr>
        <w:t>1</w:t>
      </w:r>
      <w:r w:rsidRPr="005B0501">
        <w:rPr>
          <w:rFonts w:eastAsia="Calibri"/>
        </w:rPr>
        <w:t xml:space="preserve"> de moins de 6 m de long présentant une configuration conforme au paragraphe 6.5.5.2 ci-dessus, les feux de position latéraux jaune auto, lorsqu’ils existent, doivent aussi clignoter de façon synchrone avec les feux indicateurs de direction.</w:t>
      </w:r>
    </w:p>
    <w:p w14:paraId="0004AE6F" w14:textId="77777777" w:rsidR="004518B0" w:rsidRDefault="00F368F4" w:rsidP="004518B0">
      <w:pPr>
        <w:pStyle w:val="SingleTxtG"/>
        <w:ind w:left="2268"/>
        <w:rPr>
          <w:rFonts w:eastAsia="Calibri"/>
          <w:b/>
          <w:bCs/>
        </w:rPr>
      </w:pPr>
      <w:r w:rsidRPr="005B0501">
        <w:rPr>
          <w:rFonts w:eastAsia="Calibri"/>
          <w:b/>
          <w:bCs/>
        </w:rPr>
        <w:t>Un indicateur de direction qui peut être activé dans des modes différents (statique ou séquentiel) ne doit pas pouvoir passer d’un mode à l’autre lorsqu’il est activé.</w:t>
      </w:r>
    </w:p>
    <w:p w14:paraId="0E1C3161" w14:textId="671DDF19" w:rsidR="00F368F4" w:rsidRPr="005B0501" w:rsidRDefault="00F368F4" w:rsidP="004518B0">
      <w:pPr>
        <w:pStyle w:val="SingleTxtG"/>
        <w:ind w:left="2268"/>
        <w:rPr>
          <w:b/>
          <w:bCs/>
          <w:sz w:val="16"/>
          <w:szCs w:val="16"/>
        </w:rPr>
      </w:pPr>
      <w:r w:rsidRPr="005B0501">
        <w:rPr>
          <w:rFonts w:eastAsia="Calibri"/>
          <w:b/>
          <w:bCs/>
        </w:rPr>
        <w:lastRenderedPageBreak/>
        <w:t>Lorsque deux feux facultatifs (catégorie 2a ou 2b) équipent des véhicules des catégories M</w:t>
      </w:r>
      <w:r w:rsidRPr="005B0501">
        <w:rPr>
          <w:rFonts w:eastAsia="Calibri"/>
          <w:b/>
          <w:bCs/>
          <w:vertAlign w:val="subscript"/>
        </w:rPr>
        <w:t>2</w:t>
      </w:r>
      <w:r w:rsidRPr="005B0501">
        <w:rPr>
          <w:rFonts w:eastAsia="Calibri"/>
          <w:b/>
          <w:bCs/>
        </w:rPr>
        <w:t>, M</w:t>
      </w:r>
      <w:r w:rsidRPr="005B0501">
        <w:rPr>
          <w:rFonts w:eastAsia="Calibri"/>
          <w:b/>
          <w:bCs/>
          <w:vertAlign w:val="subscript"/>
        </w:rPr>
        <w:t>3</w:t>
      </w:r>
      <w:r w:rsidRPr="005B0501">
        <w:rPr>
          <w:rFonts w:eastAsia="Calibri"/>
          <w:b/>
          <w:bCs/>
        </w:rPr>
        <w:t>, N</w:t>
      </w:r>
      <w:r w:rsidRPr="005B0501">
        <w:rPr>
          <w:rFonts w:eastAsia="Calibri"/>
          <w:b/>
          <w:bCs/>
          <w:vertAlign w:val="subscript"/>
        </w:rPr>
        <w:t>2</w:t>
      </w:r>
      <w:r w:rsidRPr="005B0501">
        <w:rPr>
          <w:rFonts w:eastAsia="Calibri"/>
          <w:b/>
          <w:bCs/>
        </w:rPr>
        <w:t xml:space="preserve"> ou N</w:t>
      </w:r>
      <w:r w:rsidRPr="005B0501">
        <w:rPr>
          <w:rFonts w:eastAsia="Calibri"/>
          <w:b/>
          <w:bCs/>
          <w:vertAlign w:val="subscript"/>
        </w:rPr>
        <w:t>3</w:t>
      </w:r>
      <w:r w:rsidRPr="005B0501">
        <w:rPr>
          <w:rFonts w:eastAsia="Calibri"/>
          <w:b/>
          <w:bCs/>
        </w:rPr>
        <w:t>, ils doivent fonctionner sur le même mode que les autres feux indicateurs de direction arrière (catégorie 2a ou 2b), c’est à dire en mode statique ou en mode séquentiel.</w:t>
      </w:r>
      <w:r w:rsidR="005B0501">
        <w:t> </w:t>
      </w:r>
      <w:r w:rsidR="005B0501" w:rsidRPr="005B0501">
        <w:t>»</w:t>
      </w:r>
      <w:r w:rsidRPr="005B0501">
        <w:rPr>
          <w:rFonts w:eastAsia="Calibri"/>
        </w:rPr>
        <w:t>.</w:t>
      </w:r>
    </w:p>
    <w:p w14:paraId="6A9F213D" w14:textId="1B2F70C6" w:rsidR="00F368F4" w:rsidRPr="005B0501" w:rsidRDefault="00F368F4" w:rsidP="00C60D95">
      <w:pPr>
        <w:pStyle w:val="SingleTxtG"/>
        <w:rPr>
          <w:i/>
          <w:iCs/>
        </w:rPr>
      </w:pPr>
      <w:r w:rsidRPr="005B0501">
        <w:rPr>
          <w:i/>
          <w:iCs/>
        </w:rPr>
        <w:t>Paragraphe 6.5.8, appel de bas de page 13</w:t>
      </w:r>
      <w:r w:rsidRPr="004518B0">
        <w:t>,</w:t>
      </w:r>
      <w:r w:rsidRPr="005B0501">
        <w:rPr>
          <w:i/>
          <w:iCs/>
        </w:rPr>
        <w:t xml:space="preserve"> </w:t>
      </w:r>
      <w:r w:rsidRPr="005B0501">
        <w:t>supprimer</w:t>
      </w:r>
      <w:r w:rsidRPr="005B0501">
        <w:rPr>
          <w:i/>
          <w:iCs/>
        </w:rPr>
        <w:t>.</w:t>
      </w:r>
    </w:p>
    <w:p w14:paraId="75CB1A8B" w14:textId="4EA47E76" w:rsidR="00F368F4" w:rsidRPr="005B0501" w:rsidRDefault="00F368F4" w:rsidP="004E58D6">
      <w:pPr>
        <w:pStyle w:val="SingleTxtG"/>
        <w:keepNext/>
      </w:pPr>
      <w:r w:rsidRPr="004E58D6">
        <w:rPr>
          <w:i/>
          <w:iCs/>
        </w:rPr>
        <w:t>Paragraphe</w:t>
      </w:r>
      <w:r w:rsidRPr="005B0501">
        <w:rPr>
          <w:i/>
          <w:szCs w:val="16"/>
        </w:rPr>
        <w:t xml:space="preserve"> 6.18.9</w:t>
      </w:r>
      <w:r w:rsidRPr="00C60D95">
        <w:rPr>
          <w:iCs/>
          <w:szCs w:val="16"/>
        </w:rPr>
        <w:t xml:space="preserve">, </w:t>
      </w:r>
      <w:r w:rsidRPr="005B0501">
        <w:rPr>
          <w:szCs w:val="16"/>
        </w:rPr>
        <w:t>lire</w:t>
      </w:r>
      <w:r w:rsidR="00EB6374" w:rsidRPr="005B0501">
        <w:rPr>
          <w:szCs w:val="16"/>
        </w:rPr>
        <w:t> :</w:t>
      </w:r>
    </w:p>
    <w:p w14:paraId="0BC62A3B" w14:textId="52F7EDA0" w:rsidR="00F368F4" w:rsidRPr="005B0501" w:rsidRDefault="005B0501" w:rsidP="00C60D95">
      <w:pPr>
        <w:pStyle w:val="SingleTxtG"/>
        <w:keepNext/>
        <w:ind w:left="2268" w:hanging="1134"/>
      </w:pPr>
      <w:r w:rsidRPr="005B0501">
        <w:t>«</w:t>
      </w:r>
      <w:r>
        <w:t> </w:t>
      </w:r>
      <w:r w:rsidR="00F368F4" w:rsidRPr="005B0501">
        <w:t>6.18.9</w:t>
      </w:r>
      <w:r w:rsidR="00F368F4" w:rsidRPr="005B0501">
        <w:tab/>
        <w:t>Autres prescriptions</w:t>
      </w:r>
    </w:p>
    <w:p w14:paraId="4C4EC3EB" w14:textId="77777777" w:rsidR="00F368F4" w:rsidRPr="005B0501" w:rsidRDefault="00F368F4" w:rsidP="004518B0">
      <w:pPr>
        <w:pStyle w:val="SingleTxtG"/>
        <w:ind w:left="2268"/>
      </w:pPr>
      <w:r w:rsidRPr="005B0501">
        <w:t>Si les feux de position latéraux les plus en arrière sont combinés avec des feux de position arrière eux-mêmes mutuellement incorporés aux feux de brouillard arrière ou aux feux-stop, leurs caractéristiques photométriques peuvent être modifiées pendant tout le temps où sont allumés les feux de brouillard arrière ou les feux-stop.</w:t>
      </w:r>
    </w:p>
    <w:p w14:paraId="04BEE7D7" w14:textId="77777777" w:rsidR="00F368F4" w:rsidRPr="005B0501" w:rsidRDefault="00F368F4" w:rsidP="004518B0">
      <w:pPr>
        <w:pStyle w:val="SingleTxtG"/>
        <w:ind w:left="2268"/>
      </w:pPr>
      <w:r w:rsidRPr="005B0501">
        <w:t xml:space="preserve">Les feux de position latéraux arrière doivent être orange s’ils clignotent avec le </w:t>
      </w:r>
      <w:r w:rsidRPr="004518B0">
        <w:rPr>
          <w:rFonts w:eastAsia="Calibri"/>
        </w:rPr>
        <w:t>feu</w:t>
      </w:r>
      <w:r w:rsidRPr="005B0501">
        <w:t xml:space="preserve"> de position arrière.</w:t>
      </w:r>
    </w:p>
    <w:p w14:paraId="2AD0D1F0" w14:textId="263CC394" w:rsidR="00F368F4" w:rsidRPr="005B0501" w:rsidRDefault="00F368F4" w:rsidP="004518B0">
      <w:pPr>
        <w:pStyle w:val="SingleTxtG"/>
        <w:ind w:left="2268"/>
        <w:rPr>
          <w:b/>
        </w:rPr>
      </w:pPr>
      <w:r w:rsidRPr="005B0501">
        <w:rPr>
          <w:b/>
          <w:bCs/>
        </w:rPr>
        <w:t>Si un feu de position latéral facultatif est groupé ou combiné avec un feu de position lui-même mutuellement incorporé ou groupé avec le feu indicateur de direction, les branchements électriques du feu de position latéral du côté correspondant du véhicule peuvent être conçus de telle sorte que le feu de position latéral soit éteint pendant la totalité de la période d’activation du feu indicateur de direction (autant pendant les phases d’allumage que pendant les phases d’extinction).</w:t>
      </w:r>
      <w:r w:rsidR="005B0501">
        <w:t> </w:t>
      </w:r>
      <w:r w:rsidR="005B0501" w:rsidRPr="005B0501">
        <w:t>»</w:t>
      </w:r>
      <w:r w:rsidR="004518B0">
        <w:t>.</w:t>
      </w:r>
    </w:p>
    <w:p w14:paraId="2812ABD2" w14:textId="37B8EAF6" w:rsidR="00F368F4" w:rsidRPr="005B0501" w:rsidRDefault="00F368F4" w:rsidP="004E58D6">
      <w:pPr>
        <w:pStyle w:val="SingleTxtG"/>
        <w:keepNext/>
      </w:pPr>
      <w:r w:rsidRPr="004E58D6">
        <w:rPr>
          <w:i/>
          <w:iCs/>
        </w:rPr>
        <w:t>Paragraphe</w:t>
      </w:r>
      <w:r w:rsidRPr="005B0501">
        <w:rPr>
          <w:i/>
        </w:rPr>
        <w:t xml:space="preserve"> 6.20</w:t>
      </w:r>
      <w:r w:rsidRPr="004518B0">
        <w:rPr>
          <w:iCs/>
        </w:rPr>
        <w:t>,</w:t>
      </w:r>
      <w:r w:rsidRPr="005B0501">
        <w:rPr>
          <w:i/>
        </w:rPr>
        <w:t xml:space="preserve"> </w:t>
      </w:r>
      <w:r w:rsidRPr="005B0501">
        <w:rPr>
          <w:rFonts w:eastAsia="MS Mincho"/>
        </w:rPr>
        <w:t>lire</w:t>
      </w:r>
      <w:r w:rsidR="00EB6374" w:rsidRPr="005B0501">
        <w:rPr>
          <w:rFonts w:eastAsia="MS Mincho"/>
        </w:rPr>
        <w:t> :</w:t>
      </w:r>
    </w:p>
    <w:p w14:paraId="6F5663A3" w14:textId="096E1831" w:rsidR="00F368F4" w:rsidRPr="005B0501" w:rsidRDefault="005B0501" w:rsidP="00295078">
      <w:pPr>
        <w:pStyle w:val="SingleTxtG"/>
        <w:ind w:left="2268" w:hanging="1134"/>
        <w:rPr>
          <w:snapToGrid w:val="0"/>
        </w:rPr>
      </w:pPr>
      <w:r w:rsidRPr="005B0501">
        <w:t>«</w:t>
      </w:r>
      <w:r>
        <w:t> </w:t>
      </w:r>
      <w:r w:rsidR="00F368F4" w:rsidRPr="005B0501">
        <w:rPr>
          <w:snapToGrid w:val="0"/>
        </w:rPr>
        <w:t>6.20</w:t>
      </w:r>
      <w:r w:rsidR="00F368F4" w:rsidRPr="005B0501">
        <w:rPr>
          <w:snapToGrid w:val="0"/>
        </w:rPr>
        <w:tab/>
      </w:r>
      <w:r w:rsidR="00F368F4" w:rsidRPr="00295078">
        <w:t>Feu</w:t>
      </w:r>
      <w:r w:rsidR="00F368F4" w:rsidRPr="005B0501">
        <w:rPr>
          <w:snapToGrid w:val="0"/>
        </w:rPr>
        <w:t xml:space="preserve"> d’angle (Règlement ONU </w:t>
      </w:r>
      <w:r w:rsidR="00F368F4" w:rsidRPr="005B0501">
        <w:rPr>
          <w:rFonts w:eastAsia="MS Mincho"/>
        </w:rPr>
        <w:t>n</w:t>
      </w:r>
      <w:r w:rsidR="00F368F4" w:rsidRPr="005B0501">
        <w:rPr>
          <w:rFonts w:eastAsia="MS Mincho"/>
          <w:vertAlign w:val="superscript"/>
        </w:rPr>
        <w:t>o</w:t>
      </w:r>
      <w:r w:rsidR="00F368F4" w:rsidRPr="005B0501">
        <w:rPr>
          <w:rFonts w:eastAsia="MS Mincho"/>
        </w:rPr>
        <w:t> </w:t>
      </w:r>
      <w:r w:rsidR="00F368F4" w:rsidRPr="005B0501">
        <w:rPr>
          <w:snapToGrid w:val="0"/>
        </w:rPr>
        <w:t xml:space="preserve">119 ou </w:t>
      </w:r>
      <w:r w:rsidR="00F368F4" w:rsidRPr="005B0501">
        <w:rPr>
          <w:strike/>
          <w:snapToGrid w:val="0"/>
        </w:rPr>
        <w:t>148</w:t>
      </w:r>
      <w:r w:rsidR="00F368F4" w:rsidRPr="005B0501">
        <w:rPr>
          <w:b/>
          <w:bCs/>
          <w:snapToGrid w:val="0"/>
        </w:rPr>
        <w:t>149</w:t>
      </w:r>
      <w:r w:rsidR="00F368F4" w:rsidRPr="005B0501">
        <w:rPr>
          <w:snapToGrid w:val="0"/>
        </w:rPr>
        <w:t>)</w:t>
      </w:r>
      <w:r>
        <w:t> </w:t>
      </w:r>
      <w:r w:rsidRPr="005B0501">
        <w:t>»</w:t>
      </w:r>
      <w:r w:rsidR="00F368F4" w:rsidRPr="005B0501">
        <w:rPr>
          <w:snapToGrid w:val="0"/>
        </w:rPr>
        <w:t>.</w:t>
      </w:r>
    </w:p>
    <w:p w14:paraId="603967F0" w14:textId="388AB490" w:rsidR="00F368F4" w:rsidRPr="005B0501" w:rsidRDefault="00F368F4" w:rsidP="004E58D6">
      <w:pPr>
        <w:pStyle w:val="SingleTxtG"/>
        <w:keepNext/>
      </w:pPr>
      <w:r w:rsidRPr="005B0501">
        <w:rPr>
          <w:i/>
          <w:iCs/>
        </w:rPr>
        <w:t>Paragraphe 6.22.4.1.2, note de bas de page 14</w:t>
      </w:r>
      <w:r w:rsidRPr="004518B0">
        <w:t xml:space="preserve">, </w:t>
      </w:r>
      <w:r w:rsidRPr="005B0501">
        <w:t>lire</w:t>
      </w:r>
      <w:r w:rsidR="00EB6374" w:rsidRPr="005B0501">
        <w:t> :</w:t>
      </w:r>
    </w:p>
    <w:p w14:paraId="1555489E" w14:textId="57B3F7D4" w:rsidR="00F368F4" w:rsidRPr="005B0501" w:rsidRDefault="004518B0" w:rsidP="005A3A19">
      <w:pPr>
        <w:pStyle w:val="Notedebasdepage"/>
        <w:spacing w:after="240"/>
        <w:rPr>
          <w:szCs w:val="18"/>
        </w:rPr>
      </w:pPr>
      <w:r>
        <w:tab/>
      </w:r>
      <w:r w:rsidR="005B0501" w:rsidRPr="004518B0">
        <w:rPr>
          <w:sz w:val="20"/>
        </w:rPr>
        <w:t>« </w:t>
      </w:r>
      <w:r w:rsidR="00F368F4" w:rsidRPr="004518B0">
        <w:rPr>
          <w:b/>
          <w:bCs/>
          <w:szCs w:val="18"/>
          <w:vertAlign w:val="superscript"/>
        </w:rPr>
        <w:t>13</w:t>
      </w:r>
      <w:r w:rsidR="00F368F4" w:rsidRPr="005B0501">
        <w:rPr>
          <w:szCs w:val="18"/>
        </w:rPr>
        <w:tab/>
        <w:t xml:space="preserve">Dans le cas de </w:t>
      </w:r>
      <w:r>
        <w:rPr>
          <w:szCs w:val="18"/>
        </w:rPr>
        <w:t>“</w:t>
      </w:r>
      <w:r w:rsidR="00F368F4" w:rsidRPr="005B0501">
        <w:rPr>
          <w:szCs w:val="18"/>
        </w:rPr>
        <w:t>deux unités d’éclairage supplémentaires placées symétriquement</w:t>
      </w:r>
      <w:r>
        <w:rPr>
          <w:szCs w:val="18"/>
        </w:rPr>
        <w:t>”</w:t>
      </w:r>
      <w:r w:rsidR="00F368F4" w:rsidRPr="005B0501">
        <w:rPr>
          <w:szCs w:val="18"/>
        </w:rPr>
        <w:t>, la distance horizontale peut être de 200 mm (C sur la figure).</w:t>
      </w:r>
      <w:r w:rsidR="005B0501" w:rsidRPr="004518B0">
        <w:rPr>
          <w:sz w:val="20"/>
        </w:rPr>
        <w:t> »</w:t>
      </w:r>
      <w:r w:rsidRPr="004518B0">
        <w:rPr>
          <w:sz w:val="20"/>
        </w:rPr>
        <w:t>.</w:t>
      </w:r>
    </w:p>
    <w:p w14:paraId="03CF947E" w14:textId="2BD366E9" w:rsidR="00F368F4" w:rsidRPr="005B0501" w:rsidRDefault="00F368F4" w:rsidP="004E58D6">
      <w:pPr>
        <w:pStyle w:val="SingleTxtG"/>
        <w:keepNext/>
      </w:pPr>
      <w:r w:rsidRPr="004E58D6">
        <w:rPr>
          <w:i/>
          <w:iCs/>
        </w:rPr>
        <w:t>Paragraphe</w:t>
      </w:r>
      <w:r w:rsidRPr="005B0501">
        <w:rPr>
          <w:i/>
        </w:rPr>
        <w:t xml:space="preserve"> 6.22.7.4.3</w:t>
      </w:r>
      <w:r w:rsidRPr="005B0501">
        <w:t>, lire</w:t>
      </w:r>
      <w:r w:rsidR="00EB6374" w:rsidRPr="005B0501">
        <w:t> :</w:t>
      </w:r>
    </w:p>
    <w:p w14:paraId="4D805700" w14:textId="28640CFE" w:rsidR="00F368F4" w:rsidRPr="005B0501" w:rsidRDefault="005B0501" w:rsidP="00295078">
      <w:pPr>
        <w:pStyle w:val="SingleTxtG"/>
        <w:ind w:left="2268" w:hanging="1134"/>
        <w:rPr>
          <w:lang w:eastAsia="fr-FR"/>
        </w:rPr>
      </w:pPr>
      <w:r w:rsidRPr="005B0501">
        <w:t>«</w:t>
      </w:r>
      <w:r>
        <w:t> </w:t>
      </w:r>
      <w:r w:rsidR="00F368F4" w:rsidRPr="005B0501">
        <w:t>6.22.7.4.3</w:t>
      </w:r>
      <w:r w:rsidR="00F368F4" w:rsidRPr="005B0501">
        <w:tab/>
      </w:r>
      <w:r w:rsidR="00F368F4" w:rsidRPr="005B0501">
        <w:rPr>
          <w:lang w:eastAsia="fr-FR"/>
        </w:rPr>
        <w:t>Le ou les modes de la classe</w:t>
      </w:r>
      <w:r w:rsidR="004518B0">
        <w:rPr>
          <w:lang w:eastAsia="fr-FR"/>
        </w:rPr>
        <w:t xml:space="preserve"> </w:t>
      </w:r>
      <w:r w:rsidR="00F368F4" w:rsidRPr="005B0501">
        <w:rPr>
          <w:lang w:eastAsia="fr-FR"/>
        </w:rPr>
        <w:t xml:space="preserve">E du faisceau de croisement ne doivent fonctionner que si la vitesse du véhicule dépasse </w:t>
      </w:r>
      <w:r w:rsidR="00F368F4" w:rsidRPr="005B0501">
        <w:rPr>
          <w:rFonts w:eastAsia="Calibri"/>
          <w:lang w:eastAsia="fr-FR"/>
        </w:rPr>
        <w:t>6</w:t>
      </w:r>
      <w:r w:rsidR="00F368F4" w:rsidRPr="005B0501">
        <w:rPr>
          <w:lang w:eastAsia="fr-FR"/>
        </w:rPr>
        <w:t>0 km/h et une ou plusieurs des conditions ci-dessous sont automatiquement détectées</w:t>
      </w:r>
      <w:r w:rsidR="00EB6374" w:rsidRPr="005B0501">
        <w:rPr>
          <w:lang w:eastAsia="fr-FR"/>
        </w:rPr>
        <w:t> :</w:t>
      </w:r>
    </w:p>
    <w:p w14:paraId="372741AF" w14:textId="77777777" w:rsidR="004518B0" w:rsidRDefault="00F368F4" w:rsidP="004518B0">
      <w:pPr>
        <w:pStyle w:val="SingleTxtG"/>
        <w:ind w:left="2835" w:hanging="567"/>
        <w:rPr>
          <w:rFonts w:eastAsia="Calibri"/>
          <w:lang w:eastAsia="fr-FR"/>
        </w:rPr>
      </w:pPr>
      <w:r w:rsidRPr="005B0501">
        <w:t>a)</w:t>
      </w:r>
      <w:r w:rsidRPr="005B0501">
        <w:tab/>
      </w:r>
      <w:r w:rsidRPr="005B0501">
        <w:rPr>
          <w:lang w:eastAsia="fr-FR"/>
        </w:rPr>
        <w:t>Les caractéristiques de la route correspondent à celles d’une autoroute</w:t>
      </w:r>
      <w:r w:rsidRPr="004518B0">
        <w:rPr>
          <w:rFonts w:eastAsia="Calibri"/>
          <w:strike/>
          <w:sz w:val="18"/>
          <w:szCs w:val="18"/>
          <w:vertAlign w:val="superscript"/>
          <w:lang w:eastAsia="fr-FR"/>
        </w:rPr>
        <w:t>15</w:t>
      </w:r>
      <w:r w:rsidRPr="004518B0">
        <w:rPr>
          <w:rFonts w:eastAsia="Calibri"/>
          <w:b/>
          <w:bCs/>
          <w:sz w:val="18"/>
          <w:szCs w:val="18"/>
          <w:vertAlign w:val="superscript"/>
          <w:lang w:eastAsia="fr-FR"/>
        </w:rPr>
        <w:t>14</w:t>
      </w:r>
      <w:r w:rsidRPr="005B0501">
        <w:t xml:space="preserve"> </w:t>
      </w:r>
      <w:r w:rsidRPr="005B0501">
        <w:rPr>
          <w:lang w:eastAsia="fr-FR"/>
        </w:rPr>
        <w:t>ou la vitesse du véhicule dépasse 110 km/h (application du signal E)</w:t>
      </w:r>
      <w:r w:rsidR="00EB6374" w:rsidRPr="005B0501">
        <w:rPr>
          <w:rFonts w:eastAsia="Calibri"/>
          <w:lang w:eastAsia="fr-FR"/>
        </w:rPr>
        <w:t> ;</w:t>
      </w:r>
    </w:p>
    <w:p w14:paraId="5BFE7767" w14:textId="1DC29CA9" w:rsidR="00F368F4" w:rsidRPr="005B0501" w:rsidRDefault="00F368F4" w:rsidP="004518B0">
      <w:pPr>
        <w:pStyle w:val="SingleTxtG"/>
        <w:ind w:left="2835" w:hanging="567"/>
      </w:pPr>
      <w:r w:rsidRPr="005B0501">
        <w:t>b)</w:t>
      </w:r>
      <w:r w:rsidRPr="005B0501">
        <w:tab/>
      </w:r>
      <w:r w:rsidRPr="005B0501">
        <w:rPr>
          <w:lang w:eastAsia="fr-FR"/>
        </w:rPr>
        <w:t>Lorsqu’un mode de la classe</w:t>
      </w:r>
      <w:r w:rsidR="005E75A7">
        <w:rPr>
          <w:lang w:eastAsia="fr-FR"/>
        </w:rPr>
        <w:t xml:space="preserve"> </w:t>
      </w:r>
      <w:r w:rsidRPr="005B0501">
        <w:rPr>
          <w:lang w:eastAsia="fr-FR"/>
        </w:rPr>
        <w:t>E du faisceau de croisement est conforme, d’après les documents d’homologation ou la fiche de communication du système, à un ensemble de données du tableau</w:t>
      </w:r>
      <w:r w:rsidR="004518B0">
        <w:rPr>
          <w:lang w:eastAsia="fr-FR"/>
        </w:rPr>
        <w:t xml:space="preserve"> </w:t>
      </w:r>
      <w:r w:rsidRPr="005B0501">
        <w:rPr>
          <w:lang w:eastAsia="fr-FR"/>
        </w:rPr>
        <w:t>6 de</w:t>
      </w:r>
      <w:r w:rsidR="004518B0">
        <w:rPr>
          <w:lang w:eastAsia="fr-FR"/>
        </w:rPr>
        <w:t xml:space="preserve"> </w:t>
      </w:r>
      <w:r w:rsidRPr="005B0501">
        <w:rPr>
          <w:lang w:eastAsia="fr-FR"/>
        </w:rPr>
        <w:t>l’annexe</w:t>
      </w:r>
      <w:r w:rsidR="004518B0">
        <w:rPr>
          <w:lang w:eastAsia="fr-FR"/>
        </w:rPr>
        <w:t xml:space="preserve"> </w:t>
      </w:r>
      <w:r w:rsidRPr="005B0501">
        <w:rPr>
          <w:lang w:eastAsia="fr-FR"/>
        </w:rPr>
        <w:t xml:space="preserve">3 du Règlement </w:t>
      </w:r>
      <w:r w:rsidRPr="005B0501">
        <w:rPr>
          <w:rFonts w:eastAsia="Calibri"/>
          <w:lang w:eastAsia="fr-FR"/>
        </w:rPr>
        <w:t xml:space="preserve">ONU </w:t>
      </w:r>
      <w:r w:rsidRPr="005B0501">
        <w:rPr>
          <w:rFonts w:eastAsia="MS Mincho"/>
        </w:rPr>
        <w:t>n</w:t>
      </w:r>
      <w:r w:rsidRPr="005B0501">
        <w:rPr>
          <w:rFonts w:eastAsia="MS Mincho"/>
          <w:vertAlign w:val="superscript"/>
        </w:rPr>
        <w:t>o</w:t>
      </w:r>
      <w:r w:rsidRPr="005B0501">
        <w:rPr>
          <w:rFonts w:eastAsia="MS Mincho"/>
        </w:rPr>
        <w:t> </w:t>
      </w:r>
      <w:r w:rsidRPr="005B0501">
        <w:rPr>
          <w:lang w:eastAsia="fr-FR"/>
        </w:rPr>
        <w:t>123</w:t>
      </w:r>
      <w:r w:rsidRPr="005B0501">
        <w:rPr>
          <w:rFonts w:eastAsia="Calibri"/>
          <w:lang w:eastAsia="fr-FR"/>
        </w:rPr>
        <w:t xml:space="preserve"> </w:t>
      </w:r>
      <w:r w:rsidRPr="005B0501">
        <w:rPr>
          <w:lang w:eastAsia="fr-FR"/>
        </w:rPr>
        <w:t>o</w:t>
      </w:r>
      <w:r w:rsidRPr="005B0501">
        <w:rPr>
          <w:rFonts w:eastAsia="Calibri"/>
          <w:lang w:eastAsia="fr-FR"/>
        </w:rPr>
        <w:t>u</w:t>
      </w:r>
      <w:r w:rsidRPr="005B0501">
        <w:rPr>
          <w:lang w:eastAsia="fr-FR"/>
        </w:rPr>
        <w:t xml:space="preserve"> du tableau </w:t>
      </w:r>
      <w:r w:rsidRPr="005B0501">
        <w:rPr>
          <w:rFonts w:eastAsia="Calibri"/>
          <w:lang w:eastAsia="fr-FR"/>
        </w:rPr>
        <w:t xml:space="preserve">14 </w:t>
      </w:r>
      <w:r w:rsidRPr="005B0501">
        <w:rPr>
          <w:lang w:eastAsia="fr-FR"/>
        </w:rPr>
        <w:t xml:space="preserve">du Règlement ONU </w:t>
      </w:r>
      <w:r w:rsidRPr="005B0501">
        <w:rPr>
          <w:rFonts w:eastAsia="MS Mincho"/>
        </w:rPr>
        <w:t>n</w:t>
      </w:r>
      <w:r w:rsidRPr="005B0501">
        <w:rPr>
          <w:rFonts w:eastAsia="MS Mincho"/>
          <w:vertAlign w:val="superscript"/>
        </w:rPr>
        <w:t>o</w:t>
      </w:r>
      <w:r w:rsidRPr="005B0501">
        <w:rPr>
          <w:rFonts w:eastAsia="MS Mincho"/>
        </w:rPr>
        <w:t> </w:t>
      </w:r>
      <w:r w:rsidRPr="005B0501">
        <w:rPr>
          <w:lang w:eastAsia="fr-FR"/>
        </w:rPr>
        <w:t>149.</w:t>
      </w:r>
    </w:p>
    <w:p w14:paraId="4C3793C4" w14:textId="106ADA81" w:rsidR="00F368F4" w:rsidRPr="004518B0" w:rsidRDefault="00F368F4" w:rsidP="004518B0">
      <w:pPr>
        <w:pStyle w:val="SingleTxtG"/>
        <w:ind w:left="2268"/>
        <w:rPr>
          <w:strike/>
        </w:rPr>
      </w:pPr>
      <w:r w:rsidRPr="004518B0">
        <w:rPr>
          <w:strike/>
        </w:rPr>
        <w:tab/>
      </w:r>
      <w:r w:rsidRPr="004518B0">
        <w:rPr>
          <w:strike/>
          <w:lang w:eastAsia="fr-FR"/>
        </w:rPr>
        <w:t>Ensemble de données</w:t>
      </w:r>
      <w:r w:rsidR="004518B0">
        <w:rPr>
          <w:strike/>
          <w:lang w:eastAsia="fr-FR"/>
        </w:rPr>
        <w:t xml:space="preserve"> </w:t>
      </w:r>
      <w:r w:rsidRPr="004518B0">
        <w:rPr>
          <w:strike/>
          <w:lang w:eastAsia="fr-FR"/>
        </w:rPr>
        <w:t>E1</w:t>
      </w:r>
      <w:r w:rsidR="00EB6374" w:rsidRPr="004518B0">
        <w:rPr>
          <w:rFonts w:eastAsia="Calibri"/>
          <w:strike/>
          <w:lang w:eastAsia="fr-FR"/>
        </w:rPr>
        <w:t> :</w:t>
      </w:r>
      <w:r w:rsidRPr="004518B0">
        <w:rPr>
          <w:strike/>
          <w:lang w:eastAsia="fr-FR"/>
        </w:rPr>
        <w:t xml:space="preserve"> vitesse du véhicule supérieure à 100 km/h (application du signal</w:t>
      </w:r>
      <w:r w:rsidR="004518B0">
        <w:rPr>
          <w:strike/>
          <w:lang w:eastAsia="fr-FR"/>
        </w:rPr>
        <w:t xml:space="preserve"> </w:t>
      </w:r>
      <w:r w:rsidRPr="004518B0">
        <w:rPr>
          <w:strike/>
          <w:lang w:eastAsia="fr-FR"/>
        </w:rPr>
        <w:t>E1)</w:t>
      </w:r>
      <w:r w:rsidR="00EB6374" w:rsidRPr="004518B0">
        <w:rPr>
          <w:rFonts w:eastAsia="Calibri"/>
          <w:strike/>
          <w:lang w:eastAsia="fr-FR"/>
        </w:rPr>
        <w:t> ;</w:t>
      </w:r>
    </w:p>
    <w:p w14:paraId="0B2CAEE2" w14:textId="58B3C4F0" w:rsidR="00F368F4" w:rsidRPr="004518B0" w:rsidRDefault="00F368F4" w:rsidP="004518B0">
      <w:pPr>
        <w:pStyle w:val="SingleTxtG"/>
        <w:ind w:left="2268"/>
        <w:rPr>
          <w:strike/>
        </w:rPr>
      </w:pPr>
      <w:r w:rsidRPr="004518B0">
        <w:rPr>
          <w:strike/>
        </w:rPr>
        <w:tab/>
      </w:r>
      <w:r w:rsidRPr="004518B0">
        <w:rPr>
          <w:strike/>
          <w:lang w:eastAsia="fr-FR"/>
        </w:rPr>
        <w:t>Ensemble de données</w:t>
      </w:r>
      <w:r w:rsidR="004518B0">
        <w:rPr>
          <w:strike/>
          <w:lang w:eastAsia="fr-FR"/>
        </w:rPr>
        <w:t xml:space="preserve"> </w:t>
      </w:r>
      <w:r w:rsidRPr="004518B0">
        <w:rPr>
          <w:strike/>
          <w:lang w:eastAsia="fr-FR"/>
        </w:rPr>
        <w:t>E2</w:t>
      </w:r>
      <w:r w:rsidR="00EB6374" w:rsidRPr="004518B0">
        <w:rPr>
          <w:rFonts w:eastAsia="Calibri"/>
          <w:strike/>
          <w:lang w:eastAsia="fr-FR"/>
        </w:rPr>
        <w:t> :</w:t>
      </w:r>
      <w:r w:rsidRPr="004518B0">
        <w:rPr>
          <w:strike/>
          <w:lang w:eastAsia="fr-FR"/>
        </w:rPr>
        <w:t xml:space="preserve"> vitesse du véhicule supérieure à 90 km/h (application du signal</w:t>
      </w:r>
      <w:r w:rsidR="004518B0">
        <w:rPr>
          <w:strike/>
          <w:lang w:eastAsia="fr-FR"/>
        </w:rPr>
        <w:t xml:space="preserve"> </w:t>
      </w:r>
      <w:r w:rsidRPr="004518B0">
        <w:rPr>
          <w:strike/>
          <w:lang w:eastAsia="fr-FR"/>
        </w:rPr>
        <w:t>E2)</w:t>
      </w:r>
      <w:r w:rsidR="00EB6374" w:rsidRPr="004518B0">
        <w:rPr>
          <w:rFonts w:eastAsia="Calibri"/>
          <w:strike/>
          <w:lang w:eastAsia="fr-FR"/>
        </w:rPr>
        <w:t> ;</w:t>
      </w:r>
    </w:p>
    <w:p w14:paraId="4C3DBE10" w14:textId="6B1944B3" w:rsidR="00F368F4" w:rsidRPr="004518B0" w:rsidRDefault="00F368F4" w:rsidP="004518B0">
      <w:pPr>
        <w:pStyle w:val="SingleTxtG"/>
        <w:ind w:left="2268"/>
        <w:rPr>
          <w:b/>
          <w:strike/>
        </w:rPr>
      </w:pPr>
      <w:r w:rsidRPr="004518B0">
        <w:rPr>
          <w:strike/>
        </w:rPr>
        <w:tab/>
      </w:r>
      <w:r w:rsidRPr="004518B0">
        <w:rPr>
          <w:strike/>
          <w:lang w:eastAsia="fr-FR"/>
        </w:rPr>
        <w:t>Ensemble de données</w:t>
      </w:r>
      <w:r w:rsidR="004518B0">
        <w:rPr>
          <w:strike/>
          <w:lang w:eastAsia="fr-FR"/>
        </w:rPr>
        <w:t xml:space="preserve"> </w:t>
      </w:r>
      <w:r w:rsidRPr="004518B0">
        <w:rPr>
          <w:strike/>
          <w:lang w:eastAsia="fr-FR"/>
        </w:rPr>
        <w:t>E3</w:t>
      </w:r>
      <w:r w:rsidR="00EB6374" w:rsidRPr="004518B0">
        <w:rPr>
          <w:rFonts w:eastAsia="Calibri"/>
          <w:strike/>
          <w:lang w:eastAsia="fr-FR"/>
        </w:rPr>
        <w:t> :</w:t>
      </w:r>
      <w:r w:rsidRPr="004518B0">
        <w:rPr>
          <w:strike/>
          <w:lang w:eastAsia="fr-FR"/>
        </w:rPr>
        <w:t xml:space="preserve"> vitesse du véhicule supérieure à 80 km/h (application du signal</w:t>
      </w:r>
      <w:r w:rsidR="004518B0">
        <w:rPr>
          <w:strike/>
          <w:lang w:eastAsia="fr-FR"/>
        </w:rPr>
        <w:t xml:space="preserve"> </w:t>
      </w:r>
      <w:r w:rsidRPr="004518B0">
        <w:rPr>
          <w:strike/>
          <w:lang w:eastAsia="fr-FR"/>
        </w:rPr>
        <w:t>E3).</w:t>
      </w:r>
    </w:p>
    <w:p w14:paraId="77B13ADC" w14:textId="1022156A" w:rsidR="00F368F4" w:rsidRPr="004518B0" w:rsidRDefault="00F368F4" w:rsidP="004518B0">
      <w:pPr>
        <w:pStyle w:val="SingleTxtG"/>
        <w:ind w:left="2835"/>
        <w:rPr>
          <w:b/>
          <w:bCs/>
        </w:rPr>
      </w:pPr>
      <w:r w:rsidRPr="004518B0">
        <w:rPr>
          <w:b/>
          <w:bCs/>
        </w:rPr>
        <w:t>Ensemble de données E1</w:t>
      </w:r>
      <w:r w:rsidR="00EB6374" w:rsidRPr="004518B0">
        <w:rPr>
          <w:b/>
          <w:bCs/>
        </w:rPr>
        <w:t> :</w:t>
      </w:r>
      <w:r w:rsidRPr="004518B0">
        <w:rPr>
          <w:b/>
          <w:bCs/>
        </w:rPr>
        <w:t xml:space="preserve"> vitesse du véhicule supérieure à 100</w:t>
      </w:r>
      <w:r w:rsidR="005E75A7">
        <w:rPr>
          <w:b/>
          <w:bCs/>
        </w:rPr>
        <w:t> </w:t>
      </w:r>
      <w:r w:rsidRPr="004518B0">
        <w:rPr>
          <w:b/>
          <w:bCs/>
        </w:rPr>
        <w:t>km/h (application du signal E1)</w:t>
      </w:r>
      <w:r w:rsidR="00EB6374" w:rsidRPr="004518B0">
        <w:rPr>
          <w:b/>
          <w:bCs/>
        </w:rPr>
        <w:t> ;</w:t>
      </w:r>
    </w:p>
    <w:p w14:paraId="652BFBF6" w14:textId="28837ECD" w:rsidR="00F368F4" w:rsidRPr="004518B0" w:rsidRDefault="00F368F4" w:rsidP="004518B0">
      <w:pPr>
        <w:pStyle w:val="SingleTxtG"/>
        <w:ind w:left="2835"/>
        <w:rPr>
          <w:b/>
          <w:bCs/>
        </w:rPr>
      </w:pPr>
      <w:r w:rsidRPr="004518B0">
        <w:rPr>
          <w:b/>
          <w:bCs/>
        </w:rPr>
        <w:tab/>
        <w:t>Ensemble de données E2</w:t>
      </w:r>
      <w:r w:rsidR="00EB6374" w:rsidRPr="004518B0">
        <w:rPr>
          <w:b/>
          <w:bCs/>
        </w:rPr>
        <w:t> :</w:t>
      </w:r>
      <w:r w:rsidRPr="004518B0">
        <w:rPr>
          <w:b/>
          <w:bCs/>
        </w:rPr>
        <w:t xml:space="preserve"> vitesse du véhicule supérieure à 90 km/h (application du signal E2)</w:t>
      </w:r>
      <w:r w:rsidR="00EB6374" w:rsidRPr="004518B0">
        <w:rPr>
          <w:b/>
          <w:bCs/>
        </w:rPr>
        <w:t> ;</w:t>
      </w:r>
    </w:p>
    <w:p w14:paraId="636DF7E3" w14:textId="410DBABA" w:rsidR="00F368F4" w:rsidRPr="005B0501" w:rsidRDefault="00F368F4" w:rsidP="004518B0">
      <w:pPr>
        <w:pStyle w:val="SingleTxtG"/>
        <w:ind w:left="2835"/>
        <w:rPr>
          <w:iCs/>
          <w:szCs w:val="16"/>
        </w:rPr>
      </w:pPr>
      <w:r w:rsidRPr="004518B0">
        <w:rPr>
          <w:b/>
          <w:bCs/>
        </w:rPr>
        <w:tab/>
        <w:t>Ensemble de données E3</w:t>
      </w:r>
      <w:r w:rsidR="00EB6374" w:rsidRPr="004518B0">
        <w:rPr>
          <w:b/>
          <w:bCs/>
        </w:rPr>
        <w:t> :</w:t>
      </w:r>
      <w:r w:rsidRPr="004518B0">
        <w:rPr>
          <w:b/>
          <w:bCs/>
        </w:rPr>
        <w:t xml:space="preserve"> vitesse du véhicule supérieure à 80 km/h (application du signal E3).</w:t>
      </w:r>
      <w:r w:rsidR="005B0501">
        <w:t> </w:t>
      </w:r>
      <w:r w:rsidR="005B0501" w:rsidRPr="005B0501">
        <w:t>»</w:t>
      </w:r>
      <w:r w:rsidR="004518B0">
        <w:t>.</w:t>
      </w:r>
    </w:p>
    <w:p w14:paraId="0CCBB269" w14:textId="139DD17B" w:rsidR="00F368F4" w:rsidRPr="005B0501" w:rsidRDefault="00F368F4" w:rsidP="004E58D6">
      <w:pPr>
        <w:pStyle w:val="SingleTxtG"/>
        <w:keepNext/>
      </w:pPr>
      <w:r w:rsidRPr="005B0501">
        <w:rPr>
          <w:i/>
          <w:iCs/>
        </w:rPr>
        <w:lastRenderedPageBreak/>
        <w:t>Paragraphe 6.22.7.4.5, note de bas de page 16</w:t>
      </w:r>
      <w:r w:rsidRPr="004518B0">
        <w:t>,</w:t>
      </w:r>
      <w:r w:rsidRPr="005B0501">
        <w:t xml:space="preserve"> lire</w:t>
      </w:r>
      <w:r w:rsidR="00EB6374" w:rsidRPr="005B0501">
        <w:t> :</w:t>
      </w:r>
    </w:p>
    <w:p w14:paraId="7D880BAE" w14:textId="35BBC846" w:rsidR="00F368F4" w:rsidRPr="005B0501" w:rsidRDefault="004518B0" w:rsidP="005A3A19">
      <w:pPr>
        <w:pStyle w:val="Notedebasdepage"/>
        <w:spacing w:after="240"/>
        <w:rPr>
          <w:szCs w:val="18"/>
        </w:rPr>
      </w:pPr>
      <w:r>
        <w:tab/>
      </w:r>
      <w:r w:rsidR="005B0501" w:rsidRPr="004518B0">
        <w:rPr>
          <w:sz w:val="20"/>
        </w:rPr>
        <w:t>« </w:t>
      </w:r>
      <w:r w:rsidR="00F368F4" w:rsidRPr="004518B0">
        <w:rPr>
          <w:b/>
          <w:bCs/>
          <w:szCs w:val="18"/>
          <w:vertAlign w:val="superscript"/>
        </w:rPr>
        <w:t>15</w:t>
      </w:r>
      <w:r w:rsidR="00F368F4" w:rsidRPr="005B0501">
        <w:rPr>
          <w:szCs w:val="18"/>
        </w:rPr>
        <w:tab/>
      </w:r>
      <w:r w:rsidR="00F368F4" w:rsidRPr="005A3A19">
        <w:t>Cette disposition ne s’applique pas au faisceau de croisement lorsque l’éclairage en virage est actionné pour un virage à droite en circulation à droite (pour un virage à gauche en circulation à gauche).</w:t>
      </w:r>
      <w:r w:rsidR="005B0501">
        <w:t> </w:t>
      </w:r>
      <w:r w:rsidR="005B0501" w:rsidRPr="004518B0">
        <w:rPr>
          <w:sz w:val="20"/>
        </w:rPr>
        <w:t>»</w:t>
      </w:r>
      <w:r w:rsidRPr="004518B0">
        <w:rPr>
          <w:sz w:val="20"/>
        </w:rPr>
        <w:t>.</w:t>
      </w:r>
    </w:p>
    <w:p w14:paraId="6735127C" w14:textId="7047EB2C" w:rsidR="00F368F4" w:rsidRPr="005B0501" w:rsidRDefault="00F368F4" w:rsidP="004E58D6">
      <w:pPr>
        <w:pStyle w:val="SingleTxtG"/>
        <w:keepNext/>
      </w:pPr>
      <w:r w:rsidRPr="004E58D6">
        <w:rPr>
          <w:i/>
          <w:iCs/>
        </w:rPr>
        <w:t>Paragraphe</w:t>
      </w:r>
      <w:r w:rsidRPr="005B0501">
        <w:rPr>
          <w:i/>
          <w:szCs w:val="16"/>
        </w:rPr>
        <w:t xml:space="preserve"> 6.22.9.1</w:t>
      </w:r>
      <w:r w:rsidRPr="004518B0">
        <w:rPr>
          <w:iCs/>
          <w:szCs w:val="16"/>
        </w:rPr>
        <w:t xml:space="preserve">, </w:t>
      </w:r>
      <w:r w:rsidRPr="005B0501">
        <w:rPr>
          <w:szCs w:val="16"/>
        </w:rPr>
        <w:t>lire</w:t>
      </w:r>
      <w:r w:rsidR="00EB6374" w:rsidRPr="005B0501">
        <w:rPr>
          <w:szCs w:val="16"/>
        </w:rPr>
        <w:t> :</w:t>
      </w:r>
    </w:p>
    <w:p w14:paraId="7A131E0C" w14:textId="21488A2F" w:rsidR="00F368F4" w:rsidRPr="005B0501" w:rsidRDefault="005B0501" w:rsidP="00295078">
      <w:pPr>
        <w:pStyle w:val="SingleTxtG"/>
        <w:ind w:left="2268" w:hanging="1134"/>
      </w:pPr>
      <w:r w:rsidRPr="005B0501">
        <w:t>«</w:t>
      </w:r>
      <w:r>
        <w:t> </w:t>
      </w:r>
      <w:r w:rsidR="00F368F4" w:rsidRPr="005B0501">
        <w:t>6.22.9.1</w:t>
      </w:r>
      <w:r w:rsidR="00F368F4" w:rsidRPr="005B0501">
        <w:tab/>
      </w:r>
      <w:r w:rsidR="00F368F4" w:rsidRPr="005B0501">
        <w:tab/>
      </w:r>
      <w:r w:rsidR="00F368F4" w:rsidRPr="005B0501">
        <w:rPr>
          <w:lang w:eastAsia="fr-FR"/>
        </w:rPr>
        <w:t xml:space="preserve">Le </w:t>
      </w:r>
      <w:r w:rsidR="00F368F4" w:rsidRPr="005B0501">
        <w:t>montage</w:t>
      </w:r>
      <w:r w:rsidR="00F368F4" w:rsidRPr="005B0501">
        <w:rPr>
          <w:lang w:eastAsia="fr-FR"/>
        </w:rPr>
        <w:t xml:space="preserve"> d’un système AFS n’est autorisé que si le véhicule est aussi équipé de dispositifs de nettoyage des projecteurs conformes au Règlement</w:t>
      </w:r>
      <w:r w:rsidR="004518B0">
        <w:rPr>
          <w:lang w:eastAsia="fr-FR"/>
        </w:rPr>
        <w:t xml:space="preserve"> </w:t>
      </w:r>
      <w:r w:rsidR="00F368F4" w:rsidRPr="005B0501">
        <w:rPr>
          <w:lang w:eastAsia="fr-FR"/>
        </w:rPr>
        <w:t xml:space="preserve">ONU </w:t>
      </w:r>
      <w:r w:rsidR="00F368F4" w:rsidRPr="005B0501">
        <w:rPr>
          <w:rFonts w:eastAsia="MS Mincho"/>
        </w:rPr>
        <w:t>n</w:t>
      </w:r>
      <w:r w:rsidR="00F368F4" w:rsidRPr="005B0501">
        <w:rPr>
          <w:rFonts w:eastAsia="MS Mincho"/>
          <w:vertAlign w:val="superscript"/>
        </w:rPr>
        <w:t>o</w:t>
      </w:r>
      <w:r w:rsidR="00F368F4" w:rsidRPr="005B0501">
        <w:rPr>
          <w:rFonts w:eastAsia="MS Mincho"/>
        </w:rPr>
        <w:t> </w:t>
      </w:r>
      <w:r w:rsidR="00F368F4" w:rsidRPr="005B0501">
        <w:t>45</w:t>
      </w:r>
      <w:r w:rsidR="00F368F4" w:rsidRPr="005E75A7">
        <w:rPr>
          <w:strike/>
          <w:sz w:val="18"/>
          <w:szCs w:val="18"/>
          <w:vertAlign w:val="superscript"/>
        </w:rPr>
        <w:t>17</w:t>
      </w:r>
      <w:r w:rsidR="00F368F4" w:rsidRPr="005E75A7">
        <w:rPr>
          <w:b/>
          <w:bCs/>
          <w:sz w:val="18"/>
          <w:szCs w:val="18"/>
          <w:vertAlign w:val="superscript"/>
        </w:rPr>
        <w:t>16</w:t>
      </w:r>
      <w:r w:rsidR="00F368F4" w:rsidRPr="005B0501">
        <w:rPr>
          <w:lang w:eastAsia="fr-FR"/>
        </w:rPr>
        <w:t>, au moins sur les unités d’éclairage énumérées au point</w:t>
      </w:r>
      <w:r w:rsidR="004518B0">
        <w:rPr>
          <w:lang w:eastAsia="fr-FR"/>
        </w:rPr>
        <w:t xml:space="preserve"> </w:t>
      </w:r>
      <w:r w:rsidR="00F368F4" w:rsidRPr="005B0501">
        <w:rPr>
          <w:lang w:eastAsia="fr-FR"/>
        </w:rPr>
        <w:t>9.2.3 de la fiche de communication conforme au modèle de l’annexe</w:t>
      </w:r>
      <w:r w:rsidR="004518B0">
        <w:rPr>
          <w:lang w:eastAsia="fr-FR"/>
        </w:rPr>
        <w:t xml:space="preserve"> </w:t>
      </w:r>
      <w:r w:rsidR="00F368F4" w:rsidRPr="005B0501">
        <w:rPr>
          <w:lang w:eastAsia="fr-FR"/>
        </w:rPr>
        <w:t xml:space="preserve">1 du Règlement ONU </w:t>
      </w:r>
      <w:r w:rsidR="00F368F4" w:rsidRPr="005B0501">
        <w:rPr>
          <w:rFonts w:eastAsia="MS Mincho"/>
        </w:rPr>
        <w:t>n</w:t>
      </w:r>
      <w:r w:rsidR="00F368F4" w:rsidRPr="005B0501">
        <w:rPr>
          <w:rFonts w:eastAsia="MS Mincho"/>
          <w:vertAlign w:val="superscript"/>
        </w:rPr>
        <w:t>o</w:t>
      </w:r>
      <w:r w:rsidR="00F368F4" w:rsidRPr="005B0501">
        <w:rPr>
          <w:rFonts w:eastAsia="MS Mincho"/>
        </w:rPr>
        <w:t> </w:t>
      </w:r>
      <w:r w:rsidR="00F368F4" w:rsidRPr="005B0501">
        <w:rPr>
          <w:lang w:eastAsia="fr-FR"/>
        </w:rPr>
        <w:t>123 ou au point</w:t>
      </w:r>
      <w:r w:rsidR="00F368F4" w:rsidRPr="005B0501">
        <w:rPr>
          <w:b/>
          <w:bCs/>
          <w:lang w:eastAsia="fr-FR"/>
        </w:rPr>
        <w:t xml:space="preserve"> </w:t>
      </w:r>
      <w:r w:rsidR="00F368F4" w:rsidRPr="005B0501">
        <w:rPr>
          <w:bCs/>
          <w:iCs/>
          <w:strike/>
          <w:kern w:val="2"/>
          <w:lang w:eastAsia="ja-JP"/>
        </w:rPr>
        <w:t xml:space="preserve">9.3.3 </w:t>
      </w:r>
      <w:r w:rsidR="00F368F4" w:rsidRPr="005B0501">
        <w:rPr>
          <w:b/>
          <w:iCs/>
          <w:kern w:val="2"/>
          <w:lang w:eastAsia="ja-JP"/>
        </w:rPr>
        <w:t xml:space="preserve">9.3.2.3 de la fiche de communication conforme au modèle </w:t>
      </w:r>
      <w:r w:rsidR="00F368F4" w:rsidRPr="005B0501">
        <w:rPr>
          <w:bCs/>
          <w:iCs/>
          <w:kern w:val="2"/>
          <w:lang w:eastAsia="ja-JP"/>
        </w:rPr>
        <w:t>de l’annexe 1</w:t>
      </w:r>
      <w:r w:rsidR="00F368F4" w:rsidRPr="005B0501">
        <w:rPr>
          <w:b/>
          <w:iCs/>
          <w:kern w:val="2"/>
          <w:lang w:eastAsia="ja-JP"/>
        </w:rPr>
        <w:t xml:space="preserve"> de</w:t>
      </w:r>
      <w:r w:rsidR="00F368F4" w:rsidRPr="005B0501">
        <w:rPr>
          <w:bCs/>
          <w:iCs/>
          <w:kern w:val="2"/>
          <w:lang w:eastAsia="ja-JP"/>
        </w:rPr>
        <w:t xml:space="preserve"> </w:t>
      </w:r>
      <w:r w:rsidR="00F368F4" w:rsidRPr="005B0501">
        <w:rPr>
          <w:b/>
          <w:iCs/>
          <w:kern w:val="2"/>
          <w:lang w:eastAsia="ja-JP"/>
        </w:rPr>
        <w:t>la série 00 d’amendements au</w:t>
      </w:r>
      <w:r w:rsidR="00F368F4" w:rsidRPr="005B0501">
        <w:rPr>
          <w:bCs/>
          <w:iCs/>
          <w:kern w:val="2"/>
          <w:lang w:eastAsia="ja-JP"/>
        </w:rPr>
        <w:t xml:space="preserve"> Règlement ONU </w:t>
      </w:r>
      <w:r w:rsidR="00F368F4" w:rsidRPr="005B0501">
        <w:rPr>
          <w:rFonts w:eastAsia="MS Mincho"/>
        </w:rPr>
        <w:t>n</w:t>
      </w:r>
      <w:r w:rsidR="00F368F4" w:rsidRPr="005B0501">
        <w:rPr>
          <w:rFonts w:eastAsia="MS Mincho"/>
          <w:vertAlign w:val="superscript"/>
        </w:rPr>
        <w:t>o</w:t>
      </w:r>
      <w:r w:rsidR="00F368F4" w:rsidRPr="005B0501">
        <w:rPr>
          <w:rFonts w:eastAsia="MS Mincho"/>
        </w:rPr>
        <w:t> </w:t>
      </w:r>
      <w:r w:rsidR="00F368F4" w:rsidRPr="005B0501">
        <w:rPr>
          <w:bCs/>
          <w:iCs/>
          <w:kern w:val="2"/>
          <w:lang w:eastAsia="ja-JP"/>
        </w:rPr>
        <w:t>149</w:t>
      </w:r>
      <w:r w:rsidR="00F368F4" w:rsidRPr="005B0501">
        <w:t xml:space="preserve">, </w:t>
      </w:r>
      <w:r w:rsidR="00F368F4" w:rsidRPr="005B0501">
        <w:rPr>
          <w:b/>
          <w:iCs/>
          <w:kern w:val="2"/>
          <w:lang w:eastAsia="ja-JP"/>
        </w:rPr>
        <w:t xml:space="preserve">ou au point 9.2.2.3 de la fiche de communication conforme au modèle de l’annexe 1 de la série 01 d’amendements au </w:t>
      </w:r>
      <w:r w:rsidR="00F368F4" w:rsidRPr="005E75A7">
        <w:rPr>
          <w:b/>
          <w:iCs/>
          <w:kern w:val="2"/>
          <w:lang w:eastAsia="ja-JP"/>
        </w:rPr>
        <w:t xml:space="preserve">Règlement ONU </w:t>
      </w:r>
      <w:r w:rsidR="00F368F4" w:rsidRPr="005E75A7">
        <w:rPr>
          <w:rFonts w:eastAsia="MS Mincho"/>
          <w:b/>
        </w:rPr>
        <w:t>n</w:t>
      </w:r>
      <w:r w:rsidR="00F368F4" w:rsidRPr="005E75A7">
        <w:rPr>
          <w:rFonts w:eastAsia="MS Mincho"/>
          <w:b/>
          <w:vertAlign w:val="superscript"/>
        </w:rPr>
        <w:t>o</w:t>
      </w:r>
      <w:r w:rsidR="00F368F4" w:rsidRPr="005E75A7">
        <w:rPr>
          <w:rFonts w:eastAsia="MS Mincho"/>
          <w:b/>
        </w:rPr>
        <w:t> </w:t>
      </w:r>
      <w:r w:rsidR="00F368F4" w:rsidRPr="005E75A7">
        <w:rPr>
          <w:b/>
          <w:iCs/>
          <w:kern w:val="2"/>
          <w:lang w:eastAsia="ja-JP"/>
        </w:rPr>
        <w:t>149</w:t>
      </w:r>
      <w:r w:rsidR="00F368F4" w:rsidRPr="005B0501">
        <w:rPr>
          <w:lang w:eastAsia="fr-FR"/>
        </w:rPr>
        <w:t>, si le flux lumineux normal total des sources lumineuses de ces unités d’éclairage dépasse 2</w:t>
      </w:r>
      <w:r w:rsidR="004518B0">
        <w:rPr>
          <w:lang w:eastAsia="fr-FR"/>
        </w:rPr>
        <w:t> </w:t>
      </w:r>
      <w:r w:rsidR="00F368F4" w:rsidRPr="005B0501">
        <w:rPr>
          <w:lang w:eastAsia="fr-FR"/>
        </w:rPr>
        <w:t>000</w:t>
      </w:r>
      <w:r w:rsidR="004518B0">
        <w:rPr>
          <w:lang w:eastAsia="fr-FR"/>
        </w:rPr>
        <w:t xml:space="preserve"> </w:t>
      </w:r>
      <w:r w:rsidR="00F368F4" w:rsidRPr="005B0501">
        <w:rPr>
          <w:lang w:eastAsia="fr-FR"/>
        </w:rPr>
        <w:t>lm par côté, et si ces unités contribuent au faisceau de croisement (élémentaire) classe</w:t>
      </w:r>
      <w:r w:rsidR="004518B0">
        <w:rPr>
          <w:lang w:eastAsia="fr-FR"/>
        </w:rPr>
        <w:t xml:space="preserve"> </w:t>
      </w:r>
      <w:r w:rsidR="00F368F4" w:rsidRPr="005B0501">
        <w:rPr>
          <w:lang w:eastAsia="fr-FR"/>
        </w:rPr>
        <w:t>C.</w:t>
      </w:r>
      <w:r>
        <w:t> </w:t>
      </w:r>
      <w:r w:rsidRPr="005B0501">
        <w:t>»</w:t>
      </w:r>
      <w:r w:rsidR="004518B0">
        <w:t>.</w:t>
      </w:r>
    </w:p>
    <w:p w14:paraId="4A74ADFE" w14:textId="6E402F0C" w:rsidR="00F368F4" w:rsidRPr="005B0501" w:rsidRDefault="00F368F4" w:rsidP="004E58D6">
      <w:pPr>
        <w:pStyle w:val="SingleTxtG"/>
        <w:keepNext/>
      </w:pPr>
      <w:r w:rsidRPr="004E58D6">
        <w:rPr>
          <w:i/>
          <w:iCs/>
        </w:rPr>
        <w:t>Paragraphe</w:t>
      </w:r>
      <w:r w:rsidRPr="005B0501">
        <w:rPr>
          <w:i/>
        </w:rPr>
        <w:t xml:space="preserve"> 6.24.9.1</w:t>
      </w:r>
      <w:r w:rsidRPr="004518B0">
        <w:rPr>
          <w:iCs/>
        </w:rPr>
        <w:t>,</w:t>
      </w:r>
      <w:r w:rsidRPr="005B0501">
        <w:t xml:space="preserve"> lire</w:t>
      </w:r>
      <w:r w:rsidR="00EB6374" w:rsidRPr="005B0501">
        <w:t> :</w:t>
      </w:r>
    </w:p>
    <w:p w14:paraId="7943B805" w14:textId="0F7DF14C" w:rsidR="00F368F4" w:rsidRPr="005B0501" w:rsidRDefault="005B0501" w:rsidP="004E58D6">
      <w:pPr>
        <w:pStyle w:val="SingleTxtG"/>
        <w:ind w:left="2268" w:hanging="1134"/>
        <w:rPr>
          <w:rFonts w:eastAsia="Calibri"/>
          <w:iCs/>
          <w:kern w:val="2"/>
          <w:lang w:eastAsia="ja-JP"/>
        </w:rPr>
      </w:pPr>
      <w:r w:rsidRPr="005B0501">
        <w:t>«</w:t>
      </w:r>
      <w:r>
        <w:t> </w:t>
      </w:r>
      <w:r w:rsidR="00F368F4" w:rsidRPr="005B0501">
        <w:rPr>
          <w:rFonts w:eastAsia="Calibri"/>
          <w:iCs/>
          <w:kern w:val="2"/>
          <w:lang w:eastAsia="ja-JP"/>
        </w:rPr>
        <w:t>6.24.9.1</w:t>
      </w:r>
      <w:r w:rsidR="00F368F4" w:rsidRPr="005B0501">
        <w:rPr>
          <w:rFonts w:eastAsia="Calibri"/>
          <w:iCs/>
          <w:kern w:val="2"/>
          <w:lang w:eastAsia="ja-JP"/>
        </w:rPr>
        <w:tab/>
        <w:t xml:space="preserve">Le </w:t>
      </w:r>
      <w:r w:rsidR="00F368F4" w:rsidRPr="004E58D6">
        <w:t>feu</w:t>
      </w:r>
      <w:r w:rsidR="00F368F4" w:rsidRPr="005B0501">
        <w:rPr>
          <w:rFonts w:eastAsia="Calibri"/>
          <w:iCs/>
          <w:kern w:val="2"/>
          <w:lang w:eastAsia="ja-JP"/>
        </w:rPr>
        <w:t xml:space="preserve"> de courtoisie extérieur ne peut être allumé que si le véhicule est à l’arrêt et que l’une au moins des conditions suivantes est remplie</w:t>
      </w:r>
      <w:r w:rsidR="00EB6374" w:rsidRPr="005B0501">
        <w:rPr>
          <w:rFonts w:eastAsia="Calibri"/>
          <w:iCs/>
          <w:kern w:val="2"/>
          <w:lang w:eastAsia="ja-JP"/>
        </w:rPr>
        <w:t> :</w:t>
      </w:r>
    </w:p>
    <w:p w14:paraId="35F79459" w14:textId="567B0B21" w:rsidR="00F368F4" w:rsidRPr="005B0501" w:rsidRDefault="00F368F4" w:rsidP="004518B0">
      <w:pPr>
        <w:pStyle w:val="SingleTxtG"/>
        <w:ind w:left="2835" w:hanging="567"/>
        <w:rPr>
          <w:rFonts w:eastAsia="Calibri"/>
        </w:rPr>
      </w:pPr>
      <w:r w:rsidRPr="005B0501">
        <w:rPr>
          <w:rFonts w:eastAsia="Calibri"/>
        </w:rPr>
        <w:t>a)</w:t>
      </w:r>
      <w:r w:rsidRPr="005B0501">
        <w:rPr>
          <w:rFonts w:eastAsia="Calibri"/>
        </w:rPr>
        <w:tab/>
        <w:t>Le système de propulsion est arrêté</w:t>
      </w:r>
      <w:r w:rsidR="00EB6374" w:rsidRPr="005B0501">
        <w:rPr>
          <w:rFonts w:eastAsia="Calibri"/>
        </w:rPr>
        <w:t> ;</w:t>
      </w:r>
    </w:p>
    <w:p w14:paraId="7602EFF9" w14:textId="0B2ECE46" w:rsidR="00F368F4" w:rsidRPr="005B0501" w:rsidRDefault="00F368F4" w:rsidP="004518B0">
      <w:pPr>
        <w:pStyle w:val="SingleTxtG"/>
        <w:ind w:left="2835" w:hanging="567"/>
        <w:rPr>
          <w:rFonts w:eastAsia="Calibri"/>
        </w:rPr>
      </w:pPr>
      <w:r w:rsidRPr="005B0501">
        <w:rPr>
          <w:rFonts w:eastAsia="Calibri"/>
        </w:rPr>
        <w:t>b)</w:t>
      </w:r>
      <w:r w:rsidRPr="005B0501">
        <w:rPr>
          <w:rFonts w:eastAsia="Calibri"/>
        </w:rPr>
        <w:tab/>
        <w:t>La porte du conducteur ou l’une des portes des passagers est ouverte</w:t>
      </w:r>
      <w:r w:rsidR="00EB6374" w:rsidRPr="005B0501">
        <w:rPr>
          <w:rFonts w:eastAsia="Calibri"/>
        </w:rPr>
        <w:t> ;</w:t>
      </w:r>
      <w:r w:rsidRPr="005B0501">
        <w:rPr>
          <w:rFonts w:eastAsia="Calibri"/>
        </w:rPr>
        <w:t xml:space="preserve"> ou</w:t>
      </w:r>
    </w:p>
    <w:p w14:paraId="69BD14E5" w14:textId="77777777" w:rsidR="00F368F4" w:rsidRPr="005B0501" w:rsidRDefault="00F368F4" w:rsidP="004518B0">
      <w:pPr>
        <w:pStyle w:val="SingleTxtG"/>
        <w:ind w:left="2835" w:hanging="567"/>
        <w:rPr>
          <w:rFonts w:eastAsia="Calibri"/>
        </w:rPr>
      </w:pPr>
      <w:r w:rsidRPr="005B0501">
        <w:rPr>
          <w:rFonts w:eastAsia="Calibri"/>
        </w:rPr>
        <w:t>c)</w:t>
      </w:r>
      <w:r w:rsidRPr="005B0501">
        <w:rPr>
          <w:rFonts w:eastAsia="Calibri"/>
        </w:rPr>
        <w:tab/>
        <w:t>Une porte du compartiment de chargement est ouverte.</w:t>
      </w:r>
    </w:p>
    <w:p w14:paraId="15D795B2" w14:textId="188DAADD" w:rsidR="00F368F4" w:rsidRPr="005B0501" w:rsidRDefault="00F368F4" w:rsidP="001C5B8D">
      <w:pPr>
        <w:spacing w:after="120"/>
        <w:ind w:left="2835" w:right="1134"/>
        <w:rPr>
          <w:rFonts w:eastAsia="Calibri"/>
          <w:iCs/>
          <w:strike/>
          <w:kern w:val="2"/>
          <w:lang w:eastAsia="ja-JP"/>
        </w:rPr>
      </w:pPr>
      <w:r w:rsidRPr="005B0501">
        <w:rPr>
          <w:rFonts w:eastAsia="Calibri"/>
          <w:bCs/>
          <w:iCs/>
          <w:strike/>
          <w:kern w:val="2"/>
          <w:lang w:eastAsia="ja-JP"/>
        </w:rPr>
        <w:t>L</w:t>
      </w:r>
      <w:r w:rsidRPr="005B0501">
        <w:rPr>
          <w:rFonts w:eastAsia="Calibri"/>
          <w:iCs/>
          <w:strike/>
          <w:kern w:val="2"/>
          <w:lang w:eastAsia="ja-JP"/>
        </w:rPr>
        <w:t>es dispositions du paragraphe</w:t>
      </w:r>
      <w:r w:rsidR="001C5B8D">
        <w:rPr>
          <w:rFonts w:eastAsia="Calibri"/>
          <w:iCs/>
          <w:strike/>
          <w:kern w:val="2"/>
          <w:lang w:eastAsia="ja-JP"/>
        </w:rPr>
        <w:t xml:space="preserve"> </w:t>
      </w:r>
      <w:r w:rsidRPr="005B0501">
        <w:rPr>
          <w:rFonts w:eastAsia="Calibri"/>
          <w:iCs/>
          <w:strike/>
          <w:kern w:val="2"/>
          <w:lang w:eastAsia="ja-JP"/>
        </w:rPr>
        <w:t>5.10 doivent être respectées dans toutes</w:t>
      </w:r>
      <w:r w:rsidR="005E75A7">
        <w:rPr>
          <w:rFonts w:eastAsia="Calibri"/>
          <w:iCs/>
          <w:strike/>
          <w:kern w:val="2"/>
          <w:lang w:eastAsia="ja-JP"/>
        </w:rPr>
        <w:t xml:space="preserve"> </w:t>
      </w:r>
      <w:r w:rsidRPr="005B0501">
        <w:rPr>
          <w:rFonts w:eastAsia="Calibri"/>
          <w:iCs/>
          <w:strike/>
          <w:kern w:val="2"/>
          <w:lang w:eastAsia="ja-JP"/>
        </w:rPr>
        <w:t>les positions d’utilisation fixes.</w:t>
      </w:r>
    </w:p>
    <w:p w14:paraId="0A9694D9" w14:textId="06E58FAF" w:rsidR="00F368F4" w:rsidRPr="005B0501" w:rsidRDefault="00F368F4" w:rsidP="001C5B8D">
      <w:pPr>
        <w:pStyle w:val="SingleTxtG"/>
        <w:ind w:left="2268"/>
        <w:rPr>
          <w:bCs/>
        </w:rPr>
      </w:pPr>
      <w:r w:rsidRPr="001C5B8D">
        <w:rPr>
          <w:b/>
          <w:bCs/>
          <w:lang w:eastAsia="ja-JP"/>
        </w:rPr>
        <w:t>Les dispositions du paragraphe</w:t>
      </w:r>
      <w:r w:rsidR="001C5B8D">
        <w:rPr>
          <w:b/>
          <w:bCs/>
          <w:lang w:eastAsia="ja-JP"/>
        </w:rPr>
        <w:t xml:space="preserve"> </w:t>
      </w:r>
      <w:r w:rsidRPr="001C5B8D">
        <w:rPr>
          <w:b/>
          <w:bCs/>
          <w:lang w:eastAsia="ja-JP"/>
        </w:rPr>
        <w:t>5.10 doivent être respectées dans toutes</w:t>
      </w:r>
      <w:r w:rsidRPr="001C5B8D">
        <w:rPr>
          <w:b/>
          <w:bCs/>
          <w:lang w:eastAsia="ja-JP"/>
        </w:rPr>
        <w:tab/>
        <w:t>les positions d’utilisation fixes.</w:t>
      </w:r>
      <w:r w:rsidR="005B0501">
        <w:t> </w:t>
      </w:r>
      <w:r w:rsidR="005B0501" w:rsidRPr="005B0501">
        <w:t>»</w:t>
      </w:r>
      <w:r w:rsidRPr="005B0501">
        <w:rPr>
          <w:lang w:eastAsia="ja-JP"/>
        </w:rPr>
        <w:t>.</w:t>
      </w:r>
    </w:p>
    <w:p w14:paraId="4DD911BD" w14:textId="4011A37B" w:rsidR="00F368F4" w:rsidRPr="005B0501" w:rsidRDefault="00F368F4" w:rsidP="004E58D6">
      <w:pPr>
        <w:pStyle w:val="SingleTxtG"/>
        <w:keepNext/>
      </w:pPr>
      <w:r w:rsidRPr="005B0501">
        <w:rPr>
          <w:i/>
          <w:iCs/>
        </w:rPr>
        <w:t>Paragraphe 12.2, note de bas de page 18</w:t>
      </w:r>
      <w:r w:rsidRPr="001C5B8D">
        <w:t xml:space="preserve">, </w:t>
      </w:r>
      <w:r w:rsidRPr="005B0501">
        <w:t>lire</w:t>
      </w:r>
      <w:r w:rsidR="00EB6374" w:rsidRPr="005B0501">
        <w:t> :</w:t>
      </w:r>
    </w:p>
    <w:p w14:paraId="1B8A4F63" w14:textId="33ECBB01" w:rsidR="00F368F4" w:rsidRPr="00295078" w:rsidRDefault="001C5B8D" w:rsidP="005A3A19">
      <w:pPr>
        <w:pStyle w:val="Notedebasdepage"/>
        <w:spacing w:after="240"/>
        <w:rPr>
          <w:i/>
          <w:szCs w:val="16"/>
        </w:rPr>
      </w:pPr>
      <w:r>
        <w:tab/>
      </w:r>
      <w:r w:rsidR="005B0501" w:rsidRPr="001C5B8D">
        <w:rPr>
          <w:sz w:val="20"/>
        </w:rPr>
        <w:t>« </w:t>
      </w:r>
      <w:r w:rsidR="00F368F4" w:rsidRPr="001C5B8D">
        <w:rPr>
          <w:b/>
          <w:bCs/>
          <w:szCs w:val="18"/>
          <w:vertAlign w:val="superscript"/>
        </w:rPr>
        <w:t>17</w:t>
      </w:r>
      <w:r w:rsidR="00F368F4" w:rsidRPr="005B0501">
        <w:rPr>
          <w:szCs w:val="18"/>
        </w:rPr>
        <w:tab/>
      </w:r>
      <w:r w:rsidR="00F368F4" w:rsidRPr="005A3A19">
        <w:t>Note du secrétariat</w:t>
      </w:r>
      <w:r w:rsidR="00EB6374" w:rsidRPr="005A3A19">
        <w:t> :</w:t>
      </w:r>
      <w:r w:rsidR="00F368F4" w:rsidRPr="005A3A19">
        <w:t xml:space="preserve"> En ce qui concerne le paragraphe</w:t>
      </w:r>
      <w:r w:rsidR="00295078" w:rsidRPr="00295078">
        <w:t xml:space="preserve"> </w:t>
      </w:r>
      <w:r w:rsidR="00F368F4" w:rsidRPr="005A3A19">
        <w:t>6.21.4.1.3, se référer au texte de la série</w:t>
      </w:r>
      <w:r w:rsidR="00295078" w:rsidRPr="00295078">
        <w:t xml:space="preserve"> </w:t>
      </w:r>
      <w:r w:rsidR="00F368F4" w:rsidRPr="005A3A19">
        <w:t>03 d’amendements figurant dans le document E/ECE/324/Rev.1/Add.47/Rev.6 − E/ECE/TRANS/505/</w:t>
      </w:r>
      <w:r>
        <w:t xml:space="preserve"> </w:t>
      </w:r>
      <w:r w:rsidR="00F368F4" w:rsidRPr="005A3A19">
        <w:t>Rev.1/Add.47/</w:t>
      </w:r>
      <w:r w:rsidR="00295078" w:rsidRPr="00295078">
        <w:t xml:space="preserve"> </w:t>
      </w:r>
      <w:r w:rsidR="00F368F4" w:rsidRPr="005A3A19">
        <w:t>Rev.6.</w:t>
      </w:r>
      <w:r w:rsidR="005B0501" w:rsidRPr="00295078">
        <w:t> </w:t>
      </w:r>
      <w:r w:rsidR="005B0501" w:rsidRPr="001C5B8D">
        <w:rPr>
          <w:sz w:val="20"/>
        </w:rPr>
        <w:t>»</w:t>
      </w:r>
      <w:r w:rsidR="00295078" w:rsidRPr="001C5B8D">
        <w:rPr>
          <w:sz w:val="20"/>
        </w:rPr>
        <w:t>.</w:t>
      </w:r>
    </w:p>
    <w:p w14:paraId="241446A2" w14:textId="5D5F4503" w:rsidR="00F368F4" w:rsidRPr="005B0501" w:rsidRDefault="00F368F4" w:rsidP="004E58D6">
      <w:pPr>
        <w:pStyle w:val="SingleTxtG"/>
        <w:keepNext/>
        <w:rPr>
          <w:rFonts w:eastAsia="MS Mincho"/>
          <w:szCs w:val="16"/>
        </w:rPr>
      </w:pPr>
      <w:r w:rsidRPr="004E58D6">
        <w:rPr>
          <w:i/>
          <w:iCs/>
        </w:rPr>
        <w:t>Annexe</w:t>
      </w:r>
      <w:r w:rsidRPr="005B0501">
        <w:rPr>
          <w:i/>
          <w:szCs w:val="16"/>
        </w:rPr>
        <w:t xml:space="preserve"> 2</w:t>
      </w:r>
      <w:r w:rsidRPr="001C5B8D">
        <w:rPr>
          <w:iCs/>
          <w:szCs w:val="16"/>
        </w:rPr>
        <w:t>,</w:t>
      </w:r>
      <w:r w:rsidRPr="001C5B8D">
        <w:rPr>
          <w:rFonts w:eastAsia="MS Mincho"/>
          <w:iCs/>
          <w:szCs w:val="16"/>
        </w:rPr>
        <w:t xml:space="preserve"> </w:t>
      </w:r>
      <w:r w:rsidRPr="005B0501">
        <w:rPr>
          <w:rFonts w:eastAsia="MS Mincho"/>
          <w:szCs w:val="16"/>
        </w:rPr>
        <w:t>lire</w:t>
      </w:r>
      <w:r w:rsidR="00EB6374" w:rsidRPr="005B0501">
        <w:rPr>
          <w:rFonts w:eastAsia="MS Mincho"/>
          <w:szCs w:val="16"/>
        </w:rPr>
        <w:t> :</w:t>
      </w:r>
    </w:p>
    <w:p w14:paraId="38E67B23" w14:textId="6F71AC7D" w:rsidR="00F368F4" w:rsidRPr="005B0501" w:rsidRDefault="00F368F4" w:rsidP="001C5B8D">
      <w:pPr>
        <w:pStyle w:val="HChG"/>
        <w:jc w:val="both"/>
      </w:pPr>
      <w:r w:rsidRPr="005B0501">
        <w:tab/>
      </w:r>
      <w:r w:rsidRPr="005B0501">
        <w:tab/>
      </w:r>
      <w:r w:rsidR="005B0501" w:rsidRPr="001C496E">
        <w:rPr>
          <w:b w:val="0"/>
          <w:bCs/>
          <w:sz w:val="20"/>
        </w:rPr>
        <w:t>« </w:t>
      </w:r>
      <w:r w:rsidRPr="005B0501">
        <w:t>E</w:t>
      </w:r>
      <w:r w:rsidRPr="005B0501">
        <w:rPr>
          <w:lang w:eastAsia="fr-FR"/>
        </w:rPr>
        <w:t>xemples de marques d’homologation</w:t>
      </w:r>
    </w:p>
    <w:p w14:paraId="7D0EAFB9" w14:textId="77777777" w:rsidR="00F368F4" w:rsidRPr="005B0501" w:rsidRDefault="00F368F4" w:rsidP="001C5B8D">
      <w:pPr>
        <w:pStyle w:val="SingleTxtG"/>
        <w:keepNext/>
      </w:pPr>
      <w:r w:rsidRPr="005B0501">
        <w:t xml:space="preserve">Modèle A </w:t>
      </w:r>
      <w:r w:rsidRPr="005B0501">
        <w:br/>
        <w:t>(</w:t>
      </w:r>
      <w:r w:rsidRPr="005B0501">
        <w:rPr>
          <w:lang w:eastAsia="fr-FR"/>
        </w:rPr>
        <w:t>Voir par. 4.4 du présent Règlement</w:t>
      </w:r>
      <w:r w:rsidRPr="005B0501">
        <w:t>)</w:t>
      </w:r>
    </w:p>
    <w:p w14:paraId="6152EDD8" w14:textId="77777777" w:rsidR="001C5B8D" w:rsidRDefault="00F368F4" w:rsidP="001C5B8D">
      <w:pPr>
        <w:pStyle w:val="SingleTxtG"/>
      </w:pPr>
      <w:r w:rsidRPr="005B0501">
        <w:rPr>
          <w:noProof/>
          <w:lang w:eastAsia="fr-CH"/>
        </w:rPr>
        <mc:AlternateContent>
          <mc:Choice Requires="wps">
            <w:drawing>
              <wp:anchor distT="0" distB="0" distL="114300" distR="114300" simplePos="0" relativeHeight="251661312" behindDoc="0" locked="0" layoutInCell="1" allowOverlap="1" wp14:anchorId="1AD3962E" wp14:editId="42351669">
                <wp:simplePos x="0" y="0"/>
                <wp:positionH relativeFrom="column">
                  <wp:posOffset>2697871</wp:posOffset>
                </wp:positionH>
                <wp:positionV relativeFrom="paragraph">
                  <wp:posOffset>373380</wp:posOffset>
                </wp:positionV>
                <wp:extent cx="1943100" cy="342900"/>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85AB2" w14:textId="77777777" w:rsidR="00F368F4" w:rsidRPr="00A1709C" w:rsidRDefault="00F368F4" w:rsidP="00F368F4">
                            <w:pPr>
                              <w:rPr>
                                <w:rFonts w:ascii="Arial" w:hAnsi="Arial" w:cs="Arial"/>
                                <w:sz w:val="40"/>
                                <w:szCs w:val="40"/>
                              </w:rPr>
                            </w:pPr>
                            <w:r w:rsidRPr="00A1709C">
                              <w:rPr>
                                <w:rFonts w:ascii="Arial" w:hAnsi="Arial" w:cs="Arial"/>
                                <w:sz w:val="40"/>
                                <w:szCs w:val="40"/>
                              </w:rPr>
                              <w:t>48 R</w:t>
                            </w:r>
                            <w:r>
                              <w:rPr>
                                <w:rFonts w:ascii="Arial" w:hAnsi="Arial" w:cs="Arial"/>
                                <w:sz w:val="40"/>
                                <w:szCs w:val="40"/>
                              </w:rPr>
                              <w:t xml:space="preserve"> -</w:t>
                            </w:r>
                            <w:r w:rsidRPr="00A1709C">
                              <w:rPr>
                                <w:rFonts w:ascii="Arial" w:hAnsi="Arial" w:cs="Arial"/>
                                <w:sz w:val="40"/>
                                <w:szCs w:val="40"/>
                              </w:rPr>
                              <w:t xml:space="preserve"> 0</w:t>
                            </w:r>
                            <w:r>
                              <w:rPr>
                                <w:rFonts w:ascii="Arial" w:hAnsi="Arial" w:cs="Arial"/>
                                <w:sz w:val="40"/>
                                <w:szCs w:val="40"/>
                              </w:rPr>
                              <w:t>8</w:t>
                            </w:r>
                            <w:r w:rsidRPr="00A1709C">
                              <w:rPr>
                                <w:rFonts w:ascii="Arial" w:hAnsi="Arial" w:cs="Arial"/>
                                <w:sz w:val="40"/>
                                <w:szCs w:val="40"/>
                              </w:rPr>
                              <w:t xml:space="preserve"> 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3962E" id="Zone de texte 13" o:spid="_x0000_s1028" type="#_x0000_t202" style="position:absolute;left:0;text-align:left;margin-left:212.45pt;margin-top:29.4pt;width:15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" stroked="f">
                <v:textbox inset="0,0,0,0">
                  <w:txbxContent>
                    <w:p w14:paraId="45E85AB2" w14:textId="77777777" w:rsidR="00F368F4" w:rsidRPr="00A1709C" w:rsidRDefault="00F368F4" w:rsidP="00F368F4">
                      <w:pPr>
                        <w:rPr>
                          <w:rFonts w:ascii="Arial" w:hAnsi="Arial" w:cs="Arial"/>
                          <w:sz w:val="40"/>
                          <w:szCs w:val="40"/>
                        </w:rPr>
                      </w:pPr>
                      <w:r w:rsidRPr="00A1709C">
                        <w:rPr>
                          <w:rFonts w:ascii="Arial" w:hAnsi="Arial" w:cs="Arial"/>
                          <w:sz w:val="40"/>
                          <w:szCs w:val="40"/>
                        </w:rPr>
                        <w:t>48 R</w:t>
                      </w:r>
                      <w:r>
                        <w:rPr>
                          <w:rFonts w:ascii="Arial" w:hAnsi="Arial" w:cs="Arial"/>
                          <w:sz w:val="40"/>
                          <w:szCs w:val="40"/>
                        </w:rPr>
                        <w:t xml:space="preserve"> -</w:t>
                      </w:r>
                      <w:r w:rsidRPr="00A1709C">
                        <w:rPr>
                          <w:rFonts w:ascii="Arial" w:hAnsi="Arial" w:cs="Arial"/>
                          <w:sz w:val="40"/>
                          <w:szCs w:val="40"/>
                        </w:rPr>
                        <w:t xml:space="preserve"> 0</w:t>
                      </w:r>
                      <w:r>
                        <w:rPr>
                          <w:rFonts w:ascii="Arial" w:hAnsi="Arial" w:cs="Arial"/>
                          <w:sz w:val="40"/>
                          <w:szCs w:val="40"/>
                        </w:rPr>
                        <w:t>8</w:t>
                      </w:r>
                      <w:r w:rsidRPr="00A1709C">
                        <w:rPr>
                          <w:rFonts w:ascii="Arial" w:hAnsi="Arial" w:cs="Arial"/>
                          <w:sz w:val="40"/>
                          <w:szCs w:val="40"/>
                        </w:rPr>
                        <w:t xml:space="preserve"> 2439</w:t>
                      </w:r>
                    </w:p>
                  </w:txbxContent>
                </v:textbox>
              </v:shape>
            </w:pict>
          </mc:Fallback>
        </mc:AlternateContent>
      </w:r>
      <w:r w:rsidR="001C5B8D" w:rsidRPr="005B0501">
        <w:object w:dxaOrig="8430" w:dyaOrig="1586" w14:anchorId="7200CE92">
          <v:shape id="_x0000_i1027" type="#_x0000_t75" style="width:368.65pt;height:85.25pt;mso-position-vertical:absolute" o:ole="" o:bordertopcolor="this" o:borderleftcolor="this" o:borderbottomcolor="this" o:borderrightcolor="this">
            <v:imagedata r:id="rId8" o:title="" cropleft="2777f" cropright="2688f"/>
            <o:lock v:ext="edit" aspectratio="f"/>
          </v:shape>
          <o:OLEObject Type="Embed" ProgID="Word.Picture.8" ShapeID="_x0000_i1027" DrawAspect="Content" ObjectID="_1723975426" r:id="rId12"/>
        </w:object>
      </w:r>
    </w:p>
    <w:p w14:paraId="37784D62" w14:textId="3FFCD3B7" w:rsidR="00F368F4" w:rsidRPr="005B0501" w:rsidRDefault="00F368F4" w:rsidP="001C5B8D">
      <w:pPr>
        <w:pStyle w:val="SingleTxtG"/>
        <w:jc w:val="right"/>
      </w:pPr>
      <w:r w:rsidRPr="005B0501">
        <w:t>a = 8 mm min.</w:t>
      </w:r>
    </w:p>
    <w:p w14:paraId="1D3D8823" w14:textId="3ECA9D06" w:rsidR="00F368F4" w:rsidRPr="005B0501" w:rsidRDefault="00F368F4" w:rsidP="001C5B8D">
      <w:pPr>
        <w:pStyle w:val="SingleTxtG"/>
        <w:ind w:firstLine="567"/>
      </w:pPr>
      <w:r w:rsidRPr="005B0501">
        <w:rPr>
          <w:lang w:eastAsia="fr-FR"/>
        </w:rPr>
        <w:t xml:space="preserve">La marque d’homologation ci-dessus, apposée sur un véhicule, indique que le type de ce véhicule a été homologué aux Pays-Bas (E 4), en ce qui concerne l’installation de dispositifs d’éclairage et de signalisation lumineuse, en application du Règlement ONU </w:t>
      </w:r>
      <w:r w:rsidRPr="005B0501">
        <w:rPr>
          <w:rFonts w:eastAsia="MS Mincho"/>
        </w:rPr>
        <w:t>n</w:t>
      </w:r>
      <w:r w:rsidRPr="005B0501">
        <w:rPr>
          <w:rFonts w:eastAsia="MS Mincho"/>
          <w:vertAlign w:val="superscript"/>
        </w:rPr>
        <w:t>o</w:t>
      </w:r>
      <w:r w:rsidRPr="005B0501">
        <w:rPr>
          <w:rFonts w:eastAsia="MS Mincho"/>
        </w:rPr>
        <w:t> </w:t>
      </w:r>
      <w:r w:rsidRPr="005B0501">
        <w:rPr>
          <w:lang w:eastAsia="fr-FR"/>
        </w:rPr>
        <w:t>48 tel que modifié par la série</w:t>
      </w:r>
      <w:r w:rsidR="001C5B8D">
        <w:rPr>
          <w:lang w:eastAsia="fr-FR"/>
        </w:rPr>
        <w:t xml:space="preserve"> </w:t>
      </w:r>
      <w:r w:rsidRPr="005B0501">
        <w:rPr>
          <w:lang w:eastAsia="fr-FR"/>
        </w:rPr>
        <w:t xml:space="preserve">08 d’amendements. Le numéro d’homologation indique que </w:t>
      </w:r>
      <w:r w:rsidRPr="005B0501">
        <w:rPr>
          <w:lang w:eastAsia="fr-FR"/>
        </w:rPr>
        <w:lastRenderedPageBreak/>
        <w:t xml:space="preserve">l’homologation a été accordée conformément aux prescriptions du Règlement ONU </w:t>
      </w:r>
      <w:r w:rsidRPr="005B0501">
        <w:rPr>
          <w:rFonts w:eastAsia="MS Mincho"/>
        </w:rPr>
        <w:t>n</w:t>
      </w:r>
      <w:r w:rsidRPr="005B0501">
        <w:rPr>
          <w:rFonts w:eastAsia="MS Mincho"/>
          <w:vertAlign w:val="superscript"/>
        </w:rPr>
        <w:t>o</w:t>
      </w:r>
      <w:r w:rsidRPr="005B0501">
        <w:rPr>
          <w:rFonts w:eastAsia="MS Mincho"/>
        </w:rPr>
        <w:t> </w:t>
      </w:r>
      <w:r w:rsidRPr="005B0501">
        <w:rPr>
          <w:lang w:eastAsia="fr-FR"/>
        </w:rPr>
        <w:t>48 tel que modifié par la série</w:t>
      </w:r>
      <w:r w:rsidR="001C5B8D">
        <w:rPr>
          <w:lang w:eastAsia="fr-FR"/>
        </w:rPr>
        <w:t xml:space="preserve"> </w:t>
      </w:r>
      <w:r w:rsidRPr="005B0501">
        <w:rPr>
          <w:lang w:eastAsia="fr-FR"/>
        </w:rPr>
        <w:t>08 d’amendements.</w:t>
      </w:r>
    </w:p>
    <w:p w14:paraId="5C9C70E4" w14:textId="2CAF1434" w:rsidR="00F368F4" w:rsidRDefault="00F368F4" w:rsidP="001C5B8D">
      <w:pPr>
        <w:pStyle w:val="SingleTxtG"/>
        <w:keepNext/>
      </w:pPr>
      <w:r w:rsidRPr="005B0501">
        <w:t xml:space="preserve">Modèle B </w:t>
      </w:r>
      <w:r w:rsidRPr="005B0501">
        <w:br/>
        <w:t>(</w:t>
      </w:r>
      <w:r w:rsidRPr="005B0501">
        <w:rPr>
          <w:lang w:eastAsia="fr-FR"/>
        </w:rPr>
        <w:t>Voir par. 4.5 du présent Règlement</w:t>
      </w:r>
      <w:r w:rsidRPr="005B0501">
        <w:t>)</w:t>
      </w:r>
    </w:p>
    <w:p w14:paraId="53A6D503" w14:textId="5D9E35C4" w:rsidR="00D1777A" w:rsidRPr="005B0501" w:rsidRDefault="00D1777A" w:rsidP="001C5B8D">
      <w:pPr>
        <w:pStyle w:val="SingleTxtG"/>
        <w:keepNext/>
        <w:rPr>
          <w:szCs w:val="16"/>
        </w:rPr>
      </w:pPr>
      <w:r w:rsidRPr="005B0501">
        <w:rPr>
          <w:noProof/>
          <w:lang w:eastAsia="it-IT"/>
        </w:rPr>
        <mc:AlternateContent>
          <mc:Choice Requires="wps">
            <w:drawing>
              <wp:anchor distT="0" distB="0" distL="114300" distR="114300" simplePos="0" relativeHeight="251662336" behindDoc="0" locked="0" layoutInCell="1" allowOverlap="1" wp14:anchorId="09A9A0BA" wp14:editId="773F3E19">
                <wp:simplePos x="0" y="0"/>
                <wp:positionH relativeFrom="column">
                  <wp:posOffset>3484880</wp:posOffset>
                </wp:positionH>
                <wp:positionV relativeFrom="paragraph">
                  <wp:posOffset>188925</wp:posOffset>
                </wp:positionV>
                <wp:extent cx="365202" cy="318026"/>
                <wp:effectExtent l="0" t="0" r="0" b="6350"/>
                <wp:wrapNone/>
                <wp:docPr id="18" name="Casella di tes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02" cy="318026"/>
                        </a:xfrm>
                        <a:prstGeom prst="rect">
                          <a:avLst/>
                        </a:prstGeom>
                        <a:solidFill>
                          <a:srgbClr val="FFFFFF"/>
                        </a:solidFill>
                        <a:ln>
                          <a:noFill/>
                        </a:ln>
                      </wps:spPr>
                      <wps:txbx>
                        <w:txbxContent>
                          <w:p w14:paraId="6B8B0FA9" w14:textId="77777777" w:rsidR="00F368F4" w:rsidRPr="00D1777A" w:rsidRDefault="00F368F4" w:rsidP="00A668F3">
                            <w:pPr>
                              <w:spacing w:line="240" w:lineRule="auto"/>
                              <w:jc w:val="center"/>
                              <w:rPr>
                                <w:rFonts w:ascii="Arial" w:hAnsi="Arial"/>
                                <w:bCs/>
                                <w:sz w:val="50"/>
                                <w:szCs w:val="50"/>
                                <w:lang w:eastAsia="ja-JP"/>
                              </w:rPr>
                            </w:pPr>
                            <w:r w:rsidRPr="00A668F3">
                              <w:rPr>
                                <w:rFonts w:ascii="Arial Narrow" w:hAnsi="Arial Narrow"/>
                                <w:spacing w:val="-2"/>
                                <w:sz w:val="50"/>
                                <w:szCs w:val="50"/>
                              </w:rPr>
                              <w:t>08</w:t>
                            </w:r>
                            <w:r w:rsidRPr="00D1777A">
                              <w:rPr>
                                <w:rFonts w:ascii="Arial" w:hAnsi="Arial"/>
                                <w:bCs/>
                                <w:sz w:val="50"/>
                                <w:szCs w:val="50"/>
                              </w:rPr>
                              <w:t>0</w:t>
                            </w:r>
                            <w:r w:rsidRPr="00D1777A">
                              <w:rPr>
                                <w:rFonts w:ascii="Arial" w:hAnsi="Arial"/>
                                <w:bCs/>
                                <w:sz w:val="50"/>
                                <w:szCs w:val="50"/>
                                <w:lang w:eastAsia="ja-JP"/>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9A0BA" id="Casella di testo 148" o:spid="_x0000_s1029" type="#_x0000_t202" style="position:absolute;left:0;text-align:left;margin-left:274.4pt;margin-top:14.9pt;width:28.75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" stroked="f">
                <v:textbox inset="0,0,0,0">
                  <w:txbxContent>
                    <w:p w14:paraId="6B8B0FA9" w14:textId="77777777" w:rsidR="00F368F4" w:rsidRPr="00D1777A" w:rsidRDefault="00F368F4" w:rsidP="00A668F3">
                      <w:pPr>
                        <w:spacing w:line="240" w:lineRule="auto"/>
                        <w:jc w:val="center"/>
                        <w:rPr>
                          <w:rFonts w:ascii="Arial" w:hAnsi="Arial"/>
                          <w:bCs/>
                          <w:sz w:val="50"/>
                          <w:szCs w:val="50"/>
                          <w:lang w:eastAsia="ja-JP"/>
                        </w:rPr>
                      </w:pPr>
                      <w:r w:rsidRPr="00A668F3">
                        <w:rPr>
                          <w:rFonts w:ascii="Arial Narrow" w:hAnsi="Arial Narrow"/>
                          <w:spacing w:val="-2"/>
                          <w:sz w:val="50"/>
                          <w:szCs w:val="50"/>
                        </w:rPr>
                        <w:t>08</w:t>
                      </w:r>
                      <w:r w:rsidRPr="00D1777A">
                        <w:rPr>
                          <w:rFonts w:ascii="Arial" w:hAnsi="Arial"/>
                          <w:bCs/>
                          <w:sz w:val="50"/>
                          <w:szCs w:val="50"/>
                        </w:rPr>
                        <w:t>0</w:t>
                      </w:r>
                      <w:r w:rsidRPr="00D1777A">
                        <w:rPr>
                          <w:rFonts w:ascii="Arial" w:hAnsi="Arial"/>
                          <w:bCs/>
                          <w:sz w:val="50"/>
                          <w:szCs w:val="50"/>
                          <w:lang w:eastAsia="ja-JP"/>
                        </w:rPr>
                        <w:t>6</w:t>
                      </w:r>
                    </w:p>
                  </w:txbxContent>
                </v:textbox>
              </v:shape>
            </w:pict>
          </mc:Fallback>
        </mc:AlternateContent>
      </w:r>
      <w:bookmarkStart w:id="8" w:name="_MON_1723975253"/>
      <w:bookmarkEnd w:id="8"/>
      <w:r w:rsidR="001574E7" w:rsidRPr="005B0501">
        <w:object w:dxaOrig="8505" w:dyaOrig="1590" w14:anchorId="4246C5A5">
          <v:shape id="_x0000_i1093" type="#_x0000_t75" style="width:368.65pt;height:85.25pt" o:ole="">
            <v:imagedata r:id="rId13" o:title="" cropleft="2577f" cropright="1660f"/>
            <o:lock v:ext="edit" aspectratio="f"/>
          </v:shape>
          <o:OLEObject Type="Embed" ProgID="Word.Picture.8" ShapeID="_x0000_i1093" DrawAspect="Content" ObjectID="_1723975427" r:id="rId14"/>
        </w:object>
      </w:r>
    </w:p>
    <w:p w14:paraId="4013DF38" w14:textId="1B81AC8F" w:rsidR="00F368F4" w:rsidRPr="005B0501" w:rsidRDefault="00F368F4" w:rsidP="001C5B8D">
      <w:pPr>
        <w:pStyle w:val="SingleTxtG"/>
        <w:jc w:val="right"/>
      </w:pPr>
      <w:r w:rsidRPr="005B0501">
        <w:t>a = 8 mm min.</w:t>
      </w:r>
    </w:p>
    <w:p w14:paraId="556733FF" w14:textId="630159BA" w:rsidR="00F368F4" w:rsidRPr="005B0501" w:rsidRDefault="00F368F4" w:rsidP="00F368F4">
      <w:pPr>
        <w:spacing w:after="120"/>
        <w:ind w:left="1134" w:right="1134" w:firstLine="567"/>
        <w:jc w:val="both"/>
        <w:rPr>
          <w:rFonts w:eastAsia="Calibri"/>
          <w:lang w:eastAsia="fr-FR"/>
        </w:rPr>
      </w:pPr>
      <w:r w:rsidRPr="005B0501">
        <w:rPr>
          <w:rFonts w:eastAsia="Calibri"/>
          <w:lang w:eastAsia="fr-FR"/>
        </w:rPr>
        <w:t>La marque d’homologation ci-dessus, apposée sur un véhicule, indique que le type de ce véhicule a été homologué aux Pays-Bas (E 4), en application du Règlement</w:t>
      </w:r>
      <w:r w:rsidR="00BD1EF3">
        <w:rPr>
          <w:rFonts w:eastAsia="Calibri"/>
          <w:lang w:eastAsia="fr-FR"/>
        </w:rPr>
        <w:t xml:space="preserve"> </w:t>
      </w:r>
      <w:r w:rsidRPr="005B0501">
        <w:rPr>
          <w:rFonts w:eastAsia="Calibri"/>
          <w:lang w:eastAsia="fr-FR"/>
        </w:rPr>
        <w:t xml:space="preserve">ONU </w:t>
      </w:r>
      <w:r w:rsidRPr="005B0501">
        <w:rPr>
          <w:rFonts w:eastAsia="MS Mincho"/>
        </w:rPr>
        <w:t>n</w:t>
      </w:r>
      <w:r w:rsidRPr="005B0501">
        <w:rPr>
          <w:rFonts w:eastAsia="MS Mincho"/>
          <w:vertAlign w:val="superscript"/>
        </w:rPr>
        <w:t>o</w:t>
      </w:r>
      <w:r w:rsidRPr="005B0501">
        <w:rPr>
          <w:rFonts w:eastAsia="MS Mincho"/>
        </w:rPr>
        <w:t> </w:t>
      </w:r>
      <w:r w:rsidRPr="005B0501">
        <w:rPr>
          <w:rFonts w:eastAsia="Calibri"/>
          <w:lang w:eastAsia="fr-FR"/>
        </w:rPr>
        <w:t>48 tel que modifié par la série</w:t>
      </w:r>
      <w:r w:rsidR="00BD1EF3">
        <w:rPr>
          <w:rFonts w:eastAsia="Calibri"/>
          <w:lang w:eastAsia="fr-FR"/>
        </w:rPr>
        <w:t xml:space="preserve"> </w:t>
      </w:r>
      <w:r w:rsidRPr="005B0501">
        <w:rPr>
          <w:rFonts w:eastAsia="Calibri"/>
          <w:lang w:eastAsia="fr-FR"/>
        </w:rPr>
        <w:t>08 d’amendements et du Règlement</w:t>
      </w:r>
      <w:r w:rsidR="001C496E">
        <w:rPr>
          <w:rFonts w:eastAsia="Calibri"/>
          <w:lang w:eastAsia="fr-FR"/>
        </w:rPr>
        <w:t xml:space="preserve"> </w:t>
      </w:r>
      <w:r w:rsidRPr="005B0501">
        <w:rPr>
          <w:rFonts w:eastAsia="Calibri"/>
          <w:lang w:eastAsia="fr-FR"/>
        </w:rPr>
        <w:t xml:space="preserve">ONU </w:t>
      </w:r>
      <w:r w:rsidRPr="005B0501">
        <w:rPr>
          <w:rFonts w:eastAsia="MS Mincho"/>
        </w:rPr>
        <w:t>n</w:t>
      </w:r>
      <w:r w:rsidRPr="005B0501">
        <w:rPr>
          <w:rFonts w:eastAsia="MS Mincho"/>
          <w:vertAlign w:val="superscript"/>
        </w:rPr>
        <w:t>o</w:t>
      </w:r>
      <w:r w:rsidRPr="005B0501">
        <w:rPr>
          <w:rFonts w:eastAsia="MS Mincho"/>
        </w:rPr>
        <w:t> </w:t>
      </w:r>
      <w:r w:rsidRPr="005B0501">
        <w:rPr>
          <w:rFonts w:eastAsia="Calibri"/>
          <w:lang w:eastAsia="fr-FR"/>
        </w:rPr>
        <w:t>33</w:t>
      </w:r>
      <w:r w:rsidRPr="005B0501">
        <w:rPr>
          <w:rFonts w:eastAsia="Calibri"/>
          <w:sz w:val="18"/>
          <w:szCs w:val="18"/>
          <w:vertAlign w:val="superscript"/>
          <w:lang w:eastAsia="fr-FR"/>
        </w:rPr>
        <w:t>1</w:t>
      </w:r>
      <w:r w:rsidRPr="005B0501">
        <w:rPr>
          <w:rFonts w:eastAsia="Calibri"/>
          <w:lang w:eastAsia="fr-FR"/>
        </w:rPr>
        <w:t xml:space="preserve">. Le numéro d’homologation indique qu’aux dates auxquelles les homologations respectives ont été accordées, le Règlement ONU </w:t>
      </w:r>
      <w:r w:rsidRPr="005B0501">
        <w:rPr>
          <w:rFonts w:eastAsia="MS Mincho"/>
        </w:rPr>
        <w:t>n</w:t>
      </w:r>
      <w:r w:rsidRPr="005B0501">
        <w:rPr>
          <w:rFonts w:eastAsia="MS Mincho"/>
          <w:vertAlign w:val="superscript"/>
        </w:rPr>
        <w:t>o</w:t>
      </w:r>
      <w:r w:rsidRPr="005B0501">
        <w:rPr>
          <w:rFonts w:eastAsia="MS Mincho"/>
        </w:rPr>
        <w:t> </w:t>
      </w:r>
      <w:r w:rsidRPr="005B0501">
        <w:rPr>
          <w:rFonts w:eastAsia="Calibri"/>
          <w:lang w:eastAsia="fr-FR"/>
        </w:rPr>
        <w:t>48 avait déjà été modifié par la série</w:t>
      </w:r>
      <w:r w:rsidR="00BD1EF3">
        <w:rPr>
          <w:rFonts w:eastAsia="Calibri"/>
          <w:lang w:eastAsia="fr-FR"/>
        </w:rPr>
        <w:t xml:space="preserve"> </w:t>
      </w:r>
      <w:r w:rsidRPr="005B0501">
        <w:rPr>
          <w:rFonts w:eastAsia="Calibri"/>
          <w:lang w:eastAsia="fr-FR"/>
        </w:rPr>
        <w:t xml:space="preserve">08 d’amendements et que le Règlement ONU </w:t>
      </w:r>
      <w:r w:rsidRPr="005B0501">
        <w:rPr>
          <w:rFonts w:eastAsia="MS Mincho"/>
        </w:rPr>
        <w:t>n</w:t>
      </w:r>
      <w:r w:rsidRPr="005B0501">
        <w:rPr>
          <w:rFonts w:eastAsia="MS Mincho"/>
          <w:vertAlign w:val="superscript"/>
        </w:rPr>
        <w:t>o</w:t>
      </w:r>
      <w:r w:rsidRPr="005B0501">
        <w:rPr>
          <w:rFonts w:eastAsia="MS Mincho"/>
        </w:rPr>
        <w:t> </w:t>
      </w:r>
      <w:r w:rsidRPr="005B0501">
        <w:rPr>
          <w:rFonts w:eastAsia="Calibri"/>
          <w:lang w:eastAsia="fr-FR"/>
        </w:rPr>
        <w:t>33 était encore sous sa forme originale.</w:t>
      </w:r>
    </w:p>
    <w:p w14:paraId="73429081" w14:textId="1578B733" w:rsidR="00F368F4" w:rsidRPr="005B0501" w:rsidRDefault="00F368F4" w:rsidP="005A3A19">
      <w:pPr>
        <w:tabs>
          <w:tab w:val="left" w:pos="6516"/>
        </w:tabs>
        <w:spacing w:after="120"/>
        <w:ind w:left="737"/>
        <w:jc w:val="both"/>
        <w:rPr>
          <w:rFonts w:eastAsia="Calibri"/>
          <w:sz w:val="18"/>
          <w:szCs w:val="18"/>
        </w:rPr>
      </w:pPr>
      <w:r w:rsidRPr="005B0501">
        <w:rPr>
          <w:rFonts w:eastAsia="Calibri"/>
          <w:sz w:val="18"/>
          <w:szCs w:val="18"/>
        </w:rPr>
        <w:t>________________</w:t>
      </w:r>
    </w:p>
    <w:p w14:paraId="5BAEA105" w14:textId="2DD241A1" w:rsidR="00F368F4" w:rsidRPr="005B0501" w:rsidRDefault="005A3A19" w:rsidP="005A3A19">
      <w:pPr>
        <w:pStyle w:val="Notedebasdepage"/>
        <w:spacing w:after="240"/>
        <w:rPr>
          <w:rFonts w:eastAsia="Calibri"/>
          <w:lang w:eastAsia="fr-FR"/>
        </w:rPr>
      </w:pPr>
      <w:r w:rsidRPr="001C496E">
        <w:rPr>
          <w:rFonts w:eastAsia="Calibri"/>
          <w:szCs w:val="18"/>
        </w:rPr>
        <w:tab/>
      </w:r>
      <w:r w:rsidR="00F368F4" w:rsidRPr="005B0501">
        <w:rPr>
          <w:rFonts w:eastAsia="Calibri"/>
          <w:szCs w:val="18"/>
          <w:vertAlign w:val="superscript"/>
        </w:rPr>
        <w:t>1</w:t>
      </w:r>
      <w:r w:rsidR="00F368F4" w:rsidRPr="005B0501">
        <w:rPr>
          <w:rFonts w:eastAsia="Calibri"/>
          <w:szCs w:val="18"/>
        </w:rPr>
        <w:tab/>
        <w:t>Ce dernier numéro n’est donné qu’à titre d’exemple.</w:t>
      </w:r>
      <w:r w:rsidR="005B0501">
        <w:t> </w:t>
      </w:r>
      <w:r w:rsidR="005B0501" w:rsidRPr="005A3A19">
        <w:rPr>
          <w:sz w:val="20"/>
        </w:rPr>
        <w:t>»</w:t>
      </w:r>
      <w:r w:rsidR="00F368F4" w:rsidRPr="005A3A19">
        <w:rPr>
          <w:rFonts w:eastAsia="Calibri"/>
          <w:sz w:val="20"/>
        </w:rPr>
        <w:t>.</w:t>
      </w:r>
    </w:p>
    <w:p w14:paraId="556415E8" w14:textId="0C91DC87" w:rsidR="00F368F4" w:rsidRPr="005B0501" w:rsidRDefault="00F368F4" w:rsidP="004E58D6">
      <w:pPr>
        <w:pStyle w:val="SingleTxtG"/>
        <w:keepNext/>
        <w:rPr>
          <w:b/>
        </w:rPr>
      </w:pPr>
      <w:r w:rsidRPr="004E58D6">
        <w:rPr>
          <w:i/>
          <w:iCs/>
        </w:rPr>
        <w:t>Annexe</w:t>
      </w:r>
      <w:r w:rsidRPr="005B0501">
        <w:rPr>
          <w:i/>
          <w:szCs w:val="16"/>
        </w:rPr>
        <w:t xml:space="preserve"> 6</w:t>
      </w:r>
      <w:r w:rsidRPr="005B0501">
        <w:rPr>
          <w:rFonts w:eastAsia="MS Mincho"/>
          <w:szCs w:val="16"/>
        </w:rPr>
        <w:t xml:space="preserve">, </w:t>
      </w:r>
      <w:r w:rsidRPr="005B0501">
        <w:rPr>
          <w:rFonts w:eastAsia="MS Mincho"/>
          <w:i/>
          <w:iCs/>
          <w:szCs w:val="16"/>
        </w:rPr>
        <w:t>paragraphe 5.4.3</w:t>
      </w:r>
      <w:r w:rsidRPr="004B55BF">
        <w:rPr>
          <w:rFonts w:eastAsia="MS Mincho"/>
          <w:szCs w:val="16"/>
        </w:rPr>
        <w:t xml:space="preserve">, </w:t>
      </w:r>
      <w:r w:rsidRPr="005B0501">
        <w:rPr>
          <w:rFonts w:eastAsia="MS Mincho"/>
          <w:szCs w:val="16"/>
        </w:rPr>
        <w:t>lire</w:t>
      </w:r>
      <w:r w:rsidR="00EB6374" w:rsidRPr="005B0501">
        <w:rPr>
          <w:rFonts w:eastAsia="MS Mincho"/>
          <w:szCs w:val="16"/>
        </w:rPr>
        <w:t> :</w:t>
      </w:r>
    </w:p>
    <w:p w14:paraId="7BA93DFE" w14:textId="6B542A37" w:rsidR="00F368F4" w:rsidRPr="005B0501" w:rsidRDefault="005B0501" w:rsidP="004E58D6">
      <w:pPr>
        <w:pStyle w:val="SingleTxtG"/>
        <w:ind w:left="2268" w:hanging="1134"/>
      </w:pPr>
      <w:r w:rsidRPr="005B0501">
        <w:t>«</w:t>
      </w:r>
      <w:r>
        <w:t> </w:t>
      </w:r>
      <w:r w:rsidR="00F368F4" w:rsidRPr="005B0501">
        <w:t>5.4.3</w:t>
      </w:r>
      <w:r w:rsidR="00F368F4" w:rsidRPr="005B0501">
        <w:tab/>
      </w:r>
      <w:r w:rsidR="00F368F4" w:rsidRPr="005B0501">
        <w:tab/>
      </w:r>
      <w:r w:rsidR="00F368F4" w:rsidRPr="005B0501">
        <w:rPr>
          <w:lang w:eastAsia="fr-FR"/>
        </w:rPr>
        <w:t>Véhicules dont la suspension n’est pas classique et qui nécessitent la mise en</w:t>
      </w:r>
      <w:r w:rsidR="004E58D6">
        <w:rPr>
          <w:lang w:eastAsia="fr-FR"/>
        </w:rPr>
        <w:t xml:space="preserve"> </w:t>
      </w:r>
      <w:r w:rsidR="00F368F4" w:rsidRPr="005B0501">
        <w:rPr>
          <w:lang w:eastAsia="fr-FR"/>
        </w:rPr>
        <w:t xml:space="preserve">marche du </w:t>
      </w:r>
      <w:r w:rsidR="00F368F4" w:rsidRPr="005B0501">
        <w:t>système de propulsion.</w:t>
      </w:r>
    </w:p>
    <w:p w14:paraId="26BC3BE0" w14:textId="0FAA3C46" w:rsidR="00F368F4" w:rsidRPr="005B0501" w:rsidRDefault="00F368F4" w:rsidP="004B55BF">
      <w:pPr>
        <w:pStyle w:val="SingleTxtG"/>
        <w:ind w:left="2268"/>
      </w:pPr>
      <w:r w:rsidRPr="004B55BF">
        <w:rPr>
          <w:b/>
          <w:bCs/>
          <w:lang w:eastAsia="fr-FR"/>
        </w:rPr>
        <w:t>Avant de procéder à quelque mesure que ce soit, attendre que le véhicule se soit immobilisé avec le moteur en marche.</w:t>
      </w:r>
      <w:r w:rsidR="005B0501">
        <w:t> </w:t>
      </w:r>
      <w:r w:rsidR="005B0501" w:rsidRPr="005B0501">
        <w:t>»</w:t>
      </w:r>
      <w:r w:rsidRPr="005B0501">
        <w:t>.</w:t>
      </w:r>
    </w:p>
    <w:p w14:paraId="1E51CAEE" w14:textId="77777777" w:rsidR="00F368F4" w:rsidRPr="005B0501" w:rsidRDefault="00F368F4" w:rsidP="004E58D6">
      <w:pPr>
        <w:pStyle w:val="HChG"/>
      </w:pPr>
      <w:r w:rsidRPr="005B0501">
        <w:rPr>
          <w:bCs/>
        </w:rPr>
        <w:tab/>
        <w:t>II.</w:t>
      </w:r>
      <w:r w:rsidRPr="005B0501">
        <w:tab/>
        <w:t>Justification</w:t>
      </w:r>
    </w:p>
    <w:p w14:paraId="42E2DC09" w14:textId="127D992C" w:rsidR="00F368F4" w:rsidRPr="005B0501" w:rsidRDefault="004E58D6" w:rsidP="004E58D6">
      <w:pPr>
        <w:pStyle w:val="H1G"/>
      </w:pPr>
      <w:bookmarkStart w:id="9" w:name="_Hlk108087168"/>
      <w:r>
        <w:rPr>
          <w:bCs/>
        </w:rPr>
        <w:tab/>
      </w:r>
      <w:r w:rsidR="00F368F4" w:rsidRPr="005B0501">
        <w:rPr>
          <w:bCs/>
        </w:rPr>
        <w:t>A.</w:t>
      </w:r>
      <w:r w:rsidR="00F368F4" w:rsidRPr="005B0501">
        <w:tab/>
      </w:r>
      <w:bookmarkEnd w:id="9"/>
      <w:r w:rsidR="00F368F4" w:rsidRPr="005B0501">
        <w:t xml:space="preserve">Complément à la série 06 d’amendements au Règlement ONU </w:t>
      </w:r>
      <w:r w:rsidR="00F368F4" w:rsidRPr="005B0501">
        <w:rPr>
          <w:rFonts w:eastAsia="MS Mincho"/>
        </w:rPr>
        <w:t>n</w:t>
      </w:r>
      <w:r w:rsidR="00F368F4" w:rsidRPr="005B0501">
        <w:rPr>
          <w:rFonts w:eastAsia="MS Mincho"/>
          <w:vertAlign w:val="superscript"/>
        </w:rPr>
        <w:t>o</w:t>
      </w:r>
      <w:r w:rsidR="00F368F4" w:rsidRPr="005B0501">
        <w:rPr>
          <w:rFonts w:eastAsia="MS Mincho"/>
        </w:rPr>
        <w:t> </w:t>
      </w:r>
      <w:r w:rsidR="00F368F4" w:rsidRPr="005B0501">
        <w:t>48</w:t>
      </w:r>
    </w:p>
    <w:p w14:paraId="14201B5D" w14:textId="77777777" w:rsidR="00F368F4" w:rsidRPr="005B0501" w:rsidRDefault="00F368F4" w:rsidP="004E58D6">
      <w:pPr>
        <w:pStyle w:val="SingleTxtG"/>
        <w:rPr>
          <w:bCs/>
          <w:iCs/>
        </w:rPr>
      </w:pPr>
      <w:r w:rsidRPr="005B0501">
        <w:t>1.</w:t>
      </w:r>
      <w:r w:rsidRPr="005B0501">
        <w:tab/>
        <w:t>Aux paragraphes 6.1.8 et 6.1.9, les dispositions relatives à la commande automatique des feux de route renvoient de manière erronée au paragraphe 6.1.7.1 au lieu du paragraphe 6.1.7.2.</w:t>
      </w:r>
    </w:p>
    <w:p w14:paraId="2EC68D50" w14:textId="22638572" w:rsidR="00F368F4" w:rsidRPr="005B0501" w:rsidRDefault="00F368F4" w:rsidP="004E58D6">
      <w:pPr>
        <w:pStyle w:val="SingleTxtG"/>
        <w:rPr>
          <w:bCs/>
          <w:iCs/>
        </w:rPr>
      </w:pPr>
      <w:r w:rsidRPr="005B0501">
        <w:t>2.</w:t>
      </w:r>
      <w:r w:rsidRPr="005B0501">
        <w:tab/>
        <w:t xml:space="preserve">Au paragraphe 6.20, </w:t>
      </w:r>
      <w:r w:rsidR="005B0501" w:rsidRPr="005B0501">
        <w:t>«</w:t>
      </w:r>
      <w:r w:rsidR="005B0501">
        <w:t> </w:t>
      </w:r>
      <w:r w:rsidRPr="005B0501">
        <w:t>Feu d’angle</w:t>
      </w:r>
      <w:r w:rsidR="005B0501">
        <w:t> </w:t>
      </w:r>
      <w:r w:rsidR="005B0501" w:rsidRPr="005B0501">
        <w:t>»</w:t>
      </w:r>
      <w:r w:rsidRPr="005B0501">
        <w:t>, la référence au Règlement</w:t>
      </w:r>
      <w:r w:rsidRPr="005B0501">
        <w:rPr>
          <w:i/>
          <w:iCs/>
        </w:rPr>
        <w:t xml:space="preserve"> </w:t>
      </w:r>
      <w:r w:rsidRPr="005B0501">
        <w:t>ONU n</w:t>
      </w:r>
      <w:r w:rsidRPr="005B0501">
        <w:rPr>
          <w:vertAlign w:val="superscript"/>
        </w:rPr>
        <w:t>o</w:t>
      </w:r>
      <w:r w:rsidRPr="005B0501">
        <w:t> 148 est remplacée par une référence au Règlement n</w:t>
      </w:r>
      <w:r w:rsidRPr="005B0501">
        <w:rPr>
          <w:vertAlign w:val="superscript"/>
        </w:rPr>
        <w:t>o</w:t>
      </w:r>
      <w:r w:rsidRPr="005B0501">
        <w:t> 149.</w:t>
      </w:r>
    </w:p>
    <w:p w14:paraId="1227F754" w14:textId="77777777" w:rsidR="00F368F4" w:rsidRPr="005B0501" w:rsidRDefault="00F368F4" w:rsidP="004E58D6">
      <w:pPr>
        <w:pStyle w:val="SingleTxtG"/>
        <w:rPr>
          <w:bCs/>
          <w:iCs/>
        </w:rPr>
      </w:pPr>
      <w:r w:rsidRPr="005B0501">
        <w:t>3.</w:t>
      </w:r>
      <w:r w:rsidRPr="005B0501">
        <w:tab/>
        <w:t>Au paragraphe 6.22.7.4.3, les ensembles de données ont été réalignés afin d’indiquer clairement qu’ils ne s’appliquent qu’à l’alinéa b).</w:t>
      </w:r>
    </w:p>
    <w:p w14:paraId="22480D03" w14:textId="77777777" w:rsidR="00F368F4" w:rsidRPr="005B0501" w:rsidRDefault="00F368F4" w:rsidP="004E58D6">
      <w:pPr>
        <w:pStyle w:val="SingleTxtG"/>
        <w:rPr>
          <w:bCs/>
          <w:iCs/>
        </w:rPr>
      </w:pPr>
      <w:r w:rsidRPr="005B0501">
        <w:t>4.</w:t>
      </w:r>
      <w:r w:rsidRPr="005B0501">
        <w:tab/>
        <w:t xml:space="preserve">Au paragraphe 6.22.9.1, une référence erronée à la fiche de communication de la série 00 d’amendements au Règlement ONU </w:t>
      </w:r>
      <w:r w:rsidRPr="005B0501">
        <w:rPr>
          <w:rFonts w:eastAsia="MS Mincho"/>
        </w:rPr>
        <w:t>n</w:t>
      </w:r>
      <w:r w:rsidRPr="005B0501">
        <w:rPr>
          <w:rFonts w:eastAsia="MS Mincho"/>
          <w:vertAlign w:val="superscript"/>
        </w:rPr>
        <w:t>o</w:t>
      </w:r>
      <w:r w:rsidRPr="005B0501">
        <w:rPr>
          <w:rFonts w:eastAsia="MS Mincho"/>
        </w:rPr>
        <w:t> </w:t>
      </w:r>
      <w:r w:rsidRPr="005B0501">
        <w:t xml:space="preserve">149 a été rectifiée, et une référence manquante à un paragraphe de la série 01 d’amendements au Règlement ONU </w:t>
      </w:r>
      <w:r w:rsidRPr="005B0501">
        <w:rPr>
          <w:rFonts w:eastAsia="MS Mincho"/>
        </w:rPr>
        <w:t>n</w:t>
      </w:r>
      <w:r w:rsidRPr="005B0501">
        <w:rPr>
          <w:rFonts w:eastAsia="MS Mincho"/>
          <w:vertAlign w:val="superscript"/>
        </w:rPr>
        <w:t>o</w:t>
      </w:r>
      <w:r w:rsidRPr="005B0501">
        <w:rPr>
          <w:rFonts w:eastAsia="MS Mincho"/>
        </w:rPr>
        <w:t> </w:t>
      </w:r>
      <w:r w:rsidRPr="005B0501">
        <w:t>149 a été ajoutée.</w:t>
      </w:r>
    </w:p>
    <w:p w14:paraId="4127E81C" w14:textId="77777777" w:rsidR="00F368F4" w:rsidRPr="005B0501" w:rsidRDefault="00F368F4" w:rsidP="004E58D6">
      <w:pPr>
        <w:pStyle w:val="SingleTxtG"/>
      </w:pPr>
      <w:r w:rsidRPr="005B0501">
        <w:t>5.</w:t>
      </w:r>
      <w:r w:rsidRPr="005B0501">
        <w:tab/>
        <w:t>La note de bas de page 13 dans les paragraphes 6.3.5, 6.3.6.1.1 et 6.5.8 et la note de bas de page 14 dans le paragraphe 6.19.7.3 ont été supprimées car le contenu de ces notes n’est plus pertinent. Les notes de bas de page suivantes ont été renumérotées en conséquence.</w:t>
      </w:r>
    </w:p>
    <w:p w14:paraId="3300409B" w14:textId="7769E1A8" w:rsidR="00F368F4" w:rsidRPr="005B0501" w:rsidRDefault="004E58D6" w:rsidP="004E58D6">
      <w:pPr>
        <w:pStyle w:val="H1G"/>
        <w:rPr>
          <w:rFonts w:eastAsia="SimSun"/>
        </w:rPr>
      </w:pPr>
      <w:r>
        <w:tab/>
      </w:r>
      <w:r w:rsidR="00F368F4" w:rsidRPr="005B0501">
        <w:t>B.</w:t>
      </w:r>
      <w:r w:rsidR="00F368F4" w:rsidRPr="005B0501">
        <w:tab/>
        <w:t xml:space="preserve">Complément à la série 07 d’amendements au Règlement ONU </w:t>
      </w:r>
      <w:r w:rsidR="00F368F4" w:rsidRPr="005B0501">
        <w:rPr>
          <w:rFonts w:eastAsia="MS Mincho"/>
          <w:szCs w:val="24"/>
        </w:rPr>
        <w:t>n</w:t>
      </w:r>
      <w:r w:rsidR="00F368F4" w:rsidRPr="005B0501">
        <w:rPr>
          <w:rFonts w:eastAsia="MS Mincho"/>
          <w:szCs w:val="24"/>
          <w:vertAlign w:val="superscript"/>
        </w:rPr>
        <w:t>o</w:t>
      </w:r>
      <w:r w:rsidR="00F368F4" w:rsidRPr="005B0501">
        <w:rPr>
          <w:rFonts w:eastAsia="MS Mincho"/>
        </w:rPr>
        <w:t> </w:t>
      </w:r>
      <w:r w:rsidR="00F368F4" w:rsidRPr="005B0501">
        <w:t>48</w:t>
      </w:r>
    </w:p>
    <w:p w14:paraId="2BBB4A42" w14:textId="77777777" w:rsidR="00F368F4" w:rsidRPr="005B0501" w:rsidRDefault="00F368F4" w:rsidP="004E58D6">
      <w:pPr>
        <w:pStyle w:val="SingleTxtG"/>
      </w:pPr>
      <w:r w:rsidRPr="005B0501">
        <w:t>1.</w:t>
      </w:r>
      <w:r w:rsidRPr="005B0501">
        <w:tab/>
        <w:t xml:space="preserve">Cette proposition d’amendement a pour objet de corriger les erreurs figurant dans la série 07 d’amendements au Règlement ONU </w:t>
      </w:r>
      <w:r w:rsidRPr="005B0501">
        <w:rPr>
          <w:rFonts w:eastAsia="MS Mincho"/>
        </w:rPr>
        <w:t>n</w:t>
      </w:r>
      <w:r w:rsidRPr="005B0501">
        <w:rPr>
          <w:rFonts w:eastAsia="MS Mincho"/>
          <w:vertAlign w:val="superscript"/>
        </w:rPr>
        <w:t>o</w:t>
      </w:r>
      <w:r w:rsidRPr="005B0501">
        <w:rPr>
          <w:rFonts w:eastAsia="MS Mincho"/>
        </w:rPr>
        <w:t> </w:t>
      </w:r>
      <w:r w:rsidRPr="005B0501">
        <w:t>48 adoptée en mars 2020 (document ECE/TRANS/WP.29/2020/36), en se référant au complément 14 à la série 06 d’amendements, qui est le dernier complément à cette série.</w:t>
      </w:r>
    </w:p>
    <w:p w14:paraId="4B1C988C" w14:textId="77777777" w:rsidR="00F368F4" w:rsidRPr="005B0501" w:rsidRDefault="00F368F4" w:rsidP="004E58D6">
      <w:pPr>
        <w:pStyle w:val="SingleTxtG"/>
      </w:pPr>
      <w:r w:rsidRPr="005B0501">
        <w:lastRenderedPageBreak/>
        <w:t>2.</w:t>
      </w:r>
      <w:r w:rsidRPr="005B0501">
        <w:tab/>
        <w:t xml:space="preserve">Au paragraphe 2.3.11, le 2.3.11.2 (qui figurait à l’origine dans le complément 12 à la série 06 d’amendements au Règlement ONU </w:t>
      </w:r>
      <w:r w:rsidRPr="005B0501">
        <w:rPr>
          <w:rFonts w:eastAsia="MS Mincho"/>
        </w:rPr>
        <w:t>n</w:t>
      </w:r>
      <w:r w:rsidRPr="005B0501">
        <w:rPr>
          <w:rFonts w:eastAsia="MS Mincho"/>
          <w:vertAlign w:val="superscript"/>
        </w:rPr>
        <w:t>o</w:t>
      </w:r>
      <w:r w:rsidRPr="005B0501">
        <w:rPr>
          <w:rFonts w:eastAsia="MS Mincho"/>
        </w:rPr>
        <w:t> </w:t>
      </w:r>
      <w:r w:rsidRPr="005B0501">
        <w:t>48) a été omis.</w:t>
      </w:r>
    </w:p>
    <w:p w14:paraId="23151325" w14:textId="77777777" w:rsidR="00F368F4" w:rsidRPr="005B0501" w:rsidRDefault="00F368F4" w:rsidP="004E58D6">
      <w:pPr>
        <w:pStyle w:val="SingleTxtG"/>
      </w:pPr>
      <w:r w:rsidRPr="005B0501">
        <w:t>3.</w:t>
      </w:r>
      <w:r w:rsidRPr="005B0501">
        <w:tab/>
        <w:t>La structure du paragraphe 5.9.2 est modifiée de manière à lui restituer sa forme initiale pour indiquer clairement que la variation autorisée des caractéristiques photométriques s’applique à l’ensemble des alinéas. La structure actuelle peut donner lieu à une interprétation erronée selon laquelle l’obligation de se conformer aux prescriptions techniques relatives au feu concerné s’appliquerait à l’alinéa c) uniquement.</w:t>
      </w:r>
    </w:p>
    <w:p w14:paraId="7A8C3593" w14:textId="1A20F6A9" w:rsidR="00F368F4" w:rsidRPr="005B0501" w:rsidRDefault="00F368F4" w:rsidP="004E58D6">
      <w:pPr>
        <w:pStyle w:val="SingleTxtG"/>
      </w:pPr>
      <w:r w:rsidRPr="005B0501">
        <w:t>4.</w:t>
      </w:r>
      <w:r w:rsidRPr="005B0501">
        <w:tab/>
        <w:t>Au paragraphe 5.21.1, une erreur rédactionnelle est corrigée dans la version anglaise (</w:t>
      </w:r>
      <w:r w:rsidR="005B0501" w:rsidRPr="005B0501">
        <w:t>«</w:t>
      </w:r>
      <w:r w:rsidR="005B0501">
        <w:t> </w:t>
      </w:r>
      <w:r w:rsidRPr="005B0501">
        <w:t>or</w:t>
      </w:r>
      <w:r w:rsidR="005B0501">
        <w:t> </w:t>
      </w:r>
      <w:r w:rsidR="005B0501" w:rsidRPr="005B0501">
        <w:t>»</w:t>
      </w:r>
      <w:r w:rsidRPr="005B0501">
        <w:t xml:space="preserve"> manquait à la fin de la phrase).</w:t>
      </w:r>
    </w:p>
    <w:p w14:paraId="6FF03F03" w14:textId="77777777" w:rsidR="00F368F4" w:rsidRPr="005B0501" w:rsidRDefault="00F368F4" w:rsidP="004E58D6">
      <w:pPr>
        <w:pStyle w:val="SingleTxtG"/>
      </w:pPr>
      <w:r w:rsidRPr="005B0501">
        <w:t>5.</w:t>
      </w:r>
      <w:r w:rsidRPr="005B0501">
        <w:tab/>
        <w:t>Aux paragraphes 6.1.8 et 6.1.9, les dispositions relatives à la commande automatique des feux de route renvoient de manière erronée au paragraphe 6.1.7.1 au lieu du paragraphe 6.1.7.2.</w:t>
      </w:r>
    </w:p>
    <w:p w14:paraId="6EAE449B" w14:textId="17613E3D" w:rsidR="00F368F4" w:rsidRPr="005B0501" w:rsidRDefault="00F368F4" w:rsidP="004E58D6">
      <w:pPr>
        <w:pStyle w:val="SingleTxtG"/>
      </w:pPr>
      <w:r w:rsidRPr="005B0501">
        <w:t>6.</w:t>
      </w:r>
      <w:r w:rsidRPr="005B0501">
        <w:tab/>
        <w:t xml:space="preserve">L’amendement au paragraphe 6.2.9 de la série 07 d’amendements au Règlement ONU </w:t>
      </w:r>
      <w:r w:rsidRPr="005B0501">
        <w:rPr>
          <w:rFonts w:eastAsia="MS Mincho"/>
        </w:rPr>
        <w:t>n</w:t>
      </w:r>
      <w:r w:rsidRPr="005B0501">
        <w:rPr>
          <w:rFonts w:eastAsia="MS Mincho"/>
          <w:vertAlign w:val="superscript"/>
        </w:rPr>
        <w:t>o</w:t>
      </w:r>
      <w:r w:rsidRPr="005B0501">
        <w:rPr>
          <w:rFonts w:eastAsia="MS Mincho"/>
        </w:rPr>
        <w:t> </w:t>
      </w:r>
      <w:r w:rsidRPr="005B0501">
        <w:t xml:space="preserve">48 vise à harmoniser les prescriptions énoncées avec celles du complément 14 à la série 06 d’amendements au Règlement ONU </w:t>
      </w:r>
      <w:r w:rsidRPr="005B0501">
        <w:rPr>
          <w:rFonts w:eastAsia="MS Mincho"/>
        </w:rPr>
        <w:t>n</w:t>
      </w:r>
      <w:r w:rsidRPr="005B0501">
        <w:rPr>
          <w:rFonts w:eastAsia="MS Mincho"/>
          <w:vertAlign w:val="superscript"/>
        </w:rPr>
        <w:t>o</w:t>
      </w:r>
      <w:r w:rsidRPr="005B0501">
        <w:rPr>
          <w:rFonts w:eastAsia="MS Mincho"/>
        </w:rPr>
        <w:t> </w:t>
      </w:r>
      <w:r w:rsidRPr="005B0501">
        <w:t xml:space="preserve">48, qui est le dernier complément à cette série. Le texte actuel du paragraphe 6.2.9 de la série 07 d’amendements au Règlement ONU </w:t>
      </w:r>
      <w:r w:rsidRPr="005B0501">
        <w:rPr>
          <w:rFonts w:eastAsia="MS Mincho"/>
        </w:rPr>
        <w:t>n</w:t>
      </w:r>
      <w:r w:rsidRPr="005B0501">
        <w:rPr>
          <w:rFonts w:eastAsia="MS Mincho"/>
          <w:vertAlign w:val="superscript"/>
        </w:rPr>
        <w:t>o</w:t>
      </w:r>
      <w:r w:rsidRPr="005B0501">
        <w:rPr>
          <w:rFonts w:eastAsia="MS Mincho"/>
        </w:rPr>
        <w:t> </w:t>
      </w:r>
      <w:r w:rsidRPr="005B0501">
        <w:t>48 ne prend pas en considération la modification apportée par le complément 11 à la série 06 d’amendements (ECE/TRANS/WP.29/2018/84), entrée en vigueur le 28</w:t>
      </w:r>
      <w:r w:rsidR="004E58D6">
        <w:t> </w:t>
      </w:r>
      <w:r w:rsidRPr="005B0501">
        <w:t>mai 2019.</w:t>
      </w:r>
    </w:p>
    <w:p w14:paraId="2E8AEB84" w14:textId="77777777" w:rsidR="00F368F4" w:rsidRPr="005B0501" w:rsidRDefault="00F368F4" w:rsidP="004E58D6">
      <w:pPr>
        <w:pStyle w:val="SingleTxtG"/>
      </w:pPr>
      <w:r w:rsidRPr="005B0501">
        <w:t>7.</w:t>
      </w:r>
      <w:r w:rsidRPr="005B0501">
        <w:tab/>
        <w:t xml:space="preserve">Au paragraphe 6.5.7, la deuxième partie, concernant le mode statique ou séquentiel de l’indicateur de direction, a été omise (elle figurait à l’origine dans le complément 9 à la série 06 d’amendements au Règlement ONU </w:t>
      </w:r>
      <w:r w:rsidRPr="005B0501">
        <w:rPr>
          <w:rFonts w:eastAsia="MS Mincho"/>
        </w:rPr>
        <w:t>n</w:t>
      </w:r>
      <w:r w:rsidRPr="005B0501">
        <w:rPr>
          <w:rFonts w:eastAsia="MS Mincho"/>
          <w:vertAlign w:val="superscript"/>
        </w:rPr>
        <w:t>o</w:t>
      </w:r>
      <w:r w:rsidRPr="005B0501">
        <w:rPr>
          <w:rFonts w:eastAsia="MS Mincho"/>
        </w:rPr>
        <w:t> </w:t>
      </w:r>
      <w:r w:rsidRPr="005B0501">
        <w:t>48).</w:t>
      </w:r>
    </w:p>
    <w:p w14:paraId="2279EE83" w14:textId="77777777" w:rsidR="00F368F4" w:rsidRPr="005B0501" w:rsidRDefault="00F368F4" w:rsidP="004E58D6">
      <w:pPr>
        <w:pStyle w:val="SingleTxtG"/>
      </w:pPr>
      <w:r w:rsidRPr="005B0501">
        <w:t>8.</w:t>
      </w:r>
      <w:r w:rsidRPr="005B0501">
        <w:tab/>
        <w:t xml:space="preserve">Au paragraphe 6.18.9, la deuxième partie, concernant les feux de position latéraux facultatifs, a été omise (elle figurait à l’origine dans le complément 11 à la série 06 d’amendements au Règlement ONU </w:t>
      </w:r>
      <w:r w:rsidRPr="005B0501">
        <w:rPr>
          <w:rFonts w:eastAsia="MS Mincho"/>
        </w:rPr>
        <w:t>n</w:t>
      </w:r>
      <w:r w:rsidRPr="005B0501">
        <w:rPr>
          <w:rFonts w:eastAsia="MS Mincho"/>
          <w:vertAlign w:val="superscript"/>
        </w:rPr>
        <w:t>o</w:t>
      </w:r>
      <w:r w:rsidRPr="005B0501">
        <w:rPr>
          <w:rFonts w:eastAsia="MS Mincho"/>
        </w:rPr>
        <w:t> </w:t>
      </w:r>
      <w:r w:rsidRPr="005B0501">
        <w:t>48).</w:t>
      </w:r>
    </w:p>
    <w:p w14:paraId="3ABFDCF9" w14:textId="01056951" w:rsidR="00F368F4" w:rsidRPr="005B0501" w:rsidRDefault="00F368F4" w:rsidP="004E58D6">
      <w:pPr>
        <w:pStyle w:val="SingleTxtG"/>
      </w:pPr>
      <w:r w:rsidRPr="005B0501">
        <w:t>9.</w:t>
      </w:r>
      <w:r w:rsidRPr="005B0501">
        <w:tab/>
        <w:t xml:space="preserve">Au paragraphe 6.19.7.2, dans la version anglaise, le mot </w:t>
      </w:r>
      <w:r w:rsidR="005B0501" w:rsidRPr="005B0501">
        <w:t>«</w:t>
      </w:r>
      <w:r w:rsidR="005B0501">
        <w:t> </w:t>
      </w:r>
      <w:r w:rsidRPr="004E58D6">
        <w:rPr>
          <w:lang w:val="en-US"/>
        </w:rPr>
        <w:t>when</w:t>
      </w:r>
      <w:r w:rsidR="005B0501">
        <w:t> </w:t>
      </w:r>
      <w:r w:rsidR="005B0501" w:rsidRPr="005B0501">
        <w:t>»</w:t>
      </w:r>
      <w:r w:rsidRPr="005B0501">
        <w:t xml:space="preserve"> n’a pas été supprimé dans la proposition d’amendement figurant dans la série 07 d’amendements au Règlement ONU </w:t>
      </w:r>
      <w:r w:rsidRPr="005B0501">
        <w:rPr>
          <w:rFonts w:eastAsia="MS Mincho"/>
        </w:rPr>
        <w:t>n</w:t>
      </w:r>
      <w:r w:rsidRPr="005B0501">
        <w:rPr>
          <w:rFonts w:eastAsia="MS Mincho"/>
          <w:vertAlign w:val="superscript"/>
        </w:rPr>
        <w:t>o</w:t>
      </w:r>
      <w:r w:rsidRPr="005B0501">
        <w:rPr>
          <w:rFonts w:eastAsia="MS Mincho"/>
        </w:rPr>
        <w:t> </w:t>
      </w:r>
      <w:r w:rsidRPr="005B0501">
        <w:t>48.</w:t>
      </w:r>
    </w:p>
    <w:p w14:paraId="6D8D1DF0" w14:textId="44FA2763" w:rsidR="00F368F4" w:rsidRPr="005B0501" w:rsidRDefault="00F368F4" w:rsidP="004E58D6">
      <w:pPr>
        <w:pStyle w:val="SingleTxtG"/>
        <w:rPr>
          <w:bCs/>
          <w:iCs/>
        </w:rPr>
      </w:pPr>
      <w:r w:rsidRPr="005B0501">
        <w:t>10.</w:t>
      </w:r>
      <w:r w:rsidRPr="005B0501">
        <w:tab/>
        <w:t xml:space="preserve">Au paragraphe 6.20, </w:t>
      </w:r>
      <w:r w:rsidR="005B0501" w:rsidRPr="005B0501">
        <w:t>«</w:t>
      </w:r>
      <w:r w:rsidR="005B0501">
        <w:t> </w:t>
      </w:r>
      <w:r w:rsidRPr="005B0501">
        <w:t>Feu d’angle</w:t>
      </w:r>
      <w:r w:rsidR="005B0501">
        <w:t> </w:t>
      </w:r>
      <w:r w:rsidR="005B0501" w:rsidRPr="005B0501">
        <w:t>»</w:t>
      </w:r>
      <w:r w:rsidRPr="005B0501">
        <w:t xml:space="preserve">, la référence au Règlement ONU </w:t>
      </w:r>
      <w:r w:rsidRPr="005B0501">
        <w:rPr>
          <w:rFonts w:eastAsia="MS Mincho"/>
        </w:rPr>
        <w:t>n</w:t>
      </w:r>
      <w:r w:rsidRPr="005B0501">
        <w:rPr>
          <w:rFonts w:eastAsia="MS Mincho"/>
          <w:vertAlign w:val="superscript"/>
        </w:rPr>
        <w:t>o</w:t>
      </w:r>
      <w:r w:rsidRPr="005B0501">
        <w:rPr>
          <w:rFonts w:eastAsia="MS Mincho"/>
        </w:rPr>
        <w:t> </w:t>
      </w:r>
      <w:r w:rsidRPr="005B0501">
        <w:t xml:space="preserve">148 est remplacée par une référence au Règlement </w:t>
      </w:r>
      <w:r w:rsidRPr="005B0501">
        <w:rPr>
          <w:rFonts w:eastAsia="MS Mincho"/>
        </w:rPr>
        <w:t>n</w:t>
      </w:r>
      <w:r w:rsidRPr="005B0501">
        <w:rPr>
          <w:rFonts w:eastAsia="MS Mincho"/>
          <w:vertAlign w:val="superscript"/>
        </w:rPr>
        <w:t>o</w:t>
      </w:r>
      <w:r w:rsidRPr="005B0501">
        <w:rPr>
          <w:rFonts w:eastAsia="MS Mincho"/>
        </w:rPr>
        <w:t> </w:t>
      </w:r>
      <w:r w:rsidRPr="005B0501">
        <w:t>149.</w:t>
      </w:r>
    </w:p>
    <w:p w14:paraId="59C26617" w14:textId="77777777" w:rsidR="00F368F4" w:rsidRPr="005B0501" w:rsidRDefault="00F368F4" w:rsidP="004E58D6">
      <w:pPr>
        <w:pStyle w:val="SingleTxtG"/>
      </w:pPr>
      <w:r w:rsidRPr="005B0501">
        <w:t>11.</w:t>
      </w:r>
      <w:r w:rsidRPr="005B0501">
        <w:tab/>
        <w:t>Au paragraphe 6.22.7.4.3, les ensembles de données ont été réalignés afin d’indiquer clairement qu’ils ne s’appliquent qu’à l’alinéa b).</w:t>
      </w:r>
    </w:p>
    <w:p w14:paraId="11D35B66" w14:textId="77777777" w:rsidR="00F368F4" w:rsidRPr="005B0501" w:rsidRDefault="00F368F4" w:rsidP="004E58D6">
      <w:pPr>
        <w:pStyle w:val="SingleTxtG"/>
      </w:pPr>
      <w:r w:rsidRPr="005B0501">
        <w:t>12.</w:t>
      </w:r>
      <w:r w:rsidRPr="005B0501">
        <w:tab/>
        <w:t xml:space="preserve">Au paragraphe 6.22.9.1, une référence erronée à la fiche de communication de la série 00 d’amendements au Règlement ONU </w:t>
      </w:r>
      <w:r w:rsidRPr="005B0501">
        <w:rPr>
          <w:rFonts w:eastAsia="MS Mincho"/>
        </w:rPr>
        <w:t>n</w:t>
      </w:r>
      <w:r w:rsidRPr="005B0501">
        <w:rPr>
          <w:rFonts w:eastAsia="MS Mincho"/>
          <w:vertAlign w:val="superscript"/>
        </w:rPr>
        <w:t>o</w:t>
      </w:r>
      <w:r w:rsidRPr="005B0501">
        <w:rPr>
          <w:rFonts w:eastAsia="MS Mincho"/>
        </w:rPr>
        <w:t> </w:t>
      </w:r>
      <w:r w:rsidRPr="005B0501">
        <w:t>149 a été rectifiée, et une référence manquante à un paragraphe de la série 01 d’amendements à ce règlement a été ajoutée.</w:t>
      </w:r>
    </w:p>
    <w:p w14:paraId="7465FFC4" w14:textId="77777777" w:rsidR="00F368F4" w:rsidRPr="005B0501" w:rsidRDefault="00F368F4" w:rsidP="004E58D6">
      <w:pPr>
        <w:pStyle w:val="SingleTxtG"/>
      </w:pPr>
      <w:r w:rsidRPr="005B0501">
        <w:t>13.</w:t>
      </w:r>
      <w:r w:rsidRPr="005B0501">
        <w:tab/>
        <w:t>La structure du paragraphe 6.24.9.1 est modifiée de manière à lui restituer sa forme initiale pour indiquer clairement que les dispositions du paragraphe 5.10 doivent être respectées dans toutes les positions d’utilisation fixes visées aux alinéas a), b) et c). La structure actuelle peut donner lieu à une interprétation erronée selon laquelle l’obligation de se conformer aux prescriptions techniques s’appliquerait uniquement à l’alinéa c), à savoir lorsqu’une porte du compartiment de chargement est ouverte.</w:t>
      </w:r>
    </w:p>
    <w:p w14:paraId="0811E663" w14:textId="3277F73F" w:rsidR="00F368F4" w:rsidRPr="005B0501" w:rsidRDefault="00F368F4" w:rsidP="004E58D6">
      <w:pPr>
        <w:pStyle w:val="SingleTxtG"/>
      </w:pPr>
      <w:r w:rsidRPr="005B0501">
        <w:t>14.</w:t>
      </w:r>
      <w:r w:rsidRPr="005B0501">
        <w:tab/>
        <w:t xml:space="preserve">À l’annexe 2, dans le modèle A, la position de </w:t>
      </w:r>
      <w:r w:rsidR="005B0501" w:rsidRPr="005B0501">
        <w:t>«</w:t>
      </w:r>
      <w:r w:rsidR="005B0501">
        <w:t> </w:t>
      </w:r>
      <w:r w:rsidRPr="005B0501">
        <w:t>07</w:t>
      </w:r>
      <w:r w:rsidR="005B0501">
        <w:t> </w:t>
      </w:r>
      <w:r w:rsidR="005B0501" w:rsidRPr="005B0501">
        <w:t>»</w:t>
      </w:r>
      <w:r w:rsidRPr="005B0501">
        <w:t xml:space="preserve"> est rectifiée de manière à remplacer </w:t>
      </w:r>
      <w:r w:rsidR="005B0501" w:rsidRPr="005B0501">
        <w:t>«</w:t>
      </w:r>
      <w:r w:rsidR="005B0501">
        <w:t> </w:t>
      </w:r>
      <w:r w:rsidRPr="005B0501">
        <w:t>02</w:t>
      </w:r>
      <w:r w:rsidR="005B0501">
        <w:t> </w:t>
      </w:r>
      <w:r w:rsidR="005B0501" w:rsidRPr="005B0501">
        <w:t>»</w:t>
      </w:r>
      <w:r w:rsidRPr="005B0501">
        <w:t>.</w:t>
      </w:r>
    </w:p>
    <w:p w14:paraId="31C011E6" w14:textId="77777777" w:rsidR="00F368F4" w:rsidRPr="005B0501" w:rsidRDefault="00F368F4" w:rsidP="004E58D6">
      <w:pPr>
        <w:pStyle w:val="SingleTxtG"/>
      </w:pPr>
      <w:r w:rsidRPr="005B0501">
        <w:t>15.</w:t>
      </w:r>
      <w:r w:rsidRPr="005B0501">
        <w:tab/>
        <w:t xml:space="preserve">À l’annexe 6, au paragraphe 5.4.3, la deuxième phrase avait été omise dans le texte original de la série 07 d’amendements au Règlement ONU </w:t>
      </w:r>
      <w:r w:rsidRPr="005B0501">
        <w:rPr>
          <w:rFonts w:eastAsia="MS Mincho"/>
        </w:rPr>
        <w:t>n</w:t>
      </w:r>
      <w:r w:rsidRPr="005B0501">
        <w:rPr>
          <w:rFonts w:eastAsia="MS Mincho"/>
          <w:vertAlign w:val="superscript"/>
        </w:rPr>
        <w:t>o</w:t>
      </w:r>
      <w:r w:rsidRPr="005B0501">
        <w:rPr>
          <w:rFonts w:eastAsia="MS Mincho"/>
        </w:rPr>
        <w:t> </w:t>
      </w:r>
      <w:r w:rsidRPr="005B0501">
        <w:t>48. Elle est ajoutée ici.</w:t>
      </w:r>
    </w:p>
    <w:p w14:paraId="307B654B" w14:textId="77777777" w:rsidR="00F368F4" w:rsidRPr="005B0501" w:rsidRDefault="00F368F4" w:rsidP="004E58D6">
      <w:pPr>
        <w:pStyle w:val="SingleTxtG"/>
      </w:pPr>
      <w:r w:rsidRPr="005B0501">
        <w:t>16.</w:t>
      </w:r>
      <w:r w:rsidRPr="005B0501">
        <w:tab/>
        <w:t>La note de bas de page 13 dans les paragraphes 6.3.5, 6.3.6.1.1 et 6.5.8 est supprimée car le contenu de cette note n’est plus pertinent. La note de bas de page 14 contenait le même texte et a été supprimée en mars 2020 (voir document ECE/TRANS/WP.29/2020/36).</w:t>
      </w:r>
    </w:p>
    <w:p w14:paraId="08E9C5B1" w14:textId="37A2E6E3" w:rsidR="00F368F4" w:rsidRPr="005B0501" w:rsidRDefault="004E58D6" w:rsidP="004E58D6">
      <w:pPr>
        <w:pStyle w:val="H1G"/>
        <w:rPr>
          <w:rFonts w:eastAsia="SimSun"/>
        </w:rPr>
      </w:pPr>
      <w:r>
        <w:lastRenderedPageBreak/>
        <w:tab/>
      </w:r>
      <w:r w:rsidR="00F368F4" w:rsidRPr="005B0501">
        <w:t>C.</w:t>
      </w:r>
      <w:r w:rsidR="00F368F4" w:rsidRPr="005B0501">
        <w:tab/>
        <w:t xml:space="preserve">Complément à la série 08 d’amendements au Règlement ONU </w:t>
      </w:r>
      <w:r w:rsidR="00F368F4" w:rsidRPr="005B0501">
        <w:rPr>
          <w:rFonts w:eastAsia="MS Mincho"/>
          <w:szCs w:val="24"/>
        </w:rPr>
        <w:t>n</w:t>
      </w:r>
      <w:r w:rsidR="00F368F4" w:rsidRPr="005B0501">
        <w:rPr>
          <w:rFonts w:eastAsia="MS Mincho"/>
          <w:szCs w:val="24"/>
          <w:vertAlign w:val="superscript"/>
        </w:rPr>
        <w:t>o</w:t>
      </w:r>
      <w:r w:rsidR="00F368F4" w:rsidRPr="005B0501">
        <w:rPr>
          <w:rFonts w:eastAsia="MS Mincho"/>
          <w:szCs w:val="24"/>
        </w:rPr>
        <w:t> </w:t>
      </w:r>
      <w:r w:rsidR="00F368F4" w:rsidRPr="005B0501">
        <w:t>48</w:t>
      </w:r>
    </w:p>
    <w:p w14:paraId="0B51C9CE" w14:textId="77777777" w:rsidR="00F368F4" w:rsidRPr="005B0501" w:rsidRDefault="00F368F4" w:rsidP="004E58D6">
      <w:pPr>
        <w:pStyle w:val="SingleTxtG"/>
      </w:pPr>
      <w:r w:rsidRPr="005B0501">
        <w:t>1.</w:t>
      </w:r>
      <w:r w:rsidRPr="005B0501">
        <w:tab/>
        <w:t xml:space="preserve">Au paragraphe 2.3.11, le 2.3.11.2 (qui figurait à l’origine dans le complément 12 à la série 06 d’amendements au Règlement ONU </w:t>
      </w:r>
      <w:r w:rsidRPr="005B0501">
        <w:rPr>
          <w:rFonts w:eastAsia="MS Mincho"/>
        </w:rPr>
        <w:t>n</w:t>
      </w:r>
      <w:r w:rsidRPr="005B0501">
        <w:rPr>
          <w:rFonts w:eastAsia="MS Mincho"/>
          <w:vertAlign w:val="superscript"/>
        </w:rPr>
        <w:t>o</w:t>
      </w:r>
      <w:r w:rsidRPr="005B0501">
        <w:rPr>
          <w:rFonts w:eastAsia="MS Mincho"/>
        </w:rPr>
        <w:t> </w:t>
      </w:r>
      <w:r w:rsidRPr="005B0501">
        <w:t>48) a été omis.</w:t>
      </w:r>
    </w:p>
    <w:p w14:paraId="5BB7A7A5" w14:textId="77777777" w:rsidR="00F368F4" w:rsidRPr="005B0501" w:rsidRDefault="00F368F4" w:rsidP="004E58D6">
      <w:pPr>
        <w:pStyle w:val="SingleTxtG"/>
      </w:pPr>
      <w:r w:rsidRPr="005B0501">
        <w:t>2.</w:t>
      </w:r>
      <w:r w:rsidRPr="005B0501">
        <w:tab/>
        <w:t>La structure du paragraphe 5.9.2 est modifiée de manière à lui restituer sa forme initiale pour indiquer clairement que la variation autorisée des caractéristiques photométriques s’applique à l’ensemble des alinéas. La structure actuelle peut donner lieu à une interprétation erronée selon laquelle l’obligation de se conformer aux prescriptions techniques relatives au feu concerné s’appliquerait à l’alinéa c) uniquement.</w:t>
      </w:r>
    </w:p>
    <w:p w14:paraId="2FA74D8B" w14:textId="3ABE2E45" w:rsidR="00F368F4" w:rsidRPr="005B0501" w:rsidRDefault="00F368F4" w:rsidP="004E58D6">
      <w:pPr>
        <w:pStyle w:val="SingleTxtG"/>
      </w:pPr>
      <w:r w:rsidRPr="005B0501">
        <w:t>3.</w:t>
      </w:r>
      <w:r w:rsidRPr="005B0501">
        <w:tab/>
        <w:t>Au paragraphe 5.21.1, une erreur rédactionnelle est corrigée dans la version anglaise (</w:t>
      </w:r>
      <w:r w:rsidR="005B0501" w:rsidRPr="005B0501">
        <w:t>«</w:t>
      </w:r>
      <w:r w:rsidR="005B0501">
        <w:t> </w:t>
      </w:r>
      <w:r w:rsidRPr="005B0501">
        <w:t>or</w:t>
      </w:r>
      <w:r w:rsidR="005B0501">
        <w:t> </w:t>
      </w:r>
      <w:r w:rsidR="005B0501" w:rsidRPr="005B0501">
        <w:t>»</w:t>
      </w:r>
      <w:r w:rsidRPr="005B0501">
        <w:t xml:space="preserve"> manquait à la fin de la phrase).</w:t>
      </w:r>
    </w:p>
    <w:p w14:paraId="405696DA" w14:textId="77777777" w:rsidR="00F368F4" w:rsidRPr="005B0501" w:rsidRDefault="00F368F4" w:rsidP="004E58D6">
      <w:pPr>
        <w:pStyle w:val="SingleTxtG"/>
      </w:pPr>
      <w:r w:rsidRPr="005B0501">
        <w:t>4.</w:t>
      </w:r>
      <w:r w:rsidRPr="005B0501">
        <w:tab/>
        <w:t>Aux paragraphes 6.1.8 et 6.1.9, les dispositions relatives à la commande automatique des feux de route renvoient de manière erronée au paragraphe 6.1.7.1 au lieu du paragraphe 6.1.7.2.</w:t>
      </w:r>
    </w:p>
    <w:p w14:paraId="54E5FC5D" w14:textId="1F49EC9E" w:rsidR="00F368F4" w:rsidRPr="005B0501" w:rsidRDefault="00F368F4" w:rsidP="004E58D6">
      <w:pPr>
        <w:pStyle w:val="SingleTxtG"/>
      </w:pPr>
      <w:r w:rsidRPr="005B0501">
        <w:t>5.</w:t>
      </w:r>
      <w:r w:rsidRPr="005B0501">
        <w:tab/>
        <w:t xml:space="preserve">L’amendement au paragraphe 6.2.9 de la série 07 d’amendements au Règlement ONU </w:t>
      </w:r>
      <w:r w:rsidRPr="005B0501">
        <w:rPr>
          <w:rFonts w:eastAsia="MS Mincho"/>
        </w:rPr>
        <w:t>n</w:t>
      </w:r>
      <w:r w:rsidRPr="005B0501">
        <w:rPr>
          <w:rFonts w:eastAsia="MS Mincho"/>
          <w:vertAlign w:val="superscript"/>
        </w:rPr>
        <w:t>o</w:t>
      </w:r>
      <w:r w:rsidRPr="005B0501">
        <w:rPr>
          <w:rFonts w:eastAsia="MS Mincho"/>
        </w:rPr>
        <w:t> </w:t>
      </w:r>
      <w:r w:rsidRPr="005B0501">
        <w:t xml:space="preserve">48 vise à harmoniser les prescriptions énoncées avec celles du complément 14 à la série 06 d’amendements au Règlement ONU </w:t>
      </w:r>
      <w:r w:rsidRPr="005B0501">
        <w:rPr>
          <w:rFonts w:eastAsia="MS Mincho"/>
        </w:rPr>
        <w:t>n</w:t>
      </w:r>
      <w:r w:rsidRPr="005B0501">
        <w:rPr>
          <w:rFonts w:eastAsia="MS Mincho"/>
          <w:vertAlign w:val="superscript"/>
        </w:rPr>
        <w:t>o</w:t>
      </w:r>
      <w:r w:rsidRPr="005B0501">
        <w:rPr>
          <w:rFonts w:eastAsia="MS Mincho"/>
        </w:rPr>
        <w:t> </w:t>
      </w:r>
      <w:r w:rsidRPr="005B0501">
        <w:t xml:space="preserve">48, qui est le dernier complément à cette série. Le texte actuel du paragraphe 6.2.9 de la série 07 d’amendements au Règlement ONU </w:t>
      </w:r>
      <w:r w:rsidRPr="005B0501">
        <w:rPr>
          <w:rFonts w:eastAsia="MS Mincho"/>
        </w:rPr>
        <w:t>n</w:t>
      </w:r>
      <w:r w:rsidRPr="005B0501">
        <w:rPr>
          <w:rFonts w:eastAsia="MS Mincho"/>
          <w:vertAlign w:val="superscript"/>
        </w:rPr>
        <w:t>o</w:t>
      </w:r>
      <w:r w:rsidRPr="005B0501">
        <w:rPr>
          <w:rFonts w:eastAsia="MS Mincho"/>
        </w:rPr>
        <w:t> </w:t>
      </w:r>
      <w:r w:rsidRPr="005B0501">
        <w:t>48 ne prend pas en considération la modification apportée par le complément 11 à la série 06 d’amendements (ECE/TRANS/WP.29/2018/84), entrée en vigueur le 28</w:t>
      </w:r>
      <w:r w:rsidR="004E58D6">
        <w:t> </w:t>
      </w:r>
      <w:r w:rsidRPr="005B0501">
        <w:t>mai 2019.</w:t>
      </w:r>
    </w:p>
    <w:p w14:paraId="160F6D74" w14:textId="77777777" w:rsidR="00F368F4" w:rsidRPr="005B0501" w:rsidRDefault="00F368F4" w:rsidP="004E58D6">
      <w:pPr>
        <w:pStyle w:val="SingleTxtG"/>
      </w:pPr>
      <w:r w:rsidRPr="005B0501">
        <w:t>6.</w:t>
      </w:r>
      <w:r w:rsidRPr="005B0501">
        <w:tab/>
        <w:t xml:space="preserve">Au paragraphe 6.5.7, la deuxième partie, concernant le mode statique ou séquentiel de l’indicateur de direction, a été omise (elle figurait à l’origine dans le complément 9 à la série 06 d’amendements au Règlement ONU </w:t>
      </w:r>
      <w:r w:rsidRPr="005B0501">
        <w:rPr>
          <w:rFonts w:eastAsia="MS Mincho"/>
        </w:rPr>
        <w:t>n</w:t>
      </w:r>
      <w:r w:rsidRPr="005B0501">
        <w:rPr>
          <w:rFonts w:eastAsia="MS Mincho"/>
          <w:vertAlign w:val="superscript"/>
        </w:rPr>
        <w:t>o</w:t>
      </w:r>
      <w:r w:rsidRPr="005B0501">
        <w:rPr>
          <w:rFonts w:eastAsia="MS Mincho"/>
        </w:rPr>
        <w:t> </w:t>
      </w:r>
      <w:r w:rsidRPr="005B0501">
        <w:t>48).</w:t>
      </w:r>
    </w:p>
    <w:p w14:paraId="68E6C3AB" w14:textId="77777777" w:rsidR="00F368F4" w:rsidRPr="005B0501" w:rsidRDefault="00F368F4" w:rsidP="004E58D6">
      <w:pPr>
        <w:pStyle w:val="SingleTxtG"/>
      </w:pPr>
      <w:r w:rsidRPr="005B0501">
        <w:t>7.</w:t>
      </w:r>
      <w:r w:rsidRPr="005B0501">
        <w:tab/>
        <w:t xml:space="preserve">Au paragraphe 6.18.9, la deuxième partie, concernant les feux de position latéraux facultatifs, a été omise (elle figurait à l’origine dans le complément 11 à la série 06 d’amendements au Règlement ONU </w:t>
      </w:r>
      <w:r w:rsidRPr="005B0501">
        <w:rPr>
          <w:rFonts w:eastAsia="MS Mincho"/>
        </w:rPr>
        <w:t>n</w:t>
      </w:r>
      <w:r w:rsidRPr="005B0501">
        <w:rPr>
          <w:rFonts w:eastAsia="MS Mincho"/>
          <w:vertAlign w:val="superscript"/>
        </w:rPr>
        <w:t>o</w:t>
      </w:r>
      <w:r w:rsidRPr="005B0501">
        <w:rPr>
          <w:rFonts w:eastAsia="MS Mincho"/>
        </w:rPr>
        <w:t> </w:t>
      </w:r>
      <w:r w:rsidRPr="005B0501">
        <w:t>48).</w:t>
      </w:r>
    </w:p>
    <w:p w14:paraId="77ED70BA" w14:textId="3CE48560" w:rsidR="00F368F4" w:rsidRPr="005B0501" w:rsidRDefault="00F368F4" w:rsidP="004E58D6">
      <w:pPr>
        <w:pStyle w:val="SingleTxtG"/>
        <w:rPr>
          <w:bCs/>
          <w:iCs/>
        </w:rPr>
      </w:pPr>
      <w:r w:rsidRPr="005B0501">
        <w:t>8.</w:t>
      </w:r>
      <w:r w:rsidRPr="005B0501">
        <w:tab/>
        <w:t xml:space="preserve">Au paragraphe 6.20, </w:t>
      </w:r>
      <w:r w:rsidR="005B0501" w:rsidRPr="005B0501">
        <w:t>«</w:t>
      </w:r>
      <w:r w:rsidR="005B0501">
        <w:t> </w:t>
      </w:r>
      <w:r w:rsidRPr="005B0501">
        <w:t>Feu d’angle</w:t>
      </w:r>
      <w:r w:rsidR="005B0501">
        <w:t> </w:t>
      </w:r>
      <w:r w:rsidR="005B0501" w:rsidRPr="005B0501">
        <w:t>»</w:t>
      </w:r>
      <w:r w:rsidRPr="005B0501">
        <w:t xml:space="preserve">, la référence au Règlement ONU </w:t>
      </w:r>
      <w:r w:rsidRPr="005B0501">
        <w:rPr>
          <w:rFonts w:eastAsia="MS Mincho"/>
        </w:rPr>
        <w:t>n</w:t>
      </w:r>
      <w:r w:rsidRPr="005B0501">
        <w:rPr>
          <w:rFonts w:eastAsia="MS Mincho"/>
          <w:vertAlign w:val="superscript"/>
        </w:rPr>
        <w:t>o</w:t>
      </w:r>
      <w:r w:rsidRPr="005B0501">
        <w:rPr>
          <w:rFonts w:eastAsia="MS Mincho"/>
        </w:rPr>
        <w:t> </w:t>
      </w:r>
      <w:r w:rsidRPr="005B0501">
        <w:t xml:space="preserve">148 est remplacée par une référence au Règlement </w:t>
      </w:r>
      <w:r w:rsidRPr="005B0501">
        <w:rPr>
          <w:rFonts w:eastAsia="MS Mincho"/>
        </w:rPr>
        <w:t>n</w:t>
      </w:r>
      <w:r w:rsidRPr="005B0501">
        <w:rPr>
          <w:rFonts w:eastAsia="MS Mincho"/>
          <w:vertAlign w:val="superscript"/>
        </w:rPr>
        <w:t>o</w:t>
      </w:r>
      <w:r w:rsidRPr="005B0501">
        <w:rPr>
          <w:rFonts w:eastAsia="MS Mincho"/>
        </w:rPr>
        <w:t> </w:t>
      </w:r>
      <w:r w:rsidRPr="005B0501">
        <w:t>149.</w:t>
      </w:r>
    </w:p>
    <w:p w14:paraId="6B0A8834" w14:textId="77777777" w:rsidR="00F368F4" w:rsidRPr="005B0501" w:rsidRDefault="00F368F4" w:rsidP="004E58D6">
      <w:pPr>
        <w:pStyle w:val="SingleTxtG"/>
      </w:pPr>
      <w:r w:rsidRPr="005B0501">
        <w:t>9.</w:t>
      </w:r>
      <w:r w:rsidRPr="005B0501">
        <w:tab/>
        <w:t>Au paragraphe 6.22.7.4.3, les ensembles de données ont été réalignés afin d’indiquer clairement qu’ils ne s’appliquent qu’à l’alinéa b).</w:t>
      </w:r>
    </w:p>
    <w:p w14:paraId="0E181DD1" w14:textId="77777777" w:rsidR="00F368F4" w:rsidRPr="005B0501" w:rsidRDefault="00F368F4" w:rsidP="004E58D6">
      <w:pPr>
        <w:pStyle w:val="SingleTxtG"/>
      </w:pPr>
      <w:r w:rsidRPr="005B0501">
        <w:t>10.</w:t>
      </w:r>
      <w:r w:rsidRPr="005B0501">
        <w:tab/>
        <w:t xml:space="preserve">Au paragraphe 6.22.9.1, une référence erronée à la fiche de communication du Règlement ONU </w:t>
      </w:r>
      <w:r w:rsidRPr="005B0501">
        <w:rPr>
          <w:rFonts w:eastAsia="MS Mincho"/>
        </w:rPr>
        <w:t>n</w:t>
      </w:r>
      <w:r w:rsidRPr="005B0501">
        <w:rPr>
          <w:rFonts w:eastAsia="MS Mincho"/>
          <w:vertAlign w:val="superscript"/>
        </w:rPr>
        <w:t>o</w:t>
      </w:r>
      <w:r w:rsidRPr="005B0501">
        <w:rPr>
          <w:rFonts w:eastAsia="MS Mincho"/>
        </w:rPr>
        <w:t> </w:t>
      </w:r>
      <w:r w:rsidRPr="005B0501">
        <w:t xml:space="preserve">123 et de la série 00 d’amendements au Règlement ONU </w:t>
      </w:r>
      <w:r w:rsidRPr="005B0501">
        <w:rPr>
          <w:rFonts w:eastAsia="MS Mincho"/>
        </w:rPr>
        <w:t>n</w:t>
      </w:r>
      <w:r w:rsidRPr="005B0501">
        <w:rPr>
          <w:rFonts w:eastAsia="MS Mincho"/>
          <w:vertAlign w:val="superscript"/>
        </w:rPr>
        <w:t>o</w:t>
      </w:r>
      <w:r w:rsidRPr="005B0501">
        <w:rPr>
          <w:rFonts w:eastAsia="MS Mincho"/>
        </w:rPr>
        <w:t> </w:t>
      </w:r>
      <w:r w:rsidRPr="005B0501">
        <w:t>149 a été rectifiée, et une référence manquante à un paragraphe de la série 01 d’amendements à ce règlement a été ajoutée.</w:t>
      </w:r>
    </w:p>
    <w:p w14:paraId="4E3C9632" w14:textId="77777777" w:rsidR="00F368F4" w:rsidRPr="005B0501" w:rsidRDefault="00F368F4" w:rsidP="004E58D6">
      <w:pPr>
        <w:pStyle w:val="SingleTxtG"/>
      </w:pPr>
      <w:r w:rsidRPr="005B0501">
        <w:t>11.</w:t>
      </w:r>
      <w:r w:rsidRPr="005B0501">
        <w:tab/>
        <w:t>La structure du paragraphe 6.24.9.1 est modifiée de manière à lui restituer sa forme initiale pour indiquer clairement que les dispositions du paragraphe 5.10 doivent être respectées dans toutes les positions d’utilisation fixes visées aux alinéas a), b) et c). La structure actuelle peut donner lieu à une interprétation erronée selon laquelle l’obligation de se conformer aux prescriptions techniques s’appliquerait uniquement à l’alinéa c), à savoir lorsqu’une porte du compartiment de chargement est ouverte.</w:t>
      </w:r>
    </w:p>
    <w:p w14:paraId="055AC9A5" w14:textId="2AFC39D1" w:rsidR="00F368F4" w:rsidRPr="005B0501" w:rsidRDefault="00F368F4" w:rsidP="004E58D6">
      <w:pPr>
        <w:pStyle w:val="SingleTxtG"/>
      </w:pPr>
      <w:r w:rsidRPr="005B0501">
        <w:t>12.</w:t>
      </w:r>
      <w:r w:rsidRPr="005B0501">
        <w:tab/>
        <w:t xml:space="preserve">À l’annexe 2, dans le modèle A, la position de </w:t>
      </w:r>
      <w:r w:rsidR="005B0501" w:rsidRPr="005B0501">
        <w:t>«</w:t>
      </w:r>
      <w:r w:rsidR="005B0501">
        <w:t> </w:t>
      </w:r>
      <w:r w:rsidRPr="005B0501">
        <w:t>08</w:t>
      </w:r>
      <w:r w:rsidR="005B0501">
        <w:t> </w:t>
      </w:r>
      <w:r w:rsidR="005B0501" w:rsidRPr="005B0501">
        <w:t>»</w:t>
      </w:r>
      <w:r w:rsidRPr="005B0501">
        <w:t xml:space="preserve"> est rectifiée de manière à remplacer </w:t>
      </w:r>
      <w:r w:rsidR="005B0501" w:rsidRPr="005B0501">
        <w:t>«</w:t>
      </w:r>
      <w:r w:rsidR="005B0501">
        <w:t> </w:t>
      </w:r>
      <w:r w:rsidRPr="005B0501">
        <w:t>02</w:t>
      </w:r>
      <w:r w:rsidR="005B0501">
        <w:t> </w:t>
      </w:r>
      <w:r w:rsidR="005B0501" w:rsidRPr="005B0501">
        <w:t>»</w:t>
      </w:r>
      <w:r w:rsidRPr="005B0501">
        <w:t>.</w:t>
      </w:r>
    </w:p>
    <w:p w14:paraId="06F66B61" w14:textId="77777777" w:rsidR="00F368F4" w:rsidRPr="005B0501" w:rsidRDefault="00F368F4" w:rsidP="004E58D6">
      <w:pPr>
        <w:pStyle w:val="SingleTxtG"/>
      </w:pPr>
      <w:r w:rsidRPr="005B0501">
        <w:t>13.</w:t>
      </w:r>
      <w:r w:rsidRPr="005B0501">
        <w:tab/>
        <w:t xml:space="preserve">À l’annexe 6, au paragraphe 5.4.3, la deuxième phrase avait été omise dans le texte original de la série 07 d’amendements au Règlement ONU </w:t>
      </w:r>
      <w:r w:rsidRPr="005B0501">
        <w:rPr>
          <w:rFonts w:eastAsia="MS Mincho"/>
        </w:rPr>
        <w:t>n</w:t>
      </w:r>
      <w:r w:rsidRPr="005B0501">
        <w:rPr>
          <w:rFonts w:eastAsia="MS Mincho"/>
          <w:vertAlign w:val="superscript"/>
        </w:rPr>
        <w:t>o</w:t>
      </w:r>
      <w:r w:rsidRPr="005B0501">
        <w:rPr>
          <w:rFonts w:eastAsia="MS Mincho"/>
        </w:rPr>
        <w:t> </w:t>
      </w:r>
      <w:r w:rsidRPr="005B0501">
        <w:t>48. Elle est ajoutée ici.</w:t>
      </w:r>
    </w:p>
    <w:p w14:paraId="368210B3" w14:textId="77777777" w:rsidR="00F368F4" w:rsidRPr="005B0501" w:rsidRDefault="00F368F4" w:rsidP="004E58D6">
      <w:pPr>
        <w:pStyle w:val="SingleTxtG"/>
      </w:pPr>
      <w:r w:rsidRPr="005B0501">
        <w:t>14.</w:t>
      </w:r>
      <w:r w:rsidRPr="005B0501">
        <w:tab/>
        <w:t>La note de bas de page 13 dans les paragraphes 6.3.5, 6.3.6.1.1 et 6.5.8 est supprimée car le contenu de cette note n’est plus pertinent.</w:t>
      </w:r>
    </w:p>
    <w:p w14:paraId="285D7DF8" w14:textId="70C24C48" w:rsidR="00F9573C" w:rsidRPr="005B0501" w:rsidRDefault="00F368F4" w:rsidP="00F368F4">
      <w:pPr>
        <w:pStyle w:val="SingleTxtG"/>
        <w:spacing w:before="240" w:after="0"/>
        <w:jc w:val="center"/>
        <w:rPr>
          <w:u w:val="single"/>
        </w:rPr>
      </w:pPr>
      <w:r w:rsidRPr="005B0501">
        <w:rPr>
          <w:u w:val="single"/>
        </w:rPr>
        <w:tab/>
      </w:r>
      <w:r w:rsidRPr="005B0501">
        <w:rPr>
          <w:u w:val="single"/>
        </w:rPr>
        <w:tab/>
      </w:r>
      <w:r w:rsidRPr="005B0501">
        <w:rPr>
          <w:u w:val="single"/>
        </w:rPr>
        <w:tab/>
      </w:r>
      <w:r w:rsidRPr="005B0501">
        <w:rPr>
          <w:u w:val="single"/>
        </w:rPr>
        <w:tab/>
      </w:r>
    </w:p>
    <w:sectPr w:rsidR="00F9573C" w:rsidRPr="005B0501" w:rsidSect="0030413A">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2C60" w14:textId="77777777" w:rsidR="00473E06" w:rsidRDefault="00473E06" w:rsidP="00F95C08">
      <w:pPr>
        <w:spacing w:line="240" w:lineRule="auto"/>
      </w:pPr>
    </w:p>
  </w:endnote>
  <w:endnote w:type="continuationSeparator" w:id="0">
    <w:p w14:paraId="70DE8DD1" w14:textId="77777777" w:rsidR="00473E06" w:rsidRPr="00AC3823" w:rsidRDefault="00473E06" w:rsidP="00AC3823">
      <w:pPr>
        <w:pStyle w:val="Pieddepage"/>
      </w:pPr>
    </w:p>
  </w:endnote>
  <w:endnote w:type="continuationNotice" w:id="1">
    <w:p w14:paraId="2C24FA38" w14:textId="77777777" w:rsidR="00473E06" w:rsidRDefault="00473E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C87C" w14:textId="1169DA1D" w:rsidR="0030413A" w:rsidRPr="0030413A" w:rsidRDefault="0030413A" w:rsidP="0030413A">
    <w:pPr>
      <w:pStyle w:val="Pieddepage"/>
      <w:tabs>
        <w:tab w:val="right" w:pos="9638"/>
      </w:tabs>
    </w:pPr>
    <w:r w:rsidRPr="0030413A">
      <w:rPr>
        <w:b/>
        <w:sz w:val="18"/>
      </w:rPr>
      <w:fldChar w:fldCharType="begin"/>
    </w:r>
    <w:r w:rsidRPr="0030413A">
      <w:rPr>
        <w:b/>
        <w:sz w:val="18"/>
      </w:rPr>
      <w:instrText xml:space="preserve"> PAGE  \* MERGEFORMAT </w:instrText>
    </w:r>
    <w:r w:rsidRPr="0030413A">
      <w:rPr>
        <w:b/>
        <w:sz w:val="18"/>
      </w:rPr>
      <w:fldChar w:fldCharType="separate"/>
    </w:r>
    <w:r w:rsidRPr="0030413A">
      <w:rPr>
        <w:b/>
        <w:noProof/>
        <w:sz w:val="18"/>
      </w:rPr>
      <w:t>2</w:t>
    </w:r>
    <w:r w:rsidRPr="0030413A">
      <w:rPr>
        <w:b/>
        <w:sz w:val="18"/>
      </w:rPr>
      <w:fldChar w:fldCharType="end"/>
    </w:r>
    <w:r>
      <w:rPr>
        <w:b/>
        <w:sz w:val="18"/>
      </w:rPr>
      <w:tab/>
    </w:r>
    <w:r>
      <w:t>GE.22-11709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806A" w14:textId="1A8B1C39" w:rsidR="0030413A" w:rsidRPr="0030413A" w:rsidRDefault="0030413A" w:rsidP="0030413A">
    <w:pPr>
      <w:pStyle w:val="Pieddepage"/>
      <w:tabs>
        <w:tab w:val="right" w:pos="9638"/>
      </w:tabs>
      <w:rPr>
        <w:b/>
        <w:sz w:val="18"/>
      </w:rPr>
    </w:pPr>
    <w:r>
      <w:t>GE.22-11709</w:t>
    </w:r>
    <w:r>
      <w:tab/>
    </w:r>
    <w:r w:rsidRPr="0030413A">
      <w:rPr>
        <w:b/>
        <w:sz w:val="18"/>
      </w:rPr>
      <w:fldChar w:fldCharType="begin"/>
    </w:r>
    <w:r w:rsidRPr="0030413A">
      <w:rPr>
        <w:b/>
        <w:sz w:val="18"/>
      </w:rPr>
      <w:instrText xml:space="preserve"> PAGE  \* MERGEFORMAT </w:instrText>
    </w:r>
    <w:r w:rsidRPr="0030413A">
      <w:rPr>
        <w:b/>
        <w:sz w:val="18"/>
      </w:rPr>
      <w:fldChar w:fldCharType="separate"/>
    </w:r>
    <w:r w:rsidRPr="0030413A">
      <w:rPr>
        <w:b/>
        <w:noProof/>
        <w:sz w:val="18"/>
      </w:rPr>
      <w:t>3</w:t>
    </w:r>
    <w:r w:rsidRPr="003041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DA54" w14:textId="7D804C3B" w:rsidR="007F20FA" w:rsidRPr="0030413A" w:rsidRDefault="0030413A" w:rsidP="0030413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7EC1853" wp14:editId="0186260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22-11709  (F)</w:t>
    </w:r>
    <w:r>
      <w:rPr>
        <w:noProof/>
        <w:sz w:val="20"/>
      </w:rPr>
      <w:drawing>
        <wp:anchor distT="0" distB="0" distL="114300" distR="114300" simplePos="0" relativeHeight="251660288" behindDoc="0" locked="0" layoutInCell="1" allowOverlap="1" wp14:anchorId="22A7B41B" wp14:editId="0BFF7F5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050922    060922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31D6" w14:textId="77777777" w:rsidR="00473E06" w:rsidRPr="00AC3823" w:rsidRDefault="00473E06" w:rsidP="00AC3823">
      <w:pPr>
        <w:pStyle w:val="Pieddepage"/>
        <w:tabs>
          <w:tab w:val="right" w:pos="2155"/>
        </w:tabs>
        <w:spacing w:after="80" w:line="240" w:lineRule="atLeast"/>
        <w:ind w:left="680"/>
        <w:rPr>
          <w:u w:val="single"/>
        </w:rPr>
      </w:pPr>
      <w:r>
        <w:rPr>
          <w:u w:val="single"/>
        </w:rPr>
        <w:tab/>
      </w:r>
    </w:p>
  </w:footnote>
  <w:footnote w:type="continuationSeparator" w:id="0">
    <w:p w14:paraId="61522E6E" w14:textId="77777777" w:rsidR="00473E06" w:rsidRPr="00AC3823" w:rsidRDefault="00473E06" w:rsidP="00AC3823">
      <w:pPr>
        <w:pStyle w:val="Pieddepage"/>
        <w:tabs>
          <w:tab w:val="right" w:pos="2155"/>
        </w:tabs>
        <w:spacing w:after="80" w:line="240" w:lineRule="atLeast"/>
        <w:ind w:left="680"/>
        <w:rPr>
          <w:u w:val="single"/>
        </w:rPr>
      </w:pPr>
      <w:r>
        <w:rPr>
          <w:u w:val="single"/>
        </w:rPr>
        <w:tab/>
      </w:r>
    </w:p>
  </w:footnote>
  <w:footnote w:type="continuationNotice" w:id="1">
    <w:p w14:paraId="36CDEA91" w14:textId="77777777" w:rsidR="00473E06" w:rsidRPr="00AC3823" w:rsidRDefault="00473E06">
      <w:pPr>
        <w:spacing w:line="240" w:lineRule="auto"/>
        <w:rPr>
          <w:sz w:val="2"/>
          <w:szCs w:val="2"/>
        </w:rPr>
      </w:pPr>
    </w:p>
  </w:footnote>
  <w:footnote w:id="2">
    <w:p w14:paraId="15ED0C77" w14:textId="55DD3680" w:rsidR="00F368F4" w:rsidRPr="005B0501" w:rsidRDefault="00F368F4" w:rsidP="00F368F4">
      <w:pPr>
        <w:pStyle w:val="Notedebasdepage"/>
      </w:pPr>
      <w:r w:rsidRPr="005B0501">
        <w:tab/>
      </w:r>
      <w:r w:rsidRPr="005B0501">
        <w:rPr>
          <w:sz w:val="20"/>
        </w:rPr>
        <w:t>*</w:t>
      </w:r>
      <w:r w:rsidRPr="005B0501">
        <w:tab/>
        <w:t>Conformément au programme de travail du Comité des transports intérieurs pour 2022 tel qu’il figure dans le projet de budget-programme pour 2022 (A/76/6 (Sect.</w:t>
      </w:r>
      <w:r w:rsidR="005B0501">
        <w:t> </w:t>
      </w:r>
      <w:r w:rsidRPr="005B0501">
        <w:t>20), par.</w:t>
      </w:r>
      <w:r w:rsidR="005B0501">
        <w:t> </w:t>
      </w:r>
      <w:r w:rsidRPr="005B0501">
        <w:t>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25CD" w14:textId="30F4A26F" w:rsidR="0030413A" w:rsidRPr="0030413A" w:rsidRDefault="0030413A">
    <w:pPr>
      <w:pStyle w:val="En-tte"/>
    </w:pPr>
    <w:fldSimple w:instr=" TITLE  \* MERGEFORMAT ">
      <w:r w:rsidR="00A042AB">
        <w:t>ECE/TRANS/WP.29/GRE/2022/18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5C89" w14:textId="3D3AADD0" w:rsidR="0030413A" w:rsidRPr="0030413A" w:rsidRDefault="0030413A" w:rsidP="0030413A">
    <w:pPr>
      <w:pStyle w:val="En-tte"/>
      <w:jc w:val="right"/>
    </w:pPr>
    <w:fldSimple w:instr=" TITLE  \* MERGEFORMAT ">
      <w:r w:rsidR="00A042AB">
        <w:t>ECE/TRANS/WP.29/GRE/2022/18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2694"/>
        </w:tabs>
        <w:ind w:left="2694" w:hanging="170"/>
      </w:pPr>
      <w:rPr>
        <w:rFonts w:ascii="Times New Roman" w:hAnsi="Times New Roman" w:cs="Times New Roman" w:hint="default"/>
      </w:rPr>
    </w:lvl>
    <w:lvl w:ilvl="1" w:tplc="040C0003" w:tentative="1">
      <w:start w:val="1"/>
      <w:numFmt w:val="bullet"/>
      <w:lvlText w:val="o"/>
      <w:lvlJc w:val="left"/>
      <w:pPr>
        <w:tabs>
          <w:tab w:val="num" w:pos="2433"/>
        </w:tabs>
        <w:ind w:left="2433" w:hanging="360"/>
      </w:pPr>
      <w:rPr>
        <w:rFonts w:ascii="Courier New" w:hAnsi="Courier New" w:cs="Courier New"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Courier New"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Courier New"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11"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12"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148177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16" w15:restartNumberingAfterBreak="0">
    <w:nsid w:val="1F5400C0"/>
    <w:multiLevelType w:val="hybridMultilevel"/>
    <w:tmpl w:val="D3249222"/>
    <w:lvl w:ilvl="0" w:tplc="20D4AAB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2B337B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E72106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1"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5" w15:restartNumberingAfterBreak="0">
    <w:nsid w:val="39ED7BC7"/>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3A57516F"/>
    <w:multiLevelType w:val="hybridMultilevel"/>
    <w:tmpl w:val="D2ACD12A"/>
    <w:lvl w:ilvl="0" w:tplc="C4B871DE">
      <w:start w:val="6"/>
      <w:numFmt w:val="bullet"/>
      <w:lvlText w:val="-"/>
      <w:lvlJc w:val="left"/>
      <w:pPr>
        <w:ind w:left="2628" w:hanging="360"/>
      </w:pPr>
      <w:rPr>
        <w:rFonts w:ascii="Times New Roman" w:eastAsia="MS Mincho" w:hAnsi="Times New Roman" w:cs="Times New Roman"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3C1417EA"/>
    <w:multiLevelType w:val="hybridMultilevel"/>
    <w:tmpl w:val="41DE37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0" w15:restartNumberingAfterBreak="0">
    <w:nsid w:val="3CB061AB"/>
    <w:multiLevelType w:val="singleLevel"/>
    <w:tmpl w:val="D0922C44"/>
    <w:lvl w:ilvl="0">
      <w:start w:val="1"/>
      <w:numFmt w:val="decimal"/>
      <w:lvlText w:val="%1."/>
      <w:lvlJc w:val="left"/>
      <w:pPr>
        <w:tabs>
          <w:tab w:val="num" w:pos="360"/>
        </w:tabs>
        <w:ind w:left="-1" w:firstLine="1"/>
      </w:pPr>
      <w:rPr>
        <w:rFonts w:hint="default"/>
      </w:rPr>
    </w:lvl>
  </w:abstractNum>
  <w:abstractNum w:abstractNumId="31"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9E1206C"/>
    <w:multiLevelType w:val="hybridMultilevel"/>
    <w:tmpl w:val="10E23282"/>
    <w:lvl w:ilvl="0" w:tplc="FFFFFFFF">
      <w:start w:val="1"/>
      <w:numFmt w:val="decimal"/>
      <w:lvlText w:val="%1."/>
      <w:lvlJc w:val="left"/>
      <w:pPr>
        <w:ind w:left="1280" w:hanging="57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9" w15:restartNumberingAfterBreak="0">
    <w:nsid w:val="6A3713D1"/>
    <w:multiLevelType w:val="hybridMultilevel"/>
    <w:tmpl w:val="903E2BD2"/>
    <w:lvl w:ilvl="0" w:tplc="ECBA29B6">
      <w:start w:val="1"/>
      <w:numFmt w:val="lowerLetter"/>
      <w:lvlText w:val="(%1)"/>
      <w:lvlJc w:val="left"/>
      <w:pPr>
        <w:ind w:left="2634" w:hanging="360"/>
      </w:pPr>
      <w:rPr>
        <w:rFonts w:hint="default"/>
      </w:r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40"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1"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16cid:durableId="2015761547">
    <w:abstractNumId w:val="37"/>
  </w:num>
  <w:num w:numId="2" w16cid:durableId="1033847269">
    <w:abstractNumId w:val="27"/>
  </w:num>
  <w:num w:numId="3" w16cid:durableId="2012028180">
    <w:abstractNumId w:val="13"/>
  </w:num>
  <w:num w:numId="4" w16cid:durableId="2079597710">
    <w:abstractNumId w:val="8"/>
  </w:num>
  <w:num w:numId="5" w16cid:durableId="1872452225">
    <w:abstractNumId w:val="3"/>
  </w:num>
  <w:num w:numId="6" w16cid:durableId="639846439">
    <w:abstractNumId w:val="2"/>
  </w:num>
  <w:num w:numId="7" w16cid:durableId="683282397">
    <w:abstractNumId w:val="1"/>
  </w:num>
  <w:num w:numId="8" w16cid:durableId="86270133">
    <w:abstractNumId w:val="0"/>
  </w:num>
  <w:num w:numId="9" w16cid:durableId="1653025903">
    <w:abstractNumId w:val="9"/>
  </w:num>
  <w:num w:numId="10" w16cid:durableId="2111124162">
    <w:abstractNumId w:val="7"/>
  </w:num>
  <w:num w:numId="11" w16cid:durableId="366684922">
    <w:abstractNumId w:val="6"/>
  </w:num>
  <w:num w:numId="12" w16cid:durableId="1358694424">
    <w:abstractNumId w:val="5"/>
  </w:num>
  <w:num w:numId="13" w16cid:durableId="442579513">
    <w:abstractNumId w:val="4"/>
  </w:num>
  <w:num w:numId="14" w16cid:durableId="1492790794">
    <w:abstractNumId w:val="37"/>
  </w:num>
  <w:num w:numId="15" w16cid:durableId="379597071">
    <w:abstractNumId w:val="27"/>
  </w:num>
  <w:num w:numId="16" w16cid:durableId="2091845396">
    <w:abstractNumId w:val="13"/>
  </w:num>
  <w:num w:numId="17" w16cid:durableId="942690449">
    <w:abstractNumId w:val="10"/>
  </w:num>
  <w:num w:numId="18" w16cid:durableId="86124697">
    <w:abstractNumId w:val="36"/>
  </w:num>
  <w:num w:numId="19" w16cid:durableId="911037714">
    <w:abstractNumId w:val="30"/>
  </w:num>
  <w:num w:numId="20" w16cid:durableId="1282305624">
    <w:abstractNumId w:val="25"/>
  </w:num>
  <w:num w:numId="21" w16cid:durableId="2098020205">
    <w:abstractNumId w:val="19"/>
  </w:num>
  <w:num w:numId="22" w16cid:durableId="1724064697">
    <w:abstractNumId w:val="18"/>
  </w:num>
  <w:num w:numId="23" w16cid:durableId="578759904">
    <w:abstractNumId w:val="14"/>
  </w:num>
  <w:num w:numId="24" w16cid:durableId="1013612233">
    <w:abstractNumId w:val="34"/>
  </w:num>
  <w:num w:numId="25" w16cid:durableId="676927147">
    <w:abstractNumId w:val="22"/>
  </w:num>
  <w:num w:numId="26" w16cid:durableId="1639914960">
    <w:abstractNumId w:val="23"/>
  </w:num>
  <w:num w:numId="27" w16cid:durableId="1720471587">
    <w:abstractNumId w:val="21"/>
  </w:num>
  <w:num w:numId="28" w16cid:durableId="64300521">
    <w:abstractNumId w:val="35"/>
  </w:num>
  <w:num w:numId="29" w16cid:durableId="351996471">
    <w:abstractNumId w:val="12"/>
  </w:num>
  <w:num w:numId="30" w16cid:durableId="56368647">
    <w:abstractNumId w:val="29"/>
  </w:num>
  <w:num w:numId="31" w16cid:durableId="782264031">
    <w:abstractNumId w:val="20"/>
  </w:num>
  <w:num w:numId="32" w16cid:durableId="1446921050">
    <w:abstractNumId w:val="40"/>
  </w:num>
  <w:num w:numId="33" w16cid:durableId="672882973">
    <w:abstractNumId w:val="11"/>
  </w:num>
  <w:num w:numId="34" w16cid:durableId="1916552495">
    <w:abstractNumId w:val="15"/>
  </w:num>
  <w:num w:numId="35" w16cid:durableId="1681620813">
    <w:abstractNumId w:val="31"/>
  </w:num>
  <w:num w:numId="36" w16cid:durableId="2005432966">
    <w:abstractNumId w:val="17"/>
  </w:num>
  <w:num w:numId="37" w16cid:durableId="698776407">
    <w:abstractNumId w:val="33"/>
  </w:num>
  <w:num w:numId="38" w16cid:durableId="191037569">
    <w:abstractNumId w:val="42"/>
  </w:num>
  <w:num w:numId="39" w16cid:durableId="2020042672">
    <w:abstractNumId w:val="41"/>
  </w:num>
  <w:num w:numId="40" w16cid:durableId="551892797">
    <w:abstractNumId w:val="32"/>
  </w:num>
  <w:num w:numId="41" w16cid:durableId="1407145330">
    <w:abstractNumId w:val="24"/>
  </w:num>
  <w:num w:numId="42" w16cid:durableId="1247152662">
    <w:abstractNumId w:val="39"/>
  </w:num>
  <w:num w:numId="43" w16cid:durableId="452093047">
    <w:abstractNumId w:val="16"/>
  </w:num>
  <w:num w:numId="44" w16cid:durableId="123619262">
    <w:abstractNumId w:val="26"/>
  </w:num>
  <w:num w:numId="45" w16cid:durableId="2141994072">
    <w:abstractNumId w:val="28"/>
  </w:num>
  <w:num w:numId="46" w16cid:durableId="130065006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06"/>
    <w:rsid w:val="00017F94"/>
    <w:rsid w:val="00023842"/>
    <w:rsid w:val="000334F9"/>
    <w:rsid w:val="00045FEB"/>
    <w:rsid w:val="0007796D"/>
    <w:rsid w:val="000B7790"/>
    <w:rsid w:val="000C49B3"/>
    <w:rsid w:val="00111F2F"/>
    <w:rsid w:val="00137875"/>
    <w:rsid w:val="0014365E"/>
    <w:rsid w:val="00143C66"/>
    <w:rsid w:val="001574E7"/>
    <w:rsid w:val="00176178"/>
    <w:rsid w:val="001C496E"/>
    <w:rsid w:val="001C5B8D"/>
    <w:rsid w:val="001F525A"/>
    <w:rsid w:val="00201148"/>
    <w:rsid w:val="00223272"/>
    <w:rsid w:val="0024530A"/>
    <w:rsid w:val="0024779E"/>
    <w:rsid w:val="00257168"/>
    <w:rsid w:val="002744B8"/>
    <w:rsid w:val="002832AC"/>
    <w:rsid w:val="00295078"/>
    <w:rsid w:val="002D7C93"/>
    <w:rsid w:val="0030413A"/>
    <w:rsid w:val="00305801"/>
    <w:rsid w:val="00315386"/>
    <w:rsid w:val="003916DE"/>
    <w:rsid w:val="003B0359"/>
    <w:rsid w:val="00421996"/>
    <w:rsid w:val="00441C3B"/>
    <w:rsid w:val="00446FE5"/>
    <w:rsid w:val="004518B0"/>
    <w:rsid w:val="00452396"/>
    <w:rsid w:val="00473E06"/>
    <w:rsid w:val="00477EB2"/>
    <w:rsid w:val="004837D8"/>
    <w:rsid w:val="004B55BF"/>
    <w:rsid w:val="004E2EED"/>
    <w:rsid w:val="004E468C"/>
    <w:rsid w:val="004E58D6"/>
    <w:rsid w:val="005505B7"/>
    <w:rsid w:val="00571590"/>
    <w:rsid w:val="00573BE5"/>
    <w:rsid w:val="00586ED3"/>
    <w:rsid w:val="00596AA9"/>
    <w:rsid w:val="005A3A19"/>
    <w:rsid w:val="005B0501"/>
    <w:rsid w:val="005E75A7"/>
    <w:rsid w:val="0071601D"/>
    <w:rsid w:val="007A62E6"/>
    <w:rsid w:val="007C6E2A"/>
    <w:rsid w:val="007F20FA"/>
    <w:rsid w:val="0080684C"/>
    <w:rsid w:val="00871C75"/>
    <w:rsid w:val="008776DC"/>
    <w:rsid w:val="008D5EF9"/>
    <w:rsid w:val="009446C0"/>
    <w:rsid w:val="009705C8"/>
    <w:rsid w:val="009865FB"/>
    <w:rsid w:val="009A4DD1"/>
    <w:rsid w:val="009C1CF4"/>
    <w:rsid w:val="009F6B74"/>
    <w:rsid w:val="00A042AB"/>
    <w:rsid w:val="00A3029F"/>
    <w:rsid w:val="00A30353"/>
    <w:rsid w:val="00A668F3"/>
    <w:rsid w:val="00AC3823"/>
    <w:rsid w:val="00AE323C"/>
    <w:rsid w:val="00AF0CB5"/>
    <w:rsid w:val="00B00181"/>
    <w:rsid w:val="00B00B0D"/>
    <w:rsid w:val="00B45F2E"/>
    <w:rsid w:val="00B765F7"/>
    <w:rsid w:val="00B77993"/>
    <w:rsid w:val="00BA0CA9"/>
    <w:rsid w:val="00BD1EF3"/>
    <w:rsid w:val="00C02897"/>
    <w:rsid w:val="00C262D0"/>
    <w:rsid w:val="00C60D95"/>
    <w:rsid w:val="00C97039"/>
    <w:rsid w:val="00CC32B5"/>
    <w:rsid w:val="00D1777A"/>
    <w:rsid w:val="00D3439C"/>
    <w:rsid w:val="00D7622E"/>
    <w:rsid w:val="00DB1831"/>
    <w:rsid w:val="00DD3BFD"/>
    <w:rsid w:val="00DF6678"/>
    <w:rsid w:val="00E0299A"/>
    <w:rsid w:val="00E85C74"/>
    <w:rsid w:val="00EA6547"/>
    <w:rsid w:val="00EB6374"/>
    <w:rsid w:val="00ED7237"/>
    <w:rsid w:val="00EF2E22"/>
    <w:rsid w:val="00F35BAF"/>
    <w:rsid w:val="00F368F4"/>
    <w:rsid w:val="00F660DF"/>
    <w:rsid w:val="00F8218B"/>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21556"/>
  <w15:docId w15:val="{5F8BB7C1-08DA-4B44-9F8E-4D7955DB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F368F4"/>
    <w:rPr>
      <w:rFonts w:ascii="Times New Roman" w:eastAsiaTheme="minorHAnsi" w:hAnsi="Times New Roman" w:cs="Times New Roman"/>
      <w:sz w:val="20"/>
      <w:szCs w:val="20"/>
      <w:lang w:eastAsia="en-US"/>
    </w:rPr>
  </w:style>
  <w:style w:type="character" w:customStyle="1" w:styleId="HChGChar">
    <w:name w:val="_ H _Ch_G Char"/>
    <w:link w:val="HChG"/>
    <w:qFormat/>
    <w:rsid w:val="00F368F4"/>
    <w:rPr>
      <w:rFonts w:ascii="Times New Roman" w:eastAsiaTheme="minorHAnsi" w:hAnsi="Times New Roman" w:cs="Times New Roman"/>
      <w:b/>
      <w:sz w:val="28"/>
      <w:szCs w:val="20"/>
      <w:lang w:eastAsia="en-US"/>
    </w:rPr>
  </w:style>
  <w:style w:type="character" w:customStyle="1" w:styleId="H1GChar">
    <w:name w:val="_ H_1_G Char"/>
    <w:link w:val="H1G"/>
    <w:rsid w:val="00F368F4"/>
    <w:rPr>
      <w:rFonts w:ascii="Times New Roman" w:eastAsiaTheme="minorHAnsi" w:hAnsi="Times New Roman" w:cs="Times New Roman"/>
      <w:b/>
      <w:sz w:val="24"/>
      <w:szCs w:val="20"/>
      <w:lang w:eastAsia="en-US"/>
    </w:rPr>
  </w:style>
  <w:style w:type="paragraph" w:styleId="Rvision">
    <w:name w:val="Revision"/>
    <w:hidden/>
    <w:uiPriority w:val="99"/>
    <w:semiHidden/>
    <w:rsid w:val="00F368F4"/>
    <w:pPr>
      <w:spacing w:after="0" w:line="240" w:lineRule="auto"/>
    </w:pPr>
    <w:rPr>
      <w:rFonts w:ascii="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16</Pages>
  <Words>5395</Words>
  <Characters>37770</Characters>
  <Application>Microsoft Office Word</Application>
  <DocSecurity>0</DocSecurity>
  <Lines>3147</Lines>
  <Paragraphs>1726</Paragraphs>
  <ScaleCrop>false</ScaleCrop>
  <HeadingPairs>
    <vt:vector size="2" baseType="variant">
      <vt:variant>
        <vt:lpstr>Titre</vt:lpstr>
      </vt:variant>
      <vt:variant>
        <vt:i4>1</vt:i4>
      </vt:variant>
    </vt:vector>
  </HeadingPairs>
  <TitlesOfParts>
    <vt:vector size="1" baseType="lpstr">
      <vt:lpstr>ECE/TRANS/WP.29/GRE/2022/18</vt:lpstr>
    </vt:vector>
  </TitlesOfParts>
  <Company>DCM</Company>
  <LinksUpToDate>false</LinksUpToDate>
  <CharactersWithSpaces>41439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ECE/TRANS/WP.29/GRE/2022/18</dc:title>
  <dc:subject/>
  <dc:creator>Nicolas MORIN</dc:creator>
  <cp:keywords/>
  <cp:lastModifiedBy>Nicolas Morin</cp:lastModifiedBy>
  <cp:revision>2</cp:revision>
  <cp:lastPrinted>2022-09-06T11:16:00Z</cp:lastPrinted>
  <dcterms:created xsi:type="dcterms:W3CDTF">2022-09-06T11:17:00Z</dcterms:created>
  <dcterms:modified xsi:type="dcterms:W3CDTF">2022-09-06T11:17:00Z</dcterms:modified>
</cp:coreProperties>
</file>