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8A1FAE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D6966CB" w14:textId="77777777" w:rsidR="002D5AAC" w:rsidRDefault="002D5AAC" w:rsidP="00F5475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F9926D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174605F" w14:textId="26EB492D" w:rsidR="002D5AAC" w:rsidRDefault="00F54751" w:rsidP="00F54751">
            <w:pPr>
              <w:jc w:val="right"/>
            </w:pPr>
            <w:r w:rsidRPr="00F54751">
              <w:rPr>
                <w:sz w:val="40"/>
              </w:rPr>
              <w:t>ECE</w:t>
            </w:r>
            <w:r>
              <w:t>/TRANS/WP.29/GRE/2022/15</w:t>
            </w:r>
          </w:p>
        </w:tc>
      </w:tr>
      <w:tr w:rsidR="002D5AAC" w:rsidRPr="00F54751" w14:paraId="31893F8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24047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64EC7A8" wp14:editId="174E1EF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CCA6F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DEE87C8" w14:textId="77777777" w:rsidR="002D5AAC" w:rsidRDefault="00F5475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6488CAB" w14:textId="0139FC65" w:rsidR="00F54751" w:rsidRDefault="00F54751" w:rsidP="00F5475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July 2022</w:t>
            </w:r>
          </w:p>
          <w:p w14:paraId="633108CF" w14:textId="77777777" w:rsidR="00F54751" w:rsidRDefault="00F54751" w:rsidP="00F5475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72D57AC" w14:textId="0E2B6682" w:rsidR="00F54751" w:rsidRPr="008D53B6" w:rsidRDefault="00F54751" w:rsidP="00F5475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956A99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C10FAE3" w14:textId="77777777" w:rsidR="00F54751" w:rsidRPr="00113AA8" w:rsidRDefault="00F54751" w:rsidP="00F54751">
      <w:pPr>
        <w:spacing w:before="120"/>
        <w:rPr>
          <w:sz w:val="28"/>
          <w:szCs w:val="28"/>
        </w:rPr>
      </w:pPr>
      <w:r w:rsidRPr="00113AA8">
        <w:rPr>
          <w:sz w:val="28"/>
          <w:szCs w:val="28"/>
        </w:rPr>
        <w:t>Комитет по внутреннему транспорту</w:t>
      </w:r>
    </w:p>
    <w:p w14:paraId="1275C523" w14:textId="77777777" w:rsidR="00F54751" w:rsidRPr="00113AA8" w:rsidRDefault="00F54751" w:rsidP="00F54751">
      <w:pPr>
        <w:spacing w:before="120"/>
        <w:rPr>
          <w:b/>
          <w:sz w:val="24"/>
          <w:szCs w:val="24"/>
        </w:rPr>
      </w:pPr>
      <w:r w:rsidRPr="00113AA8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113AA8">
        <w:rPr>
          <w:b/>
          <w:bCs/>
          <w:sz w:val="24"/>
          <w:szCs w:val="24"/>
        </w:rPr>
        <w:br/>
        <w:t>в области транспортных средств</w:t>
      </w:r>
    </w:p>
    <w:p w14:paraId="4B188E0E" w14:textId="77777777" w:rsidR="00F54751" w:rsidRPr="00113AA8" w:rsidRDefault="00F54751" w:rsidP="00F54751">
      <w:pPr>
        <w:spacing w:before="120" w:after="120"/>
        <w:rPr>
          <w:b/>
          <w:bCs/>
        </w:rPr>
      </w:pPr>
      <w:r w:rsidRPr="00113AA8">
        <w:rPr>
          <w:b/>
          <w:bCs/>
        </w:rPr>
        <w:t xml:space="preserve">Рабочая группа по вопросам освещения </w:t>
      </w:r>
      <w:r w:rsidRPr="00113AA8">
        <w:rPr>
          <w:b/>
          <w:bCs/>
        </w:rPr>
        <w:br/>
        <w:t>и световой сигнализации</w:t>
      </w:r>
    </w:p>
    <w:p w14:paraId="080E8DB9" w14:textId="77777777" w:rsidR="00F54751" w:rsidRPr="00113AA8" w:rsidRDefault="00F54751" w:rsidP="00F54751">
      <w:pPr>
        <w:rPr>
          <w:b/>
        </w:rPr>
      </w:pPr>
      <w:r w:rsidRPr="00113AA8">
        <w:rPr>
          <w:b/>
          <w:bCs/>
        </w:rPr>
        <w:t>Восемьдесят седьмая сессия</w:t>
      </w:r>
    </w:p>
    <w:p w14:paraId="315FB57E" w14:textId="77777777" w:rsidR="00F54751" w:rsidRPr="00113AA8" w:rsidRDefault="00F54751" w:rsidP="00F54751">
      <w:pPr>
        <w:rPr>
          <w:bCs/>
        </w:rPr>
      </w:pPr>
      <w:r w:rsidRPr="00113AA8">
        <w:t xml:space="preserve">Женева, </w:t>
      </w:r>
      <w:r w:rsidRPr="00113AA8">
        <w:rPr>
          <w:bCs/>
        </w:rPr>
        <w:t xml:space="preserve">25–28 </w:t>
      </w:r>
      <w:r w:rsidRPr="00113AA8">
        <w:t>октября 2022 года</w:t>
      </w:r>
    </w:p>
    <w:p w14:paraId="3FC280F5" w14:textId="77777777" w:rsidR="00F54751" w:rsidRPr="00113AA8" w:rsidRDefault="00F54751" w:rsidP="00F54751">
      <w:pPr>
        <w:ind w:right="1134"/>
        <w:rPr>
          <w:bCs/>
        </w:rPr>
      </w:pPr>
      <w:r w:rsidRPr="00113AA8">
        <w:t>Пункт 6 b) предварительной повестки дня</w:t>
      </w:r>
    </w:p>
    <w:p w14:paraId="23DA1D35" w14:textId="77777777" w:rsidR="00F54751" w:rsidRPr="00113AA8" w:rsidRDefault="00F54751" w:rsidP="00F54751">
      <w:pPr>
        <w:ind w:right="1467"/>
        <w:jc w:val="both"/>
        <w:rPr>
          <w:b/>
          <w:bCs/>
        </w:rPr>
      </w:pPr>
      <w:r w:rsidRPr="00113AA8">
        <w:rPr>
          <w:b/>
          <w:bCs/>
        </w:rPr>
        <w:t>Правила ООН, касающиеся установки:</w:t>
      </w:r>
    </w:p>
    <w:p w14:paraId="019F4ACE" w14:textId="77777777" w:rsidR="00F54751" w:rsidRPr="00113AA8" w:rsidRDefault="00F54751" w:rsidP="00F54751">
      <w:pPr>
        <w:ind w:right="4676"/>
        <w:rPr>
          <w:b/>
          <w:bCs/>
        </w:rPr>
      </w:pPr>
      <w:r w:rsidRPr="00113AA8">
        <w:rPr>
          <w:b/>
          <w:bCs/>
        </w:rPr>
        <w:t>Правила № 53 ООН (установка устройств освещения и световой сигнализации для транспортных средств категории L</w:t>
      </w:r>
      <w:r w:rsidRPr="00113AA8">
        <w:rPr>
          <w:b/>
          <w:bCs/>
          <w:vertAlign w:val="subscript"/>
        </w:rPr>
        <w:t>3</w:t>
      </w:r>
      <w:r w:rsidRPr="00113AA8">
        <w:rPr>
          <w:b/>
          <w:bCs/>
        </w:rPr>
        <w:t>)</w:t>
      </w:r>
    </w:p>
    <w:p w14:paraId="4B3BD975" w14:textId="27C7A033" w:rsidR="00F54751" w:rsidRPr="00113AA8" w:rsidRDefault="00F54751" w:rsidP="00F54751">
      <w:pPr>
        <w:pStyle w:val="HChG"/>
      </w:pPr>
      <w:r w:rsidRPr="00113AA8">
        <w:tab/>
      </w:r>
      <w:r w:rsidRPr="00113AA8">
        <w:tab/>
      </w:r>
      <w:r w:rsidRPr="00113AA8">
        <w:rPr>
          <w:bCs/>
        </w:rPr>
        <w:t xml:space="preserve">Предложение по поправкам новой серии 04 </w:t>
      </w:r>
      <w:r>
        <w:rPr>
          <w:bCs/>
        </w:rPr>
        <w:br/>
      </w:r>
      <w:r w:rsidRPr="00113AA8">
        <w:rPr>
          <w:bCs/>
        </w:rPr>
        <w:t>к Правилам № 53 ООН</w:t>
      </w:r>
    </w:p>
    <w:p w14:paraId="5212285B" w14:textId="77777777" w:rsidR="00F54751" w:rsidRPr="00113AA8" w:rsidRDefault="00F54751" w:rsidP="00F54751">
      <w:pPr>
        <w:pStyle w:val="H1G"/>
        <w:ind w:firstLine="0"/>
        <w:rPr>
          <w:szCs w:val="24"/>
        </w:rPr>
      </w:pPr>
      <w:r w:rsidRPr="00113AA8">
        <w:rPr>
          <w:bCs/>
        </w:rPr>
        <w:t>Представлено экспертами от Германии и Чехии</w:t>
      </w:r>
      <w:r w:rsidRPr="00F54751">
        <w:rPr>
          <w:b w:val="0"/>
          <w:bCs/>
          <w:sz w:val="20"/>
        </w:rPr>
        <w:footnoteReference w:customMarkFollows="1" w:id="1"/>
        <w:t xml:space="preserve">* </w:t>
      </w:r>
    </w:p>
    <w:p w14:paraId="6ACB69CB" w14:textId="583F1315" w:rsidR="00E12C5F" w:rsidRDefault="00F54751" w:rsidP="00F54751">
      <w:pPr>
        <w:pStyle w:val="SingleTxtG"/>
      </w:pPr>
      <w:r>
        <w:tab/>
      </w:r>
      <w:r w:rsidRPr="00113AA8">
        <w:t>Данный документ представляет собой предложение, которое направлено на повышение безопасности дорожного движения в отношении мотоциклов путем ограничения классов фар, указанных в Правилах № 53 ООН, и обеспечение совместимости положений с электрическими двигателями. Данное предложение основано на документе ECE/TRANS/WP.29/GRE/2022/3 с поправками, внесенными в него на основании неофициального документа GRE-86-15, который был представлен на восемьдесят шестой сессии Рабочей группы по вопросам освещения и световой сигнализации (GRE). Предлагаемые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691D99BF" w14:textId="06CBE7D2" w:rsidR="00F54751" w:rsidRDefault="00F54751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396CE8A" w14:textId="77777777" w:rsidR="00F54751" w:rsidRPr="00113AA8" w:rsidRDefault="00F54751" w:rsidP="00F54751">
      <w:pPr>
        <w:pStyle w:val="HChG"/>
      </w:pPr>
      <w:r w:rsidRPr="00113AA8">
        <w:rPr>
          <w:bCs/>
        </w:rPr>
        <w:lastRenderedPageBreak/>
        <w:tab/>
        <w:t>I.</w:t>
      </w:r>
      <w:r w:rsidRPr="00113AA8">
        <w:tab/>
      </w:r>
      <w:r w:rsidRPr="00113AA8">
        <w:rPr>
          <w:bCs/>
        </w:rPr>
        <w:t>Предложение</w:t>
      </w:r>
    </w:p>
    <w:p w14:paraId="0B7E59EE" w14:textId="77777777" w:rsidR="00F54751" w:rsidRPr="00113AA8" w:rsidRDefault="00F54751" w:rsidP="00F54751">
      <w:pPr>
        <w:pStyle w:val="SingleTxtG"/>
        <w:rPr>
          <w:bCs/>
        </w:rPr>
      </w:pPr>
      <w:r w:rsidRPr="00113AA8">
        <w:rPr>
          <w:i/>
          <w:iCs/>
        </w:rPr>
        <w:t>Пункт 6.1.1</w:t>
      </w:r>
      <w:r w:rsidRPr="00113AA8">
        <w:t xml:space="preserve"> изменить следующим образом:</w:t>
      </w:r>
    </w:p>
    <w:p w14:paraId="094CB21E" w14:textId="3662E2CE" w:rsidR="00F54751" w:rsidRPr="00113AA8" w:rsidRDefault="00F54751" w:rsidP="00F54751">
      <w:pPr>
        <w:pStyle w:val="SingleTxtG"/>
        <w:rPr>
          <w:bCs/>
        </w:rPr>
      </w:pPr>
      <w:r w:rsidRPr="00113AA8">
        <w:t>«6.1.1</w:t>
      </w:r>
      <w:r w:rsidRPr="00113AA8">
        <w:tab/>
      </w:r>
      <w:r>
        <w:tab/>
      </w:r>
      <w:r w:rsidRPr="00113AA8">
        <w:t xml:space="preserve">Число: </w:t>
      </w:r>
    </w:p>
    <w:p w14:paraId="5E59D448" w14:textId="2106A0F8" w:rsidR="00F54751" w:rsidRPr="00113AA8" w:rsidRDefault="00F54751" w:rsidP="00F54751">
      <w:pPr>
        <w:pStyle w:val="SingleTxtG"/>
        <w:tabs>
          <w:tab w:val="clear" w:pos="1701"/>
        </w:tabs>
        <w:ind w:left="2268" w:hanging="1134"/>
        <w:rPr>
          <w:bCs/>
        </w:rPr>
      </w:pPr>
      <w:r w:rsidRPr="00113AA8">
        <w:t>6.1.1.1</w:t>
      </w:r>
      <w:r w:rsidRPr="00113AA8">
        <w:tab/>
        <w:t>Для мотоциклов с объемом цилиндра ≤</w:t>
      </w:r>
      <w:r w:rsidR="005B2207">
        <w:rPr>
          <w:lang w:val="en-US"/>
        </w:rPr>
        <w:t> </w:t>
      </w:r>
      <w:r w:rsidRPr="00113AA8">
        <w:t>125 см</w:t>
      </w:r>
      <w:r w:rsidRPr="00113AA8">
        <w:rPr>
          <w:vertAlign w:val="superscript"/>
        </w:rPr>
        <w:t>3</w:t>
      </w:r>
      <w:r w:rsidRPr="00113AA8">
        <w:t xml:space="preserve"> </w:t>
      </w:r>
      <w:r w:rsidRPr="00113AA8">
        <w:rPr>
          <w:b/>
          <w:bCs/>
        </w:rPr>
        <w:t xml:space="preserve">и максимальной мощностью ≤ 11 кВт </w:t>
      </w:r>
      <w:r w:rsidRPr="0068482C">
        <w:rPr>
          <w:vertAlign w:val="superscript"/>
        </w:rPr>
        <w:t>(</w:t>
      </w:r>
      <w:r w:rsidRPr="00113AA8">
        <w:t>*</w:t>
      </w:r>
      <w:r w:rsidRPr="0068482C">
        <w:rPr>
          <w:vertAlign w:val="superscript"/>
        </w:rPr>
        <w:t>)</w:t>
      </w:r>
    </w:p>
    <w:p w14:paraId="3731AE84" w14:textId="77777777" w:rsidR="00F54751" w:rsidRPr="00113AA8" w:rsidRDefault="00F54751" w:rsidP="00F54751">
      <w:pPr>
        <w:pStyle w:val="SingleTxtG"/>
        <w:ind w:left="2268"/>
        <w:rPr>
          <w:bCs/>
        </w:rPr>
      </w:pPr>
      <w:r w:rsidRPr="00113AA8">
        <w:t xml:space="preserve">Одна или две официально утвержденного типа в соответствии с: </w:t>
      </w:r>
    </w:p>
    <w:p w14:paraId="0800C810" w14:textId="77777777" w:rsidR="00F54751" w:rsidRPr="00113AA8" w:rsidRDefault="00F54751" w:rsidP="00F54751">
      <w:pPr>
        <w:pStyle w:val="SingleTxtG"/>
        <w:ind w:left="2268"/>
        <w:rPr>
          <w:bCs/>
        </w:rPr>
      </w:pPr>
      <w:r w:rsidRPr="00113AA8">
        <w:t>a)</w:t>
      </w:r>
      <w:r w:rsidRPr="00113AA8">
        <w:tab/>
        <w:t xml:space="preserve">классом C, D или Е, предусмотренным Правилами № 113 ООН; </w:t>
      </w:r>
    </w:p>
    <w:p w14:paraId="2107B394" w14:textId="77777777" w:rsidR="00F54751" w:rsidRPr="00113AA8" w:rsidRDefault="00F54751" w:rsidP="00F54751">
      <w:pPr>
        <w:pStyle w:val="SingleTxtG"/>
        <w:ind w:left="2268"/>
        <w:rPr>
          <w:bCs/>
        </w:rPr>
      </w:pPr>
      <w:r w:rsidRPr="00113AA8">
        <w:t>b)</w:t>
      </w:r>
      <w:r w:rsidRPr="00113AA8">
        <w:tab/>
      </w:r>
      <w:r w:rsidRPr="00113AA8">
        <w:rPr>
          <w:b/>
          <w:bCs/>
        </w:rPr>
        <w:t>классом B, предусмотренным</w:t>
      </w:r>
      <w:r w:rsidRPr="00113AA8">
        <w:t xml:space="preserve"> Правилами № 112 ООН;</w:t>
      </w:r>
    </w:p>
    <w:p w14:paraId="3F80FD39" w14:textId="77777777" w:rsidR="00F54751" w:rsidRPr="00113AA8" w:rsidRDefault="00F54751" w:rsidP="00F54751">
      <w:pPr>
        <w:pStyle w:val="SingleTxtG"/>
        <w:ind w:left="2268"/>
        <w:rPr>
          <w:bCs/>
        </w:rPr>
      </w:pPr>
      <w:r w:rsidRPr="00113AA8">
        <w:rPr>
          <w:strike/>
        </w:rPr>
        <w:t>c)</w:t>
      </w:r>
      <w:r w:rsidRPr="00113AA8">
        <w:rPr>
          <w:strike/>
        </w:rPr>
        <w:tab/>
        <w:t>Правилами № 1 ООН;</w:t>
      </w:r>
    </w:p>
    <w:p w14:paraId="527F3FFC" w14:textId="77777777" w:rsidR="00F54751" w:rsidRPr="00113AA8" w:rsidRDefault="00F54751" w:rsidP="00F54751">
      <w:pPr>
        <w:pStyle w:val="SingleTxtG"/>
        <w:ind w:left="2268"/>
        <w:rPr>
          <w:bCs/>
        </w:rPr>
      </w:pPr>
      <w:r w:rsidRPr="00113AA8">
        <w:rPr>
          <w:strike/>
        </w:rPr>
        <w:t>d)</w:t>
      </w:r>
      <w:r w:rsidRPr="00113AA8">
        <w:rPr>
          <w:b/>
          <w:bCs/>
        </w:rPr>
        <w:t>c)</w:t>
      </w:r>
      <w:r w:rsidRPr="00113AA8">
        <w:tab/>
        <w:t xml:space="preserve">Правилами № 8 ООН; </w:t>
      </w:r>
    </w:p>
    <w:p w14:paraId="76C67CF0" w14:textId="77777777" w:rsidR="00F54751" w:rsidRPr="00113AA8" w:rsidRDefault="00F54751" w:rsidP="00F54751">
      <w:pPr>
        <w:pStyle w:val="SingleTxtG"/>
        <w:ind w:left="2268"/>
        <w:rPr>
          <w:bCs/>
        </w:rPr>
      </w:pPr>
      <w:r w:rsidRPr="00113AA8">
        <w:rPr>
          <w:strike/>
        </w:rPr>
        <w:t>e)</w:t>
      </w:r>
      <w:r w:rsidRPr="00113AA8">
        <w:rPr>
          <w:b/>
          <w:bCs/>
        </w:rPr>
        <w:t>d)</w:t>
      </w:r>
      <w:r w:rsidRPr="00113AA8">
        <w:tab/>
        <w:t xml:space="preserve">Правилами № 20 ООН; </w:t>
      </w:r>
    </w:p>
    <w:p w14:paraId="37B3ED96" w14:textId="77777777" w:rsidR="00F54751" w:rsidRPr="00113AA8" w:rsidRDefault="00F54751" w:rsidP="00F54751">
      <w:pPr>
        <w:pStyle w:val="SingleTxtG"/>
        <w:ind w:left="2268"/>
        <w:rPr>
          <w:bCs/>
          <w:strike/>
        </w:rPr>
      </w:pPr>
      <w:r w:rsidRPr="00113AA8">
        <w:rPr>
          <w:strike/>
        </w:rPr>
        <w:t>f)</w:t>
      </w:r>
      <w:r w:rsidRPr="00113AA8">
        <w:rPr>
          <w:strike/>
        </w:rPr>
        <w:tab/>
        <w:t>Правилами № 57 ООН;</w:t>
      </w:r>
    </w:p>
    <w:p w14:paraId="0CAE6AA3" w14:textId="77777777" w:rsidR="00F54751" w:rsidRPr="00113AA8" w:rsidRDefault="00F54751" w:rsidP="00F54751">
      <w:pPr>
        <w:pStyle w:val="SingleTxtG"/>
        <w:ind w:left="2268"/>
        <w:rPr>
          <w:bCs/>
        </w:rPr>
      </w:pPr>
      <w:r w:rsidRPr="00113AA8">
        <w:rPr>
          <w:strike/>
        </w:rPr>
        <w:t>g)</w:t>
      </w:r>
      <w:r w:rsidRPr="00113AA8">
        <w:rPr>
          <w:strike/>
        </w:rPr>
        <w:tab/>
        <w:t>Правилами № 72 ООН;</w:t>
      </w:r>
    </w:p>
    <w:p w14:paraId="1A3DAC36" w14:textId="77777777" w:rsidR="00F54751" w:rsidRPr="00113AA8" w:rsidRDefault="00F54751" w:rsidP="00F54751">
      <w:pPr>
        <w:pStyle w:val="SingleTxtG"/>
        <w:ind w:left="2268"/>
        <w:rPr>
          <w:bCs/>
        </w:rPr>
      </w:pPr>
      <w:r w:rsidRPr="00113AA8">
        <w:rPr>
          <w:strike/>
        </w:rPr>
        <w:t>h)</w:t>
      </w:r>
      <w:r w:rsidRPr="00113AA8">
        <w:rPr>
          <w:b/>
          <w:bCs/>
        </w:rPr>
        <w:t>e)</w:t>
      </w:r>
      <w:r w:rsidRPr="00113AA8">
        <w:tab/>
        <w:t xml:space="preserve">Правилами № 98 ООН; </w:t>
      </w:r>
    </w:p>
    <w:p w14:paraId="4B04418C" w14:textId="7D285B6D" w:rsidR="00F54751" w:rsidRPr="00113AA8" w:rsidRDefault="00F54751" w:rsidP="00F54751">
      <w:pPr>
        <w:pStyle w:val="SingleTxtG"/>
        <w:ind w:left="2835" w:hanging="567"/>
        <w:rPr>
          <w:bCs/>
          <w:iCs/>
        </w:rPr>
      </w:pPr>
      <w:r w:rsidRPr="00113AA8">
        <w:rPr>
          <w:strike/>
        </w:rPr>
        <w:t>i)</w:t>
      </w:r>
      <w:r w:rsidRPr="00113AA8">
        <w:rPr>
          <w:b/>
          <w:bCs/>
        </w:rPr>
        <w:t>f)</w:t>
      </w:r>
      <w:r w:rsidRPr="00113AA8">
        <w:tab/>
        <w:t xml:space="preserve">классом </w:t>
      </w:r>
      <w:r w:rsidRPr="00113AA8">
        <w:rPr>
          <w:strike/>
        </w:rPr>
        <w:t>A,</w:t>
      </w:r>
      <w:r w:rsidRPr="00113AA8">
        <w:t xml:space="preserve"> B, D, CS, DS или ES, предусмотренным Правилами</w:t>
      </w:r>
      <w:r>
        <w:rPr>
          <w:lang w:val="en-US"/>
        </w:rPr>
        <w:t> </w:t>
      </w:r>
      <w:r w:rsidRPr="00113AA8">
        <w:t>№</w:t>
      </w:r>
      <w:r>
        <w:rPr>
          <w:lang w:val="en-US"/>
        </w:rPr>
        <w:t> </w:t>
      </w:r>
      <w:r w:rsidRPr="00113AA8">
        <w:t>149 ООН;</w:t>
      </w:r>
    </w:p>
    <w:p w14:paraId="7D537EF5" w14:textId="77777777" w:rsidR="00F54751" w:rsidRPr="00113AA8" w:rsidRDefault="00F54751" w:rsidP="00F54751">
      <w:pPr>
        <w:pStyle w:val="SingleTxtG"/>
        <w:ind w:left="2835" w:hanging="567"/>
        <w:rPr>
          <w:b/>
        </w:rPr>
      </w:pPr>
      <w:r w:rsidRPr="00113AA8">
        <w:rPr>
          <w:b/>
          <w:bCs/>
        </w:rPr>
        <w:t>g)</w:t>
      </w:r>
      <w:r w:rsidRPr="00113AA8">
        <w:tab/>
      </w:r>
      <w:r w:rsidRPr="00113AA8">
        <w:rPr>
          <w:b/>
          <w:bCs/>
        </w:rPr>
        <w:t>классом А, предусмотренным поправками серии 01 и последующих серий к Правилам № 149 ООН.</w:t>
      </w:r>
    </w:p>
    <w:p w14:paraId="073A7AD0" w14:textId="424C9301" w:rsidR="00F54751" w:rsidRPr="00113AA8" w:rsidRDefault="00F54751" w:rsidP="00F54751">
      <w:pPr>
        <w:pStyle w:val="SingleTxtG"/>
        <w:tabs>
          <w:tab w:val="clear" w:pos="1701"/>
        </w:tabs>
        <w:ind w:left="2268" w:hanging="1134"/>
        <w:rPr>
          <w:bCs/>
        </w:rPr>
      </w:pPr>
      <w:r w:rsidRPr="00113AA8">
        <w:t>6.1.1.2</w:t>
      </w:r>
      <w:r w:rsidRPr="00113AA8">
        <w:tab/>
        <w:t xml:space="preserve">Для мотоциклов с объемом </w:t>
      </w:r>
      <w:proofErr w:type="gramStart"/>
      <w:r w:rsidRPr="00113AA8">
        <w:t>цилиндров &gt;</w:t>
      </w:r>
      <w:proofErr w:type="gramEnd"/>
      <w:r w:rsidR="005B2207">
        <w:rPr>
          <w:lang w:val="en-US"/>
        </w:rPr>
        <w:t> </w:t>
      </w:r>
      <w:r w:rsidRPr="00113AA8">
        <w:t>125 см</w:t>
      </w:r>
      <w:r w:rsidRPr="00113AA8">
        <w:rPr>
          <w:vertAlign w:val="superscript"/>
        </w:rPr>
        <w:t>3</w:t>
      </w:r>
      <w:r w:rsidRPr="00113AA8">
        <w:t xml:space="preserve"> </w:t>
      </w:r>
      <w:r w:rsidRPr="00113AA8">
        <w:rPr>
          <w:b/>
          <w:bCs/>
        </w:rPr>
        <w:t xml:space="preserve">и максимальной мощностью &gt; 11 кВт </w:t>
      </w:r>
      <w:r w:rsidRPr="0068482C">
        <w:rPr>
          <w:vertAlign w:val="superscript"/>
        </w:rPr>
        <w:t>(</w:t>
      </w:r>
      <w:r w:rsidRPr="00113AA8">
        <w:t>*</w:t>
      </w:r>
      <w:r w:rsidRPr="0068482C">
        <w:rPr>
          <w:vertAlign w:val="superscript"/>
        </w:rPr>
        <w:t>)</w:t>
      </w:r>
    </w:p>
    <w:p w14:paraId="69863023" w14:textId="77777777" w:rsidR="00F54751" w:rsidRPr="00113AA8" w:rsidRDefault="00F54751" w:rsidP="00F54751">
      <w:pPr>
        <w:pStyle w:val="SingleTxtG"/>
        <w:ind w:left="2835" w:hanging="567"/>
        <w:rPr>
          <w:bCs/>
        </w:rPr>
      </w:pPr>
      <w:r w:rsidRPr="00113AA8">
        <w:t xml:space="preserve">Одна или две официально утвержденного типа в соответствии с: </w:t>
      </w:r>
    </w:p>
    <w:p w14:paraId="5BF19FDB" w14:textId="77777777" w:rsidR="00F54751" w:rsidRPr="00113AA8" w:rsidRDefault="00F54751" w:rsidP="00F54751">
      <w:pPr>
        <w:pStyle w:val="SingleTxtG"/>
        <w:ind w:left="2835" w:hanging="567"/>
        <w:rPr>
          <w:bCs/>
        </w:rPr>
      </w:pPr>
      <w:r w:rsidRPr="00113AA8">
        <w:t>a)</w:t>
      </w:r>
      <w:r w:rsidRPr="00113AA8">
        <w:tab/>
        <w:t xml:space="preserve">классом D или Е, предусмотренным Правилами № 113 ООН; </w:t>
      </w:r>
    </w:p>
    <w:p w14:paraId="5F8E7909" w14:textId="77777777" w:rsidR="00F54751" w:rsidRPr="00113AA8" w:rsidRDefault="00F54751" w:rsidP="00F54751">
      <w:pPr>
        <w:pStyle w:val="SingleTxtG"/>
        <w:ind w:left="2835" w:hanging="567"/>
        <w:rPr>
          <w:bCs/>
        </w:rPr>
      </w:pPr>
      <w:r w:rsidRPr="00113AA8">
        <w:t>b)</w:t>
      </w:r>
      <w:r w:rsidRPr="00113AA8">
        <w:tab/>
      </w:r>
      <w:r w:rsidRPr="00113AA8">
        <w:rPr>
          <w:b/>
          <w:bCs/>
        </w:rPr>
        <w:t>классом B, предусмотренным</w:t>
      </w:r>
      <w:r w:rsidRPr="00113AA8">
        <w:t xml:space="preserve"> Правилами № 112 ООН;</w:t>
      </w:r>
    </w:p>
    <w:p w14:paraId="77C63E5C" w14:textId="77777777" w:rsidR="00F54751" w:rsidRPr="00113AA8" w:rsidRDefault="00F54751" w:rsidP="00F54751">
      <w:pPr>
        <w:pStyle w:val="SingleTxtG"/>
        <w:ind w:left="2835" w:hanging="567"/>
        <w:rPr>
          <w:bCs/>
          <w:strike/>
        </w:rPr>
      </w:pPr>
      <w:r w:rsidRPr="00113AA8">
        <w:rPr>
          <w:strike/>
        </w:rPr>
        <w:t>c)</w:t>
      </w:r>
      <w:r w:rsidRPr="00113AA8">
        <w:rPr>
          <w:strike/>
        </w:rPr>
        <w:tab/>
        <w:t>Правилами № 1 ООН;</w:t>
      </w:r>
      <w:r w:rsidRPr="00113AA8">
        <w:t xml:space="preserve"> </w:t>
      </w:r>
    </w:p>
    <w:p w14:paraId="0B534570" w14:textId="77777777" w:rsidR="00F54751" w:rsidRPr="00113AA8" w:rsidRDefault="00F54751" w:rsidP="00F54751">
      <w:pPr>
        <w:pStyle w:val="SingleTxtG"/>
        <w:ind w:left="2835" w:hanging="567"/>
        <w:rPr>
          <w:bCs/>
        </w:rPr>
      </w:pPr>
      <w:r w:rsidRPr="00113AA8">
        <w:rPr>
          <w:strike/>
        </w:rPr>
        <w:t>d)</w:t>
      </w:r>
      <w:r w:rsidRPr="00113AA8">
        <w:rPr>
          <w:b/>
          <w:bCs/>
        </w:rPr>
        <w:t>c)</w:t>
      </w:r>
      <w:r w:rsidRPr="00113AA8">
        <w:tab/>
        <w:t xml:space="preserve">Правилами № 8 ООН; </w:t>
      </w:r>
    </w:p>
    <w:p w14:paraId="149B9077" w14:textId="77777777" w:rsidR="00F54751" w:rsidRPr="00113AA8" w:rsidRDefault="00F54751" w:rsidP="00F54751">
      <w:pPr>
        <w:pStyle w:val="SingleTxtG"/>
        <w:ind w:left="2835" w:hanging="567"/>
        <w:rPr>
          <w:bCs/>
        </w:rPr>
      </w:pPr>
      <w:r w:rsidRPr="00113AA8">
        <w:rPr>
          <w:strike/>
        </w:rPr>
        <w:t>e)</w:t>
      </w:r>
      <w:r w:rsidRPr="00113AA8">
        <w:rPr>
          <w:b/>
          <w:bCs/>
        </w:rPr>
        <w:t>d)</w:t>
      </w:r>
      <w:r w:rsidRPr="00113AA8">
        <w:tab/>
        <w:t xml:space="preserve">Правилами № 20 ООН; </w:t>
      </w:r>
    </w:p>
    <w:p w14:paraId="2F01D03E" w14:textId="77777777" w:rsidR="00F54751" w:rsidRPr="00113AA8" w:rsidRDefault="00F54751" w:rsidP="00F54751">
      <w:pPr>
        <w:pStyle w:val="SingleTxtG"/>
        <w:ind w:left="2835" w:hanging="567"/>
        <w:rPr>
          <w:bCs/>
          <w:strike/>
        </w:rPr>
      </w:pPr>
      <w:r w:rsidRPr="00113AA8">
        <w:rPr>
          <w:strike/>
        </w:rPr>
        <w:t>f)</w:t>
      </w:r>
      <w:r w:rsidRPr="00113AA8">
        <w:rPr>
          <w:strike/>
        </w:rPr>
        <w:tab/>
        <w:t>Правилами № 72 ООН;</w:t>
      </w:r>
      <w:r w:rsidRPr="00113AA8">
        <w:t xml:space="preserve"> </w:t>
      </w:r>
    </w:p>
    <w:p w14:paraId="739E9809" w14:textId="77777777" w:rsidR="00F54751" w:rsidRPr="00113AA8" w:rsidRDefault="00F54751" w:rsidP="00F54751">
      <w:pPr>
        <w:pStyle w:val="SingleTxtG"/>
        <w:ind w:left="2835" w:hanging="567"/>
        <w:rPr>
          <w:bCs/>
        </w:rPr>
      </w:pPr>
      <w:r w:rsidRPr="00113AA8">
        <w:rPr>
          <w:strike/>
        </w:rPr>
        <w:t>g)</w:t>
      </w:r>
      <w:r w:rsidRPr="00113AA8">
        <w:rPr>
          <w:b/>
          <w:bCs/>
        </w:rPr>
        <w:t>e)</w:t>
      </w:r>
      <w:r w:rsidRPr="00113AA8">
        <w:tab/>
        <w:t xml:space="preserve">Правилами № 98 ООН; </w:t>
      </w:r>
    </w:p>
    <w:p w14:paraId="263B9658" w14:textId="77777777" w:rsidR="00F54751" w:rsidRPr="00113AA8" w:rsidRDefault="00F54751" w:rsidP="00F54751">
      <w:pPr>
        <w:pStyle w:val="SingleTxtG"/>
        <w:ind w:left="2835" w:hanging="567"/>
        <w:rPr>
          <w:bCs/>
        </w:rPr>
      </w:pPr>
      <w:r w:rsidRPr="00113AA8">
        <w:rPr>
          <w:strike/>
        </w:rPr>
        <w:t>h)</w:t>
      </w:r>
      <w:r w:rsidRPr="00113AA8">
        <w:rPr>
          <w:b/>
          <w:bCs/>
        </w:rPr>
        <w:t>f)</w:t>
      </w:r>
      <w:r w:rsidRPr="00113AA8">
        <w:tab/>
        <w:t xml:space="preserve">классом </w:t>
      </w:r>
      <w:r w:rsidRPr="00113AA8">
        <w:rPr>
          <w:strike/>
        </w:rPr>
        <w:t>A,</w:t>
      </w:r>
      <w:r w:rsidRPr="00113AA8">
        <w:t xml:space="preserve"> B, D, DS или ES, предусмотренным Правилами № 149 ООН. </w:t>
      </w:r>
    </w:p>
    <w:p w14:paraId="57037839" w14:textId="77777777" w:rsidR="00F54751" w:rsidRPr="00113AA8" w:rsidRDefault="00F54751" w:rsidP="00F54751">
      <w:pPr>
        <w:pStyle w:val="SingleTxtG"/>
        <w:ind w:left="2835" w:hanging="567"/>
        <w:rPr>
          <w:b/>
        </w:rPr>
      </w:pPr>
      <w:r w:rsidRPr="00113AA8">
        <w:rPr>
          <w:b/>
          <w:bCs/>
        </w:rPr>
        <w:t>g)</w:t>
      </w:r>
      <w:r w:rsidRPr="00113AA8">
        <w:tab/>
      </w:r>
      <w:r w:rsidRPr="00113AA8">
        <w:rPr>
          <w:b/>
          <w:bCs/>
        </w:rPr>
        <w:t>классом А, предусмотренным поправками серии 01 и последующих серий к Правилам № 149 ООН.</w:t>
      </w:r>
    </w:p>
    <w:p w14:paraId="3B27FCC5" w14:textId="77777777" w:rsidR="00F54751" w:rsidRPr="00113AA8" w:rsidRDefault="00F54751" w:rsidP="00F54751">
      <w:pPr>
        <w:pStyle w:val="SingleTxtG"/>
        <w:ind w:left="2835" w:hanging="567"/>
        <w:rPr>
          <w:bCs/>
        </w:rPr>
      </w:pPr>
      <w:r w:rsidRPr="00113AA8">
        <w:t xml:space="preserve">Две официально утвержденного типа в соответствии с: </w:t>
      </w:r>
    </w:p>
    <w:p w14:paraId="0818F826" w14:textId="1A812EC7" w:rsidR="00F54751" w:rsidRPr="00113AA8" w:rsidRDefault="00F54751" w:rsidP="00F54751">
      <w:pPr>
        <w:pStyle w:val="SingleTxtG"/>
        <w:ind w:left="2835" w:hanging="567"/>
        <w:rPr>
          <w:bCs/>
        </w:rPr>
      </w:pPr>
      <w:r w:rsidRPr="00113AA8">
        <w:rPr>
          <w:strike/>
        </w:rPr>
        <w:t>i)</w:t>
      </w:r>
      <w:r w:rsidRPr="00113AA8">
        <w:rPr>
          <w:b/>
          <w:bCs/>
        </w:rPr>
        <w:t>h)</w:t>
      </w:r>
      <w:r w:rsidRPr="00113AA8">
        <w:tab/>
        <w:t xml:space="preserve">классом C, предусмотренным Правилами № 113 ООН; </w:t>
      </w:r>
    </w:p>
    <w:p w14:paraId="40F47078" w14:textId="77777777" w:rsidR="00F54751" w:rsidRPr="00113AA8" w:rsidRDefault="00F54751" w:rsidP="00F54751">
      <w:pPr>
        <w:pStyle w:val="SingleTxtG"/>
        <w:ind w:left="2835" w:hanging="567"/>
        <w:rPr>
          <w:bCs/>
          <w:sz w:val="28"/>
        </w:rPr>
      </w:pPr>
      <w:r w:rsidRPr="00113AA8">
        <w:rPr>
          <w:strike/>
        </w:rPr>
        <w:t>j)</w:t>
      </w:r>
      <w:r w:rsidRPr="00113AA8">
        <w:rPr>
          <w:b/>
          <w:bCs/>
        </w:rPr>
        <w:t>i)</w:t>
      </w:r>
      <w:r w:rsidRPr="00113AA8">
        <w:tab/>
        <w:t xml:space="preserve">классом CS, предусмотренным Правилами № 149 ООН. </w:t>
      </w:r>
    </w:p>
    <w:p w14:paraId="7C8B7AF0" w14:textId="77777777" w:rsidR="00F54751" w:rsidRPr="00113AA8" w:rsidRDefault="00F54751" w:rsidP="00F54751">
      <w:pPr>
        <w:tabs>
          <w:tab w:val="right" w:pos="2155"/>
        </w:tabs>
        <w:spacing w:after="80"/>
        <w:ind w:left="709"/>
        <w:rPr>
          <w:bCs/>
          <w:u w:val="single"/>
        </w:rPr>
      </w:pPr>
      <w:r w:rsidRPr="00113AA8">
        <w:rPr>
          <w:bCs/>
          <w:u w:val="single"/>
        </w:rPr>
        <w:tab/>
      </w:r>
      <w:r w:rsidRPr="00113AA8">
        <w:rPr>
          <w:bCs/>
          <w:u w:val="single"/>
        </w:rPr>
        <w:tab/>
      </w:r>
      <w:r w:rsidRPr="00113AA8">
        <w:rPr>
          <w:bCs/>
          <w:u w:val="single"/>
        </w:rPr>
        <w:tab/>
      </w:r>
    </w:p>
    <w:p w14:paraId="0DF8571B" w14:textId="38D272A6" w:rsidR="00F54751" w:rsidRPr="00113AA8" w:rsidRDefault="00F54751" w:rsidP="00F54751">
      <w:pPr>
        <w:pStyle w:val="ad"/>
        <w:spacing w:after="120"/>
        <w:ind w:right="1133"/>
      </w:pPr>
      <w:r w:rsidRPr="00113AA8">
        <w:tab/>
      </w:r>
      <w:r w:rsidRPr="00F54751">
        <w:rPr>
          <w:sz w:val="20"/>
          <w:szCs w:val="22"/>
        </w:rPr>
        <w:t>*</w:t>
      </w:r>
      <w:r w:rsidRPr="00113AA8">
        <w:tab/>
      </w:r>
      <w:r w:rsidRPr="00BF4C68">
        <w:rPr>
          <w:b/>
          <w:bCs/>
        </w:rPr>
        <w:t>Предельные значения мощности основаны на номинальной максимальной мощности в</w:t>
      </w:r>
      <w:r w:rsidR="00BF4C68">
        <w:rPr>
          <w:b/>
          <w:bCs/>
          <w:lang w:val="en-US"/>
        </w:rPr>
        <w:t> </w:t>
      </w:r>
      <w:r w:rsidRPr="00BF4C68">
        <w:rPr>
          <w:b/>
          <w:bCs/>
        </w:rPr>
        <w:t>режиме длительной нагрузки для транспортных средств на электрической тяге и</w:t>
      </w:r>
      <w:r w:rsidR="00BF4C68">
        <w:rPr>
          <w:b/>
          <w:bCs/>
          <w:lang w:val="en-US"/>
        </w:rPr>
        <w:t> </w:t>
      </w:r>
      <w:r w:rsidRPr="00BF4C68">
        <w:rPr>
          <w:b/>
          <w:bCs/>
        </w:rPr>
        <w:t>максимальной эффективной мощности для транспортных средств с двигателем внутреннего сгорания</w:t>
      </w:r>
      <w:r w:rsidRPr="00113AA8">
        <w:t>».</w:t>
      </w:r>
    </w:p>
    <w:p w14:paraId="6FA20A45" w14:textId="77777777" w:rsidR="00F54751" w:rsidRPr="00113AA8" w:rsidRDefault="00F54751" w:rsidP="00F54751">
      <w:pPr>
        <w:pStyle w:val="SingleTxtG"/>
        <w:keepNext/>
        <w:tabs>
          <w:tab w:val="clear" w:pos="1701"/>
        </w:tabs>
        <w:rPr>
          <w:bCs/>
          <w:i/>
          <w:iCs/>
        </w:rPr>
      </w:pPr>
      <w:r w:rsidRPr="00113AA8">
        <w:rPr>
          <w:i/>
          <w:iCs/>
        </w:rPr>
        <w:lastRenderedPageBreak/>
        <w:t>Пункт 6.2.1</w:t>
      </w:r>
      <w:r w:rsidRPr="00113AA8">
        <w:t xml:space="preserve"> изменить следующим образом: </w:t>
      </w:r>
    </w:p>
    <w:p w14:paraId="3670D933" w14:textId="77777777" w:rsidR="00F54751" w:rsidRPr="00113AA8" w:rsidRDefault="00F54751" w:rsidP="00F54751">
      <w:pPr>
        <w:pStyle w:val="SingleTxtG"/>
        <w:keepNext/>
        <w:tabs>
          <w:tab w:val="clear" w:pos="1701"/>
        </w:tabs>
        <w:rPr>
          <w:bCs/>
        </w:rPr>
      </w:pPr>
      <w:r w:rsidRPr="00113AA8">
        <w:t>«6.2.1</w:t>
      </w:r>
      <w:r w:rsidRPr="00113AA8">
        <w:tab/>
        <w:t>Число:</w:t>
      </w:r>
    </w:p>
    <w:p w14:paraId="2249552B" w14:textId="77777777" w:rsidR="00F54751" w:rsidRPr="00113AA8" w:rsidRDefault="00F54751" w:rsidP="008F79BC">
      <w:pPr>
        <w:pStyle w:val="SingleTxtG"/>
        <w:tabs>
          <w:tab w:val="clear" w:pos="1701"/>
        </w:tabs>
        <w:ind w:left="2268" w:hanging="1134"/>
        <w:rPr>
          <w:bCs/>
        </w:rPr>
      </w:pPr>
      <w:r w:rsidRPr="00113AA8">
        <w:t>6.2.1.1</w:t>
      </w:r>
      <w:r w:rsidRPr="00113AA8">
        <w:tab/>
        <w:t>Для мотоциклов с объемом цилиндра ≤ 125 см</w:t>
      </w:r>
      <w:r w:rsidRPr="00113AA8">
        <w:rPr>
          <w:vertAlign w:val="superscript"/>
        </w:rPr>
        <w:t>3</w:t>
      </w:r>
      <w:r w:rsidRPr="00113AA8">
        <w:t xml:space="preserve"> </w:t>
      </w:r>
      <w:r w:rsidRPr="00113AA8">
        <w:rPr>
          <w:b/>
          <w:bCs/>
        </w:rPr>
        <w:t>и максимальной мощностью ≤ 11 кВт</w:t>
      </w:r>
      <w:r w:rsidRPr="00113AA8">
        <w:t xml:space="preserve"> </w:t>
      </w:r>
      <w:r w:rsidRPr="0069542F">
        <w:rPr>
          <w:vertAlign w:val="superscript"/>
        </w:rPr>
        <w:t>(</w:t>
      </w:r>
      <w:r w:rsidRPr="00113AA8">
        <w:t>*</w:t>
      </w:r>
      <w:r w:rsidRPr="0069542F">
        <w:rPr>
          <w:vertAlign w:val="superscript"/>
        </w:rPr>
        <w:t>)</w:t>
      </w:r>
    </w:p>
    <w:p w14:paraId="72550BB7" w14:textId="77777777" w:rsidR="00F54751" w:rsidRPr="00113AA8" w:rsidRDefault="00F54751" w:rsidP="00F54751">
      <w:pPr>
        <w:pStyle w:val="SingleTxtG"/>
        <w:ind w:left="2835" w:hanging="567"/>
        <w:rPr>
          <w:bCs/>
        </w:rPr>
      </w:pPr>
      <w:r w:rsidRPr="00113AA8">
        <w:t>Одна или две официально утвержденного типа в соответствии с:</w:t>
      </w:r>
    </w:p>
    <w:p w14:paraId="43AF550E" w14:textId="77777777" w:rsidR="00F54751" w:rsidRPr="00113AA8" w:rsidRDefault="00F54751" w:rsidP="00F54751">
      <w:pPr>
        <w:pStyle w:val="SingleTxtG"/>
        <w:ind w:left="2835" w:hanging="567"/>
        <w:rPr>
          <w:bCs/>
        </w:rPr>
      </w:pPr>
      <w:r w:rsidRPr="00113AA8">
        <w:t>a)</w:t>
      </w:r>
      <w:r w:rsidRPr="00113AA8">
        <w:tab/>
        <w:t>классом C, D или Е, предусмотренным Правилами № 113 ООН;</w:t>
      </w:r>
    </w:p>
    <w:p w14:paraId="385ED161" w14:textId="77777777" w:rsidR="00F54751" w:rsidRPr="00113AA8" w:rsidRDefault="00F54751" w:rsidP="00F54751">
      <w:pPr>
        <w:pStyle w:val="SingleTxtG"/>
        <w:ind w:left="2835" w:hanging="567"/>
        <w:rPr>
          <w:bCs/>
        </w:rPr>
      </w:pPr>
      <w:r w:rsidRPr="00113AA8">
        <w:t>b)</w:t>
      </w:r>
      <w:r w:rsidRPr="00113AA8">
        <w:tab/>
      </w:r>
      <w:r w:rsidRPr="00113AA8">
        <w:rPr>
          <w:b/>
          <w:bCs/>
        </w:rPr>
        <w:t>классом B, предусмотренным</w:t>
      </w:r>
      <w:r w:rsidRPr="00113AA8">
        <w:t xml:space="preserve"> Правилами № 112 ООН;</w:t>
      </w:r>
    </w:p>
    <w:p w14:paraId="2893412B" w14:textId="77777777" w:rsidR="00F54751" w:rsidRPr="00113AA8" w:rsidRDefault="00F54751" w:rsidP="00F54751">
      <w:pPr>
        <w:pStyle w:val="SingleTxtG"/>
        <w:ind w:left="2835" w:hanging="567"/>
        <w:rPr>
          <w:bCs/>
        </w:rPr>
      </w:pPr>
      <w:r w:rsidRPr="00113AA8">
        <w:rPr>
          <w:strike/>
        </w:rPr>
        <w:t>c)</w:t>
      </w:r>
      <w:r w:rsidRPr="00113AA8">
        <w:rPr>
          <w:strike/>
        </w:rPr>
        <w:tab/>
        <w:t>Правилами № 1 ООН;</w:t>
      </w:r>
    </w:p>
    <w:p w14:paraId="3437DAAD" w14:textId="77777777" w:rsidR="00F54751" w:rsidRPr="00113AA8" w:rsidRDefault="00F54751" w:rsidP="00F54751">
      <w:pPr>
        <w:pStyle w:val="SingleTxtG"/>
        <w:ind w:left="2835" w:hanging="567"/>
        <w:rPr>
          <w:bCs/>
        </w:rPr>
      </w:pPr>
      <w:r w:rsidRPr="00113AA8">
        <w:rPr>
          <w:strike/>
        </w:rPr>
        <w:t>d)</w:t>
      </w:r>
      <w:r w:rsidRPr="00113AA8">
        <w:rPr>
          <w:b/>
          <w:bCs/>
        </w:rPr>
        <w:t>c)</w:t>
      </w:r>
      <w:r w:rsidRPr="00113AA8">
        <w:tab/>
        <w:t>Правилами № 8 ООН;</w:t>
      </w:r>
    </w:p>
    <w:p w14:paraId="5DCCE055" w14:textId="77777777" w:rsidR="00F54751" w:rsidRPr="00113AA8" w:rsidRDefault="00F54751" w:rsidP="00F54751">
      <w:pPr>
        <w:pStyle w:val="SingleTxtG"/>
        <w:ind w:left="2835" w:hanging="567"/>
        <w:rPr>
          <w:bCs/>
        </w:rPr>
      </w:pPr>
      <w:r w:rsidRPr="00113AA8">
        <w:rPr>
          <w:strike/>
        </w:rPr>
        <w:t>e)</w:t>
      </w:r>
      <w:r w:rsidRPr="00113AA8">
        <w:rPr>
          <w:b/>
          <w:bCs/>
        </w:rPr>
        <w:t>d)</w:t>
      </w:r>
      <w:r w:rsidRPr="00113AA8">
        <w:tab/>
        <w:t>Правилами № 20 ООН;</w:t>
      </w:r>
    </w:p>
    <w:p w14:paraId="17C713A5" w14:textId="77777777" w:rsidR="00F54751" w:rsidRPr="00113AA8" w:rsidRDefault="00F54751" w:rsidP="00D62ED3">
      <w:pPr>
        <w:pStyle w:val="SingleTxtG"/>
        <w:tabs>
          <w:tab w:val="clear" w:pos="1701"/>
        </w:tabs>
        <w:ind w:left="2835" w:hanging="567"/>
        <w:rPr>
          <w:bCs/>
          <w:strike/>
        </w:rPr>
      </w:pPr>
      <w:r w:rsidRPr="00113AA8">
        <w:rPr>
          <w:strike/>
        </w:rPr>
        <w:t>f)</w:t>
      </w:r>
      <w:r w:rsidRPr="00113AA8">
        <w:rPr>
          <w:strike/>
        </w:rPr>
        <w:tab/>
        <w:t>Правилами № 57 ООН;</w:t>
      </w:r>
    </w:p>
    <w:p w14:paraId="4B495098" w14:textId="77777777" w:rsidR="00F54751" w:rsidRPr="00113AA8" w:rsidRDefault="00F54751" w:rsidP="00D62ED3">
      <w:pPr>
        <w:pStyle w:val="SingleTxtG"/>
        <w:tabs>
          <w:tab w:val="clear" w:pos="1701"/>
        </w:tabs>
        <w:ind w:left="2835" w:hanging="567"/>
        <w:rPr>
          <w:bCs/>
        </w:rPr>
      </w:pPr>
      <w:r w:rsidRPr="00113AA8">
        <w:rPr>
          <w:strike/>
        </w:rPr>
        <w:t>g)</w:t>
      </w:r>
      <w:r w:rsidRPr="00113AA8">
        <w:rPr>
          <w:strike/>
        </w:rPr>
        <w:tab/>
        <w:t>Правилами № 72 ООН;</w:t>
      </w:r>
    </w:p>
    <w:p w14:paraId="56A5C523" w14:textId="77777777" w:rsidR="00F54751" w:rsidRPr="00113AA8" w:rsidRDefault="00F54751" w:rsidP="00F54751">
      <w:pPr>
        <w:pStyle w:val="SingleTxtG"/>
        <w:ind w:left="2835" w:hanging="567"/>
        <w:rPr>
          <w:bCs/>
        </w:rPr>
      </w:pPr>
      <w:proofErr w:type="gramStart"/>
      <w:r w:rsidRPr="00113AA8">
        <w:rPr>
          <w:strike/>
        </w:rPr>
        <w:t>h)</w:t>
      </w:r>
      <w:r w:rsidRPr="00113AA8">
        <w:rPr>
          <w:b/>
          <w:bCs/>
        </w:rPr>
        <w:t>e</w:t>
      </w:r>
      <w:proofErr w:type="gramEnd"/>
      <w:r w:rsidRPr="00113AA8">
        <w:rPr>
          <w:b/>
          <w:bCs/>
        </w:rPr>
        <w:t>)</w:t>
      </w:r>
      <w:r w:rsidRPr="00113AA8">
        <w:tab/>
        <w:t>Правилами № 98 ООН;</w:t>
      </w:r>
    </w:p>
    <w:p w14:paraId="3088BB77" w14:textId="2BEAB9CB" w:rsidR="00F54751" w:rsidRPr="00113AA8" w:rsidRDefault="00F54751" w:rsidP="00F54751">
      <w:pPr>
        <w:pStyle w:val="SingleTxtG"/>
        <w:ind w:left="2835" w:hanging="567"/>
        <w:rPr>
          <w:bCs/>
        </w:rPr>
      </w:pPr>
      <w:r w:rsidRPr="00113AA8">
        <w:rPr>
          <w:strike/>
        </w:rPr>
        <w:t>i)</w:t>
      </w:r>
      <w:r w:rsidRPr="00113AA8">
        <w:rPr>
          <w:b/>
          <w:bCs/>
        </w:rPr>
        <w:t>f)</w:t>
      </w:r>
      <w:r w:rsidRPr="00113AA8">
        <w:tab/>
        <w:t xml:space="preserve">классом </w:t>
      </w:r>
      <w:r w:rsidRPr="00113AA8">
        <w:rPr>
          <w:strike/>
        </w:rPr>
        <w:t>A,</w:t>
      </w:r>
      <w:r w:rsidRPr="00113AA8">
        <w:t xml:space="preserve"> B, D, CS, DS или ES, предусмотренным Правилами</w:t>
      </w:r>
      <w:r>
        <w:rPr>
          <w:lang w:val="en-US"/>
        </w:rPr>
        <w:t> </w:t>
      </w:r>
      <w:r w:rsidRPr="00113AA8">
        <w:t>№</w:t>
      </w:r>
      <w:r>
        <w:rPr>
          <w:lang w:val="en-US"/>
        </w:rPr>
        <w:t> </w:t>
      </w:r>
      <w:r w:rsidRPr="00113AA8">
        <w:t>149 ООН;</w:t>
      </w:r>
    </w:p>
    <w:p w14:paraId="088C7F5A" w14:textId="77777777" w:rsidR="00F54751" w:rsidRPr="00113AA8" w:rsidRDefault="00F54751" w:rsidP="00F54751">
      <w:pPr>
        <w:pStyle w:val="SingleTxtG"/>
        <w:ind w:left="2835" w:hanging="567"/>
        <w:rPr>
          <w:b/>
          <w:bCs/>
          <w:color w:val="000000"/>
        </w:rPr>
      </w:pPr>
      <w:r w:rsidRPr="00113AA8">
        <w:rPr>
          <w:strike/>
        </w:rPr>
        <w:t>j)</w:t>
      </w:r>
      <w:r w:rsidRPr="00113AA8">
        <w:rPr>
          <w:b/>
          <w:bCs/>
        </w:rPr>
        <w:t>g)</w:t>
      </w:r>
      <w:r w:rsidRPr="00113AA8">
        <w:tab/>
        <w:t>классом C или V, предусмотренным поправками серии 01 и последующих серий к Правилам № 149 ООН.</w:t>
      </w:r>
    </w:p>
    <w:p w14:paraId="10FE5F3D" w14:textId="70BAD261" w:rsidR="00F54751" w:rsidRPr="00113AA8" w:rsidRDefault="00F54751" w:rsidP="00D62ED3">
      <w:pPr>
        <w:pStyle w:val="SingleTxtG"/>
        <w:tabs>
          <w:tab w:val="clear" w:pos="1701"/>
        </w:tabs>
        <w:ind w:left="2268" w:hanging="1134"/>
        <w:rPr>
          <w:color w:val="000000"/>
        </w:rPr>
      </w:pPr>
      <w:r w:rsidRPr="00113AA8">
        <w:t>6.2.1.2</w:t>
      </w:r>
      <w:r w:rsidRPr="00113AA8">
        <w:tab/>
        <w:t xml:space="preserve">Для мотоциклов с объемом </w:t>
      </w:r>
      <w:proofErr w:type="gramStart"/>
      <w:r w:rsidRPr="00113AA8">
        <w:t>цилиндров &gt;</w:t>
      </w:r>
      <w:proofErr w:type="gramEnd"/>
      <w:r w:rsidR="00D62ED3">
        <w:rPr>
          <w:lang w:val="en-US"/>
        </w:rPr>
        <w:t> </w:t>
      </w:r>
      <w:r w:rsidRPr="00113AA8">
        <w:t>125 см</w:t>
      </w:r>
      <w:r w:rsidRPr="00113AA8">
        <w:rPr>
          <w:vertAlign w:val="superscript"/>
        </w:rPr>
        <w:t>3</w:t>
      </w:r>
      <w:r w:rsidRPr="00113AA8">
        <w:t xml:space="preserve"> </w:t>
      </w:r>
      <w:r w:rsidRPr="00113AA8">
        <w:rPr>
          <w:b/>
          <w:bCs/>
        </w:rPr>
        <w:t xml:space="preserve">и максимальной мощностью &gt; 11 кВт </w:t>
      </w:r>
      <w:r w:rsidRPr="00D62ED3">
        <w:rPr>
          <w:vertAlign w:val="superscript"/>
        </w:rPr>
        <w:t>(</w:t>
      </w:r>
      <w:r w:rsidRPr="00113AA8">
        <w:t>*</w:t>
      </w:r>
      <w:r w:rsidRPr="00D62ED3">
        <w:rPr>
          <w:vertAlign w:val="superscript"/>
        </w:rPr>
        <w:t>)</w:t>
      </w:r>
    </w:p>
    <w:p w14:paraId="09985BD7" w14:textId="77777777" w:rsidR="00F54751" w:rsidRPr="00113AA8" w:rsidRDefault="00F54751" w:rsidP="00F54751">
      <w:pPr>
        <w:pStyle w:val="SingleTxtG"/>
        <w:ind w:left="2835" w:hanging="567"/>
        <w:rPr>
          <w:color w:val="000000"/>
        </w:rPr>
      </w:pPr>
      <w:r w:rsidRPr="00113AA8">
        <w:t xml:space="preserve">Одна или две официально утвержденного типа в соответствии с: </w:t>
      </w:r>
    </w:p>
    <w:p w14:paraId="3507EED2" w14:textId="77777777" w:rsidR="00F54751" w:rsidRPr="00113AA8" w:rsidRDefault="00F54751" w:rsidP="00F54751">
      <w:pPr>
        <w:pStyle w:val="SingleTxtG"/>
        <w:ind w:left="2835" w:hanging="567"/>
      </w:pPr>
      <w:r w:rsidRPr="00113AA8">
        <w:t>a)</w:t>
      </w:r>
      <w:r w:rsidRPr="00113AA8">
        <w:tab/>
        <w:t xml:space="preserve">классом D или Е, предусмотренным Правилами № 113 ООН; </w:t>
      </w:r>
    </w:p>
    <w:p w14:paraId="0C61AC1C" w14:textId="77777777" w:rsidR="00F54751" w:rsidRPr="00113AA8" w:rsidRDefault="00F54751" w:rsidP="00F54751">
      <w:pPr>
        <w:pStyle w:val="SingleTxtG"/>
        <w:ind w:left="2835" w:hanging="567"/>
      </w:pPr>
      <w:r w:rsidRPr="00113AA8">
        <w:t>b)</w:t>
      </w:r>
      <w:r w:rsidRPr="00113AA8">
        <w:tab/>
      </w:r>
      <w:r w:rsidRPr="00113AA8">
        <w:rPr>
          <w:b/>
          <w:bCs/>
        </w:rPr>
        <w:t>классом B, предусмотренным</w:t>
      </w:r>
      <w:r w:rsidRPr="00113AA8">
        <w:t xml:space="preserve"> Правилами № 112 ООН;</w:t>
      </w:r>
    </w:p>
    <w:p w14:paraId="1A145C08" w14:textId="77777777" w:rsidR="00F54751" w:rsidRPr="00113AA8" w:rsidRDefault="00F54751" w:rsidP="00F54751">
      <w:pPr>
        <w:pStyle w:val="SingleTxtG"/>
        <w:ind w:left="2835" w:hanging="567"/>
        <w:rPr>
          <w:strike/>
        </w:rPr>
      </w:pPr>
      <w:r w:rsidRPr="00113AA8">
        <w:rPr>
          <w:strike/>
        </w:rPr>
        <w:t>c)</w:t>
      </w:r>
      <w:r w:rsidRPr="00113AA8">
        <w:rPr>
          <w:strike/>
        </w:rPr>
        <w:tab/>
        <w:t>Правилами № 1 ООН;</w:t>
      </w:r>
      <w:r w:rsidRPr="00113AA8">
        <w:t xml:space="preserve"> </w:t>
      </w:r>
    </w:p>
    <w:p w14:paraId="1A1B58AE" w14:textId="77777777" w:rsidR="00F54751" w:rsidRPr="00113AA8" w:rsidRDefault="00F54751" w:rsidP="00F54751">
      <w:pPr>
        <w:pStyle w:val="SingleTxtG"/>
        <w:ind w:left="2835" w:hanging="567"/>
      </w:pPr>
      <w:r w:rsidRPr="00113AA8">
        <w:rPr>
          <w:strike/>
        </w:rPr>
        <w:t>d)</w:t>
      </w:r>
      <w:r w:rsidRPr="00113AA8">
        <w:rPr>
          <w:b/>
          <w:bCs/>
        </w:rPr>
        <w:t>c)</w:t>
      </w:r>
      <w:r w:rsidRPr="00113AA8">
        <w:tab/>
        <w:t xml:space="preserve">Правилами № 8 ООН; </w:t>
      </w:r>
    </w:p>
    <w:p w14:paraId="2625C069" w14:textId="77777777" w:rsidR="00F54751" w:rsidRPr="00113AA8" w:rsidRDefault="00F54751" w:rsidP="00F54751">
      <w:pPr>
        <w:pStyle w:val="SingleTxtG"/>
        <w:ind w:left="2835" w:hanging="567"/>
      </w:pPr>
      <w:r w:rsidRPr="00113AA8">
        <w:rPr>
          <w:strike/>
        </w:rPr>
        <w:t>e)</w:t>
      </w:r>
      <w:r w:rsidRPr="00113AA8">
        <w:rPr>
          <w:b/>
          <w:bCs/>
        </w:rPr>
        <w:t>d)</w:t>
      </w:r>
      <w:r w:rsidRPr="00113AA8">
        <w:tab/>
        <w:t xml:space="preserve">Правилами № 20 ООН; </w:t>
      </w:r>
    </w:p>
    <w:p w14:paraId="115354A3" w14:textId="77777777" w:rsidR="00F54751" w:rsidRPr="00113AA8" w:rsidRDefault="00F54751" w:rsidP="00F54751">
      <w:pPr>
        <w:pStyle w:val="SingleTxtG"/>
        <w:ind w:left="2835" w:hanging="567"/>
        <w:rPr>
          <w:strike/>
        </w:rPr>
      </w:pPr>
      <w:r w:rsidRPr="00113AA8">
        <w:rPr>
          <w:strike/>
        </w:rPr>
        <w:t>f)</w:t>
      </w:r>
      <w:r w:rsidRPr="00113AA8">
        <w:rPr>
          <w:strike/>
        </w:rPr>
        <w:tab/>
        <w:t>Правилами № 72 ООН;</w:t>
      </w:r>
      <w:r w:rsidRPr="00113AA8">
        <w:t xml:space="preserve"> </w:t>
      </w:r>
    </w:p>
    <w:p w14:paraId="44E2B88C" w14:textId="77777777" w:rsidR="00F54751" w:rsidRPr="00113AA8" w:rsidRDefault="00F54751" w:rsidP="00F54751">
      <w:pPr>
        <w:pStyle w:val="SingleTxtG"/>
        <w:ind w:left="2835" w:hanging="567"/>
      </w:pPr>
      <w:r w:rsidRPr="00113AA8">
        <w:rPr>
          <w:strike/>
        </w:rPr>
        <w:t>g)</w:t>
      </w:r>
      <w:r w:rsidRPr="00113AA8">
        <w:rPr>
          <w:b/>
          <w:bCs/>
        </w:rPr>
        <w:t>e)</w:t>
      </w:r>
      <w:r w:rsidRPr="00113AA8">
        <w:tab/>
        <w:t xml:space="preserve">Правилами № 98 ООН; </w:t>
      </w:r>
    </w:p>
    <w:p w14:paraId="48CEA9B3" w14:textId="77777777" w:rsidR="00F54751" w:rsidRPr="00113AA8" w:rsidRDefault="00F54751" w:rsidP="00F54751">
      <w:pPr>
        <w:pStyle w:val="SingleTxtG"/>
        <w:ind w:left="2835" w:hanging="567"/>
      </w:pPr>
      <w:r w:rsidRPr="00113AA8">
        <w:rPr>
          <w:strike/>
        </w:rPr>
        <w:t>h)</w:t>
      </w:r>
      <w:r w:rsidRPr="00113AA8">
        <w:rPr>
          <w:b/>
          <w:bCs/>
        </w:rPr>
        <w:t>f)</w:t>
      </w:r>
      <w:r w:rsidRPr="00113AA8">
        <w:tab/>
        <w:t xml:space="preserve">классом </w:t>
      </w:r>
      <w:r w:rsidRPr="00113AA8">
        <w:rPr>
          <w:strike/>
        </w:rPr>
        <w:t>A,</w:t>
      </w:r>
      <w:r w:rsidRPr="00113AA8">
        <w:t xml:space="preserve"> B, D, DS или ES, предусмотренным Правилами № 149 ООН;</w:t>
      </w:r>
    </w:p>
    <w:p w14:paraId="3B5125DF" w14:textId="77777777" w:rsidR="00F54751" w:rsidRPr="00113AA8" w:rsidRDefault="00F54751" w:rsidP="00F54751">
      <w:pPr>
        <w:pStyle w:val="SingleTxtG"/>
        <w:ind w:left="2835" w:hanging="567"/>
      </w:pPr>
      <w:r w:rsidRPr="00113AA8">
        <w:rPr>
          <w:strike/>
        </w:rPr>
        <w:t>i)</w:t>
      </w:r>
      <w:r w:rsidRPr="00113AA8">
        <w:rPr>
          <w:b/>
          <w:bCs/>
        </w:rPr>
        <w:t>g)</w:t>
      </w:r>
      <w:r w:rsidRPr="00113AA8">
        <w:tab/>
        <w:t xml:space="preserve">классом C или V, предусмотренным поправками серии 01 и последующих серий к Правилам № 149 ООН. </w:t>
      </w:r>
    </w:p>
    <w:p w14:paraId="3326C0CB" w14:textId="77777777" w:rsidR="00F54751" w:rsidRPr="00113AA8" w:rsidRDefault="00F54751" w:rsidP="00F54751">
      <w:pPr>
        <w:pStyle w:val="SingleTxtG"/>
        <w:ind w:left="2835" w:hanging="567"/>
      </w:pPr>
      <w:r w:rsidRPr="00113AA8">
        <w:t xml:space="preserve">Две официально утвержденного типа в соответствии с: </w:t>
      </w:r>
    </w:p>
    <w:p w14:paraId="70BEEAFC" w14:textId="283653F0" w:rsidR="00F54751" w:rsidRPr="00113AA8" w:rsidRDefault="00F54751" w:rsidP="00F54751">
      <w:pPr>
        <w:pStyle w:val="SingleTxtG"/>
        <w:ind w:left="2835" w:hanging="567"/>
      </w:pPr>
      <w:proofErr w:type="gramStart"/>
      <w:r w:rsidRPr="00113AA8">
        <w:rPr>
          <w:strike/>
        </w:rPr>
        <w:t>j)</w:t>
      </w:r>
      <w:r w:rsidRPr="00113AA8">
        <w:rPr>
          <w:b/>
          <w:bCs/>
        </w:rPr>
        <w:t>h</w:t>
      </w:r>
      <w:proofErr w:type="gramEnd"/>
      <w:r w:rsidRPr="00113AA8">
        <w:rPr>
          <w:b/>
          <w:bCs/>
        </w:rPr>
        <w:t>)</w:t>
      </w:r>
      <w:r w:rsidRPr="00113AA8">
        <w:tab/>
        <w:t xml:space="preserve">классом C, предусмотренным Правилами № 113 ООН; </w:t>
      </w:r>
    </w:p>
    <w:p w14:paraId="6749AB13" w14:textId="77777777" w:rsidR="00F54751" w:rsidRPr="00113AA8" w:rsidRDefault="00F54751" w:rsidP="00F54751">
      <w:pPr>
        <w:pStyle w:val="SingleTxtG"/>
        <w:ind w:left="2835" w:hanging="567"/>
      </w:pPr>
      <w:r w:rsidRPr="00113AA8">
        <w:rPr>
          <w:strike/>
        </w:rPr>
        <w:t>k)</w:t>
      </w:r>
      <w:r w:rsidRPr="00113AA8">
        <w:rPr>
          <w:b/>
          <w:bCs/>
        </w:rPr>
        <w:t>i)</w:t>
      </w:r>
      <w:r w:rsidRPr="00113AA8">
        <w:tab/>
        <w:t>классом CS, предусмотренным Правилами № 149 ООН».</w:t>
      </w:r>
    </w:p>
    <w:p w14:paraId="1034D68A" w14:textId="77777777" w:rsidR="00F54751" w:rsidRPr="00113AA8" w:rsidRDefault="00F54751" w:rsidP="00F54751">
      <w:pPr>
        <w:pStyle w:val="SingleTxtG"/>
        <w:ind w:left="2268" w:hanging="1134"/>
        <w:rPr>
          <w:bCs/>
        </w:rPr>
      </w:pPr>
      <w:r w:rsidRPr="006857C3">
        <w:rPr>
          <w:i/>
          <w:iCs/>
        </w:rPr>
        <w:t>Включить новый пункт 11.12</w:t>
      </w:r>
      <w:r w:rsidRPr="00113AA8">
        <w:t xml:space="preserve"> следующего содержания:</w:t>
      </w:r>
    </w:p>
    <w:p w14:paraId="56172F6B" w14:textId="69F17EF0" w:rsidR="00F54751" w:rsidRPr="00113AA8" w:rsidRDefault="00F54751" w:rsidP="00F54751">
      <w:pPr>
        <w:pStyle w:val="SingleTxtG"/>
        <w:ind w:left="2268" w:hanging="1134"/>
        <w:rPr>
          <w:b/>
          <w:bCs/>
        </w:rPr>
      </w:pPr>
      <w:r w:rsidRPr="00F54751">
        <w:t>«</w:t>
      </w:r>
      <w:r w:rsidRPr="00113AA8">
        <w:rPr>
          <w:b/>
          <w:bCs/>
        </w:rPr>
        <w:t>11.12</w:t>
      </w:r>
      <w:r>
        <w:tab/>
      </w:r>
      <w:r w:rsidRPr="00113AA8">
        <w:tab/>
      </w:r>
      <w:r w:rsidRPr="00113AA8">
        <w:rPr>
          <w:b/>
          <w:bCs/>
        </w:rPr>
        <w:t>Переходные положения, применимые к поправкам серии 04</w:t>
      </w:r>
    </w:p>
    <w:p w14:paraId="5282FA0E" w14:textId="77777777" w:rsidR="00F54751" w:rsidRPr="00113AA8" w:rsidRDefault="00F54751" w:rsidP="00F54751">
      <w:pPr>
        <w:pStyle w:val="SingleTxtG"/>
        <w:ind w:left="2268" w:hanging="1134"/>
        <w:rPr>
          <w:b/>
          <w:bCs/>
        </w:rPr>
      </w:pPr>
      <w:r w:rsidRPr="00113AA8">
        <w:rPr>
          <w:b/>
          <w:bCs/>
        </w:rPr>
        <w:t>11.12.1</w:t>
      </w:r>
      <w:r w:rsidRPr="00113AA8">
        <w:tab/>
      </w:r>
      <w:r w:rsidRPr="00113AA8">
        <w:rPr>
          <w:b/>
          <w:bCs/>
        </w:rPr>
        <w:t>Начиная с официальной даты вступления в силу поправок серии 04 ни одна из Договаривающихся сторон, применяющих настоящие Правила ООН, не отказывает в предоставлении или признании официальных утверждений типа ООН на основании настоящих Правил ООН с поправками серии 04.</w:t>
      </w:r>
    </w:p>
    <w:p w14:paraId="05BFD14B" w14:textId="709FA7BC" w:rsidR="00F54751" w:rsidRPr="00113AA8" w:rsidRDefault="00F54751" w:rsidP="00F54751">
      <w:pPr>
        <w:pStyle w:val="SingleTxtG"/>
        <w:ind w:left="2268" w:hanging="1134"/>
        <w:rPr>
          <w:b/>
          <w:bCs/>
        </w:rPr>
      </w:pPr>
      <w:r w:rsidRPr="00113AA8">
        <w:rPr>
          <w:b/>
          <w:bCs/>
        </w:rPr>
        <w:t>11.12.2</w:t>
      </w:r>
      <w:r w:rsidRPr="00113AA8">
        <w:tab/>
      </w:r>
      <w:r w:rsidRPr="00113AA8">
        <w:rPr>
          <w:b/>
          <w:bCs/>
        </w:rPr>
        <w:t xml:space="preserve">Начиная с 1 сентября [2028] года Договаривающиеся стороны, применяющие настоящие Правила ООН, не обязаны признавать официальные утверждения типа ООН на основании поправок </w:t>
      </w:r>
      <w:r w:rsidRPr="00113AA8">
        <w:rPr>
          <w:b/>
          <w:bCs/>
        </w:rPr>
        <w:lastRenderedPageBreak/>
        <w:t>предыдущих серий, предоставленные впервые после 1 сентября [2028] года.</w:t>
      </w:r>
    </w:p>
    <w:p w14:paraId="2ACCD46F" w14:textId="77777777" w:rsidR="00F54751" w:rsidRPr="00F54751" w:rsidRDefault="00F54751" w:rsidP="00F54751">
      <w:pPr>
        <w:pStyle w:val="SingleTxtG"/>
        <w:ind w:left="2268" w:hanging="1134"/>
        <w:rPr>
          <w:b/>
          <w:bCs/>
        </w:rPr>
      </w:pPr>
      <w:r w:rsidRPr="00F54751">
        <w:rPr>
          <w:b/>
          <w:bCs/>
        </w:rPr>
        <w:t>11.12.3</w:t>
      </w:r>
      <w:r w:rsidRPr="00F54751">
        <w:rPr>
          <w:b/>
          <w:bCs/>
        </w:rPr>
        <w:tab/>
        <w:t>До 1 сентября [2030] года Договаривающиеся стороны, применяющие настоящие Правила, признают официальные утверждения типа на основании поправок предыдущих серий, предоставленные впервые до 1 сентября [2028] года.</w:t>
      </w:r>
    </w:p>
    <w:p w14:paraId="0EFE63EB" w14:textId="77777777" w:rsidR="00F54751" w:rsidRPr="00F54751" w:rsidRDefault="00F54751" w:rsidP="00F54751">
      <w:pPr>
        <w:pStyle w:val="SingleTxtG"/>
        <w:ind w:left="2268" w:hanging="1134"/>
        <w:rPr>
          <w:b/>
          <w:bCs/>
        </w:rPr>
      </w:pPr>
      <w:r w:rsidRPr="00F54751">
        <w:rPr>
          <w:b/>
          <w:bCs/>
        </w:rPr>
        <w:t>11.12.4</w:t>
      </w:r>
      <w:r w:rsidRPr="00F54751">
        <w:rPr>
          <w:b/>
          <w:bCs/>
        </w:rPr>
        <w:tab/>
        <w:t>Начиная с 1 сентября [2030] года Договаривающиеся стороны, применяющие настоящие Правила ООН, не обязаны признавать официальные утверждения типа, предоставленные на основании поправок предыдущих серий к настоящим Правилам.</w:t>
      </w:r>
    </w:p>
    <w:p w14:paraId="504BEDAF" w14:textId="12078633" w:rsidR="00F54751" w:rsidRPr="00F54751" w:rsidRDefault="00F54751" w:rsidP="00F54751">
      <w:pPr>
        <w:pStyle w:val="SingleTxtG"/>
        <w:ind w:left="2268" w:hanging="1134"/>
        <w:rPr>
          <w:b/>
          <w:bCs/>
        </w:rPr>
      </w:pPr>
      <w:r w:rsidRPr="00F54751">
        <w:rPr>
          <w:b/>
          <w:bCs/>
        </w:rPr>
        <w:t>11.12.5</w:t>
      </w:r>
      <w:r w:rsidRPr="00F54751">
        <w:rPr>
          <w:b/>
          <w:bCs/>
        </w:rPr>
        <w:tab/>
        <w:t>Независимо от изложенных выше переходных положений Договаривающиеся стороны, которые начинают применять настоящие Правила ООН после даты вступления в силу поправок самых последних серий, не обязаны признавать официальные утверждения типа ООН, которые были предоставлены в соответствии с любой из предыдущих серий поправок к настоящим Правилам ООН.</w:t>
      </w:r>
    </w:p>
    <w:p w14:paraId="0BEA3F13" w14:textId="3EB071B8" w:rsidR="00F54751" w:rsidRPr="00F54751" w:rsidRDefault="00F54751" w:rsidP="00F54751">
      <w:pPr>
        <w:pStyle w:val="SingleTxtG"/>
        <w:ind w:left="2268" w:hanging="1134"/>
        <w:rPr>
          <w:b/>
          <w:bCs/>
        </w:rPr>
      </w:pPr>
      <w:r w:rsidRPr="00F54751">
        <w:rPr>
          <w:b/>
          <w:bCs/>
        </w:rPr>
        <w:t>11.12.6</w:t>
      </w:r>
      <w:r w:rsidRPr="00F54751">
        <w:rPr>
          <w:b/>
          <w:bCs/>
        </w:rPr>
        <w:tab/>
        <w:t>Независимо от положений пункта 11.12.2 Договаривающиеся стороны, применяющие настоящие Правила ООН, продолжают признавать официальные утверждения типа ООН, предоставленные или распространенные на основании поправок предыдущих серий к настоящим Правилам ООН в отношении транспортных средств, которые не затронуты изменениями, внесенными на основании поправок серии 04.</w:t>
      </w:r>
    </w:p>
    <w:p w14:paraId="34826FFB" w14:textId="6451ACA5" w:rsidR="00F54751" w:rsidRPr="00F54751" w:rsidRDefault="00F54751" w:rsidP="00F54751">
      <w:pPr>
        <w:pStyle w:val="SingleTxtG"/>
        <w:ind w:left="2268" w:hanging="1134"/>
        <w:rPr>
          <w:b/>
          <w:bCs/>
        </w:rPr>
      </w:pPr>
      <w:r w:rsidRPr="00F54751">
        <w:rPr>
          <w:b/>
          <w:bCs/>
        </w:rPr>
        <w:t>11.12.7</w:t>
      </w:r>
      <w:r w:rsidRPr="00F54751">
        <w:rPr>
          <w:b/>
          <w:bCs/>
        </w:rPr>
        <w:tab/>
        <w:t xml:space="preserve"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Правилам. </w:t>
      </w:r>
    </w:p>
    <w:p w14:paraId="0B0EACE1" w14:textId="2EA658FB" w:rsidR="00F54751" w:rsidRPr="00F54751" w:rsidRDefault="00F54751" w:rsidP="00F54751">
      <w:pPr>
        <w:pStyle w:val="SingleTxtG"/>
        <w:ind w:left="2268" w:hanging="1134"/>
        <w:rPr>
          <w:iCs/>
        </w:rPr>
      </w:pPr>
      <w:r w:rsidRPr="00F54751">
        <w:rPr>
          <w:b/>
          <w:bCs/>
        </w:rPr>
        <w:t>11.12.8</w:t>
      </w:r>
      <w:r w:rsidRPr="00F54751">
        <w:rPr>
          <w:b/>
          <w:bCs/>
        </w:rPr>
        <w:tab/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</w:t>
      </w:r>
      <w:r w:rsidRPr="00F54751">
        <w:t>».</w:t>
      </w:r>
    </w:p>
    <w:p w14:paraId="4D0AEC29" w14:textId="77777777" w:rsidR="00F54751" w:rsidRPr="00113AA8" w:rsidRDefault="00F54751" w:rsidP="00F54751">
      <w:pPr>
        <w:pStyle w:val="HChG"/>
      </w:pPr>
      <w:r w:rsidRPr="00113AA8">
        <w:rPr>
          <w:bCs/>
        </w:rPr>
        <w:tab/>
        <w:t>II.</w:t>
      </w:r>
      <w:r w:rsidRPr="00113AA8">
        <w:tab/>
      </w:r>
      <w:r w:rsidRPr="00113AA8">
        <w:rPr>
          <w:bCs/>
        </w:rPr>
        <w:t>Обоснование</w:t>
      </w:r>
    </w:p>
    <w:p w14:paraId="3712B21E" w14:textId="77777777" w:rsidR="00F54751" w:rsidRPr="00113AA8" w:rsidRDefault="00F54751" w:rsidP="00F54751">
      <w:pPr>
        <w:pStyle w:val="SingleTxtG"/>
      </w:pPr>
      <w:r w:rsidRPr="00113AA8">
        <w:t>1.</w:t>
      </w:r>
      <w:r w:rsidRPr="00113AA8">
        <w:tab/>
        <w:t xml:space="preserve">Цель данного предложения заключается в том, чтобы внести в Правила № 53 ООН поправки, направленные на повышение безопасности дорожного движения для мотоциклов путем исключения определенных классов фар. Это предложение основано на документе ECE/TRANS/WP.29/GRE/2022/3 с поправками, внесенными в него на основании неофициального документа GRE-86-15, представленного соответственно Германией и Чехией на восемьдесят шестой сессии GRE в апреле 2022 года. При подготовке данного обновленного варианта были учтены комментарии, высказанные Договаривающимися сторонами на сессии GRE с целью улучшения предложения. </w:t>
      </w:r>
    </w:p>
    <w:p w14:paraId="6347FED7" w14:textId="77777777" w:rsidR="00F54751" w:rsidRPr="00113AA8" w:rsidRDefault="00F54751" w:rsidP="00F54751">
      <w:pPr>
        <w:pStyle w:val="SingleTxtG"/>
      </w:pPr>
      <w:r w:rsidRPr="00113AA8">
        <w:t>2.</w:t>
      </w:r>
      <w:r w:rsidRPr="00113AA8">
        <w:tab/>
        <w:t>В частности, примером такого улучшения с редакционной и технической точки зрения является включение дополнительного порогового значения в 11 кВт, направленное на обеспечение совместимости этих положений с транспортными средствами на электрической тяге; при этом за основу были взяты параметры и термины, используемые в соответствующих разделах глобальной и региональной нормативно-правовой базы.</w:t>
      </w:r>
    </w:p>
    <w:p w14:paraId="5C08650E" w14:textId="28DA6B79" w:rsidR="00F54751" w:rsidRPr="00113AA8" w:rsidRDefault="00F54751" w:rsidP="00F54751">
      <w:pPr>
        <w:pStyle w:val="SingleTxtG"/>
        <w:rPr>
          <w:color w:val="000000" w:themeColor="text1"/>
        </w:rPr>
      </w:pPr>
      <w:r w:rsidRPr="00113AA8">
        <w:rPr>
          <w:color w:val="000000" w:themeColor="text1"/>
        </w:rPr>
        <w:t>3.</w:t>
      </w:r>
      <w:r w:rsidRPr="00113AA8">
        <w:rPr>
          <w:color w:val="000000" w:themeColor="text1"/>
        </w:rPr>
        <w:tab/>
      </w:r>
      <w:r w:rsidRPr="00113AA8">
        <w:t xml:space="preserve">В настоящее время разграничение между низко- и высокомощными мотоциклами проводится на основе объема цилиндров, </w:t>
      </w:r>
      <w:r w:rsidR="00A562E2">
        <w:t>т. е.</w:t>
      </w:r>
      <w:r w:rsidRPr="00113AA8">
        <w:t xml:space="preserve"> имплицитно предполагается, что силовая установка транспортного средства представляет собой двигатель внутреннего сгорания. Учитывая технологический прогресс в области электрификации транспортных средств, данное положение необходимо изменить, с тем чтобы обеспечить его совместимость с электрическими двигателями. </w:t>
      </w:r>
    </w:p>
    <w:p w14:paraId="4919B9F4" w14:textId="77777777" w:rsidR="00F54751" w:rsidRPr="00113AA8" w:rsidRDefault="00F54751" w:rsidP="00F54751">
      <w:pPr>
        <w:pStyle w:val="SingleTxtG"/>
        <w:rPr>
          <w:color w:val="000000" w:themeColor="text1"/>
        </w:rPr>
      </w:pPr>
      <w:r w:rsidRPr="00113AA8">
        <w:rPr>
          <w:color w:val="000000" w:themeColor="text1"/>
        </w:rPr>
        <w:lastRenderedPageBreak/>
        <w:t>4.</w:t>
      </w:r>
      <w:r w:rsidRPr="00113AA8">
        <w:rPr>
          <w:color w:val="000000" w:themeColor="text1"/>
        </w:rPr>
        <w:tab/>
      </w:r>
      <w:r w:rsidRPr="00113AA8">
        <w:t xml:space="preserve">Для этого за основу можно взять Сводную резолюцию о конструкции транспортных средств (СР.3). В СР.3 в качестве альтернативы объему цилиндра указывается «максимальная эффективная мощность» для двигателей внутреннего сгорания и «номинальная максимальная мощность в режиме длительной нагрузки» для электрических двигателей: </w:t>
      </w:r>
    </w:p>
    <w:p w14:paraId="3CACD6D0" w14:textId="339BF9FA" w:rsidR="00F54751" w:rsidRPr="00F54751" w:rsidRDefault="00F54751" w:rsidP="00F54751">
      <w:pPr>
        <w:pStyle w:val="SingleTxtG"/>
        <w:tabs>
          <w:tab w:val="clear" w:pos="1701"/>
        </w:tabs>
        <w:ind w:left="2268" w:hanging="1134"/>
        <w:rPr>
          <w:i/>
          <w:iCs/>
          <w:color w:val="000000" w:themeColor="text1"/>
        </w:rPr>
      </w:pPr>
      <w:r w:rsidRPr="00F54751">
        <w:t>«</w:t>
      </w:r>
      <w:r w:rsidRPr="00F54751">
        <w:rPr>
          <w:i/>
          <w:iCs/>
        </w:rPr>
        <w:t xml:space="preserve">2.1.6 </w:t>
      </w:r>
      <w:r w:rsidRPr="00F54751">
        <w:rPr>
          <w:i/>
          <w:iCs/>
        </w:rPr>
        <w:tab/>
      </w:r>
      <w:r>
        <w:rPr>
          <w:i/>
          <w:iCs/>
        </w:rPr>
        <w:t>“</w:t>
      </w:r>
      <w:r w:rsidRPr="00F54751">
        <w:rPr>
          <w:i/>
          <w:iCs/>
        </w:rPr>
        <w:t>Категория L6</w:t>
      </w:r>
      <w:r>
        <w:rPr>
          <w:i/>
          <w:iCs/>
        </w:rPr>
        <w:t>”</w:t>
      </w:r>
      <w:r w:rsidRPr="00F54751">
        <w:rPr>
          <w:i/>
          <w:iCs/>
        </w:rPr>
        <w:t>: транспортное средство (…), и которое оснащено двигателем рабочим объемом не более 50 см</w:t>
      </w:r>
      <w:r w:rsidRPr="00F54751">
        <w:rPr>
          <w:i/>
          <w:iCs/>
          <w:vertAlign w:val="superscript"/>
        </w:rPr>
        <w:t>3</w:t>
      </w:r>
      <w:r w:rsidRPr="00F54751">
        <w:rPr>
          <w:i/>
          <w:iCs/>
        </w:rPr>
        <w:t xml:space="preserve">, если это двигатель внутреннего сгорания с искровым (принудительным) зажиганием, или двигателем </w:t>
      </w:r>
      <w:r w:rsidRPr="00F54751">
        <w:rPr>
          <w:i/>
          <w:iCs/>
          <w:u w:val="single"/>
        </w:rPr>
        <w:t>максимальной эффективной мощностью</w:t>
      </w:r>
      <w:r w:rsidRPr="00F54751">
        <w:rPr>
          <w:i/>
          <w:iCs/>
        </w:rPr>
        <w:t xml:space="preserve"> не более 4 кВт, если это </w:t>
      </w:r>
      <w:r w:rsidRPr="00F54751">
        <w:rPr>
          <w:i/>
          <w:iCs/>
          <w:u w:val="single"/>
        </w:rPr>
        <w:t>двигатель внутреннего сгорания другого типа</w:t>
      </w:r>
      <w:r w:rsidRPr="00F54751">
        <w:rPr>
          <w:i/>
          <w:iCs/>
        </w:rPr>
        <w:t xml:space="preserve">, либо двигателем, имеющим </w:t>
      </w:r>
      <w:r w:rsidRPr="00F54751">
        <w:rPr>
          <w:i/>
          <w:iCs/>
          <w:u w:val="single"/>
        </w:rPr>
        <w:t>номинальную максимальную мощность в режиме длительной нагрузки</w:t>
      </w:r>
      <w:r w:rsidRPr="00F54751">
        <w:rPr>
          <w:i/>
          <w:iCs/>
        </w:rPr>
        <w:t xml:space="preserve"> не более 4 кВт, если это </w:t>
      </w:r>
      <w:r w:rsidRPr="00F54751">
        <w:rPr>
          <w:i/>
          <w:iCs/>
          <w:u w:val="single"/>
        </w:rPr>
        <w:t>электрический двигатель</w:t>
      </w:r>
      <w:r w:rsidRPr="00F54751">
        <w:t xml:space="preserve">». </w:t>
      </w:r>
    </w:p>
    <w:p w14:paraId="4DB9B2EB" w14:textId="77777777" w:rsidR="00F54751" w:rsidRPr="00113AA8" w:rsidRDefault="00F54751" w:rsidP="00F54751">
      <w:pPr>
        <w:pStyle w:val="SingleTxtG"/>
        <w:rPr>
          <w:color w:val="000000" w:themeColor="text1"/>
        </w:rPr>
      </w:pPr>
      <w:r w:rsidRPr="00113AA8">
        <w:rPr>
          <w:color w:val="000000" w:themeColor="text1"/>
        </w:rPr>
        <w:t>5.</w:t>
      </w:r>
      <w:r w:rsidRPr="00113AA8">
        <w:rPr>
          <w:color w:val="000000" w:themeColor="text1"/>
        </w:rPr>
        <w:tab/>
      </w:r>
      <w:r w:rsidRPr="00113AA8">
        <w:t>Широко распространена практика проведения границы между низко- и высокомощными мотоциклами путем использования вместе с пороговым значением в 125 см</w:t>
      </w:r>
      <w:r w:rsidRPr="00113AA8">
        <w:rPr>
          <w:vertAlign w:val="superscript"/>
        </w:rPr>
        <w:t>3</w:t>
      </w:r>
      <w:r w:rsidRPr="00113AA8">
        <w:t xml:space="preserve"> дополнительного ограничения максимальной мощности в 11 кВт. Один из соответствующих примеров приводится в приложении 6 к Венской конвенции о дорожном движении 1968 года в контексте водительских удостоверений:</w:t>
      </w:r>
    </w:p>
    <w:p w14:paraId="6811B48A" w14:textId="01D1B4CE" w:rsidR="00F54751" w:rsidRPr="00F54751" w:rsidRDefault="00F54751" w:rsidP="00F54751">
      <w:pPr>
        <w:pStyle w:val="SingleTxtG"/>
        <w:tabs>
          <w:tab w:val="clear" w:pos="1701"/>
        </w:tabs>
        <w:ind w:left="2268" w:hanging="1134"/>
        <w:rPr>
          <w:i/>
          <w:iCs/>
          <w:color w:val="000000" w:themeColor="text1"/>
        </w:rPr>
      </w:pPr>
      <w:r w:rsidRPr="00F54751">
        <w:t>«</w:t>
      </w:r>
      <w:r w:rsidRPr="00F54751">
        <w:rPr>
          <w:i/>
          <w:iCs/>
        </w:rPr>
        <w:t>9.</w:t>
      </w:r>
      <w:r w:rsidRPr="00F54751">
        <w:rPr>
          <w:i/>
          <w:iCs/>
        </w:rPr>
        <w:tab/>
        <w:t xml:space="preserve">На основании национального законодательства в рамках категорий А, В, С, СЕ, D и DE могут вводиться следующие подкатегории транспортных средств, на управление которыми может выдаваться водительское удостоверение: </w:t>
      </w:r>
    </w:p>
    <w:p w14:paraId="07C69802" w14:textId="6E7FEBD4" w:rsidR="00F54751" w:rsidRPr="00F54751" w:rsidRDefault="00F54751" w:rsidP="006C19E8">
      <w:pPr>
        <w:pStyle w:val="SingleTxtG"/>
        <w:tabs>
          <w:tab w:val="clear" w:pos="1701"/>
        </w:tabs>
        <w:ind w:left="2268"/>
        <w:rPr>
          <w:spacing w:val="-2"/>
        </w:rPr>
      </w:pPr>
      <w:r w:rsidRPr="00F54751">
        <w:rPr>
          <w:i/>
          <w:iCs/>
        </w:rPr>
        <w:t xml:space="preserve">А1 </w:t>
      </w:r>
      <w:r w:rsidRPr="00F54751">
        <w:rPr>
          <w:i/>
          <w:iCs/>
        </w:rPr>
        <w:tab/>
        <w:t xml:space="preserve">мотоциклы </w:t>
      </w:r>
      <w:r w:rsidRPr="00F54751">
        <w:rPr>
          <w:i/>
          <w:iCs/>
          <w:u w:val="single"/>
        </w:rPr>
        <w:t>с рабочим объемом двигателя, не превышающим 125</w:t>
      </w:r>
      <w:r w:rsidR="006C19E8">
        <w:rPr>
          <w:i/>
          <w:iCs/>
          <w:u w:val="single"/>
        </w:rPr>
        <w:t> </w:t>
      </w:r>
      <w:r w:rsidRPr="00F54751">
        <w:rPr>
          <w:i/>
          <w:iCs/>
          <w:u w:val="single"/>
        </w:rPr>
        <w:t>см</w:t>
      </w:r>
      <w:r w:rsidRPr="00F54751">
        <w:rPr>
          <w:i/>
          <w:iCs/>
          <w:u w:val="single"/>
          <w:vertAlign w:val="superscript"/>
        </w:rPr>
        <w:t>3</w:t>
      </w:r>
      <w:r w:rsidRPr="00F54751">
        <w:rPr>
          <w:i/>
          <w:iCs/>
          <w:u w:val="single"/>
        </w:rPr>
        <w:t>, и максимальной мощностью, не превышающей 11 кВт</w:t>
      </w:r>
      <w:r w:rsidRPr="00F54751">
        <w:rPr>
          <w:i/>
          <w:iCs/>
        </w:rPr>
        <w:t xml:space="preserve"> (легкие мотоциклы)</w:t>
      </w:r>
      <w:r w:rsidRPr="00F54751">
        <w:t xml:space="preserve">». </w:t>
      </w:r>
    </w:p>
    <w:p w14:paraId="68C2319B" w14:textId="230B6C99" w:rsidR="00F54751" w:rsidRPr="00113AA8" w:rsidRDefault="00F54751" w:rsidP="00F54751">
      <w:pPr>
        <w:pStyle w:val="SingleTxtG"/>
        <w:rPr>
          <w:color w:val="000000" w:themeColor="text1"/>
        </w:rPr>
      </w:pPr>
      <w:r w:rsidRPr="00113AA8">
        <w:rPr>
          <w:color w:val="000000" w:themeColor="text1"/>
        </w:rPr>
        <w:t>6.</w:t>
      </w:r>
      <w:r w:rsidRPr="00113AA8">
        <w:rPr>
          <w:color w:val="000000" w:themeColor="text1"/>
        </w:rPr>
        <w:tab/>
      </w:r>
      <w:r w:rsidRPr="00113AA8">
        <w:t>Другим актуальным примером является приложение I к Регламенту (ЕС) №</w:t>
      </w:r>
      <w:r>
        <w:rPr>
          <w:lang w:val="en-US"/>
        </w:rPr>
        <w:t> </w:t>
      </w:r>
      <w:r w:rsidRPr="00113AA8">
        <w:t>168/2013, который представляет собой европейские правила официального утверждения типа комплектного транспортного средства для автомобилей категории</w:t>
      </w:r>
      <w:r>
        <w:rPr>
          <w:lang w:val="en-US"/>
        </w:rPr>
        <w:t> </w:t>
      </w:r>
      <w:r w:rsidRPr="00113AA8">
        <w:t>L. Содержащиеся в Регламенте ЕС критерии классификации для «маломощных мотоциклов» не только увязали между собой пороговые значения в 125</w:t>
      </w:r>
      <w:r>
        <w:rPr>
          <w:lang w:val="en-US"/>
        </w:rPr>
        <w:t> </w:t>
      </w:r>
      <w:r w:rsidRPr="00113AA8">
        <w:t>см</w:t>
      </w:r>
      <w:r w:rsidRPr="00113AA8">
        <w:rPr>
          <w:vertAlign w:val="superscript"/>
        </w:rPr>
        <w:t>3</w:t>
      </w:r>
      <w:r w:rsidRPr="00113AA8">
        <w:t xml:space="preserve"> и 11 кВт, но и, что еще важнее, привели к тому, что в течение многих лет показатель в 11 кВт применялся в качестве де-факто порогового значения для официального утверждения электрических мотоциклов на основании Правил № 53 ООН:</w:t>
      </w:r>
    </w:p>
    <w:tbl>
      <w:tblPr>
        <w:tblStyle w:val="20"/>
        <w:tblW w:w="7363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582"/>
        <w:gridCol w:w="1512"/>
        <w:gridCol w:w="4269"/>
      </w:tblGrid>
      <w:tr w:rsidR="00F54751" w:rsidRPr="00B028CA" w14:paraId="04B9F48E" w14:textId="77777777" w:rsidTr="00B02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  <w:vAlign w:val="bottom"/>
          </w:tcPr>
          <w:p w14:paraId="7CF5FFF1" w14:textId="77777777" w:rsidR="00F54751" w:rsidRPr="00B028CA" w:rsidRDefault="00F54751" w:rsidP="00B028CA">
            <w:pPr>
              <w:pStyle w:val="Bullet1G"/>
              <w:numPr>
                <w:ilvl w:val="0"/>
                <w:numId w:val="0"/>
              </w:numPr>
              <w:spacing w:before="80" w:after="80" w:line="220" w:lineRule="exact"/>
              <w:ind w:left="-95" w:right="-142"/>
              <w:jc w:val="left"/>
              <w:rPr>
                <w:b w:val="0"/>
                <w:i/>
                <w:color w:val="000000" w:themeColor="text1"/>
                <w:sz w:val="16"/>
                <w:szCs w:val="16"/>
              </w:rPr>
            </w:pPr>
            <w:r w:rsidRPr="00B028CA">
              <w:rPr>
                <w:i/>
                <w:iCs/>
                <w:sz w:val="16"/>
                <w:szCs w:val="16"/>
              </w:rPr>
              <w:t>Подкатегория</w:t>
            </w:r>
          </w:p>
        </w:tc>
        <w:tc>
          <w:tcPr>
            <w:tcW w:w="1512" w:type="dxa"/>
            <w:vAlign w:val="bottom"/>
          </w:tcPr>
          <w:p w14:paraId="0468AB54" w14:textId="77777777" w:rsidR="00F54751" w:rsidRPr="00B028CA" w:rsidRDefault="00F54751" w:rsidP="00B028CA">
            <w:pPr>
              <w:pStyle w:val="Bullet1G"/>
              <w:numPr>
                <w:ilvl w:val="0"/>
                <w:numId w:val="0"/>
              </w:numPr>
              <w:spacing w:before="80" w:after="80" w:line="220" w:lineRule="exact"/>
              <w:ind w:left="-43" w:right="-142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16"/>
                <w:szCs w:val="16"/>
              </w:rPr>
            </w:pPr>
            <w:r w:rsidRPr="00B028CA">
              <w:rPr>
                <w:i/>
                <w:iCs/>
                <w:sz w:val="16"/>
                <w:szCs w:val="16"/>
              </w:rPr>
              <w:t>Название подкатегории</w:t>
            </w:r>
          </w:p>
        </w:tc>
        <w:tc>
          <w:tcPr>
            <w:tcW w:w="4269" w:type="dxa"/>
            <w:vAlign w:val="bottom"/>
          </w:tcPr>
          <w:p w14:paraId="3E8162D9" w14:textId="77777777" w:rsidR="00F54751" w:rsidRPr="00B028CA" w:rsidRDefault="00F54751" w:rsidP="00B028CA">
            <w:pPr>
              <w:pStyle w:val="Bullet1G"/>
              <w:numPr>
                <w:ilvl w:val="0"/>
                <w:numId w:val="0"/>
              </w:numPr>
              <w:spacing w:before="80" w:after="80" w:line="220" w:lineRule="exact"/>
              <w:ind w:left="-36" w:right="-142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16"/>
                <w:szCs w:val="16"/>
              </w:rPr>
            </w:pPr>
            <w:r w:rsidRPr="00B028CA">
              <w:rPr>
                <w:i/>
                <w:iCs/>
                <w:sz w:val="16"/>
                <w:szCs w:val="16"/>
              </w:rPr>
              <w:t>Дополнительные критерии классификации</w:t>
            </w:r>
          </w:p>
        </w:tc>
      </w:tr>
      <w:tr w:rsidR="00F54751" w:rsidRPr="00462F52" w14:paraId="12876908" w14:textId="77777777" w:rsidTr="004E4E17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2" w:type="dxa"/>
          </w:tcPr>
          <w:p w14:paraId="6CE79744" w14:textId="77777777" w:rsidR="00F54751" w:rsidRPr="00113AA8" w:rsidRDefault="00F54751" w:rsidP="00B028CA">
            <w:pPr>
              <w:pStyle w:val="Bullet1G"/>
              <w:numPr>
                <w:ilvl w:val="0"/>
                <w:numId w:val="0"/>
              </w:numPr>
              <w:spacing w:before="40" w:after="40" w:line="240" w:lineRule="auto"/>
              <w:ind w:left="-95" w:right="-142"/>
              <w:rPr>
                <w:b w:val="0"/>
                <w:i/>
                <w:color w:val="000000" w:themeColor="text1"/>
                <w:sz w:val="18"/>
                <w:szCs w:val="18"/>
              </w:rPr>
            </w:pPr>
            <w:r w:rsidRPr="00113AA8">
              <w:rPr>
                <w:i/>
                <w:iCs/>
                <w:sz w:val="18"/>
                <w:szCs w:val="18"/>
              </w:rPr>
              <w:t>L3e-A1</w:t>
            </w:r>
          </w:p>
        </w:tc>
        <w:tc>
          <w:tcPr>
            <w:tcW w:w="1512" w:type="dxa"/>
          </w:tcPr>
          <w:p w14:paraId="0BA307F0" w14:textId="77777777" w:rsidR="00F54751" w:rsidRPr="00113AA8" w:rsidRDefault="00F54751" w:rsidP="00B028CA">
            <w:pPr>
              <w:pStyle w:val="Bullet1G"/>
              <w:numPr>
                <w:ilvl w:val="0"/>
                <w:numId w:val="0"/>
              </w:numPr>
              <w:spacing w:before="40" w:after="40" w:line="240" w:lineRule="auto"/>
              <w:ind w:left="-43"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 w:rsidRPr="00113AA8">
              <w:rPr>
                <w:i/>
                <w:iCs/>
                <w:sz w:val="18"/>
                <w:szCs w:val="18"/>
              </w:rPr>
              <w:t>Низкомощный мотоцикл</w:t>
            </w:r>
          </w:p>
        </w:tc>
        <w:tc>
          <w:tcPr>
            <w:tcW w:w="4269" w:type="dxa"/>
          </w:tcPr>
          <w:p w14:paraId="08743BF6" w14:textId="77777777" w:rsidR="00F54751" w:rsidRPr="00113AA8" w:rsidRDefault="00F54751" w:rsidP="00B028CA">
            <w:pPr>
              <w:pStyle w:val="af3"/>
              <w:suppressAutoHyphens w:val="0"/>
              <w:spacing w:before="40" w:after="40" w:line="240" w:lineRule="auto"/>
              <w:ind w:left="-6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 w:themeColor="text1"/>
                <w:spacing w:val="-4"/>
                <w:sz w:val="18"/>
                <w:szCs w:val="18"/>
                <w:lang w:val="ru-RU"/>
              </w:rPr>
            </w:pPr>
            <w:r w:rsidRPr="00113AA8">
              <w:rPr>
                <w:i/>
                <w:iCs/>
                <w:sz w:val="18"/>
                <w:szCs w:val="18"/>
                <w:lang w:val="ru-RU"/>
              </w:rPr>
              <w:t>(7) объем двигателя ≤ 125 см</w:t>
            </w:r>
            <w:r w:rsidRPr="00113AA8">
              <w:rPr>
                <w:i/>
                <w:iCs/>
                <w:sz w:val="18"/>
                <w:szCs w:val="18"/>
                <w:vertAlign w:val="superscript"/>
                <w:lang w:val="ru-RU"/>
              </w:rPr>
              <w:t>3</w:t>
            </w:r>
            <w:r w:rsidRPr="00113AA8">
              <w:rPr>
                <w:i/>
                <w:iCs/>
                <w:sz w:val="18"/>
                <w:szCs w:val="18"/>
                <w:lang w:val="ru-RU"/>
              </w:rPr>
              <w:t xml:space="preserve"> и</w:t>
            </w:r>
            <w:r w:rsidRPr="00113AA8">
              <w:rPr>
                <w:sz w:val="18"/>
                <w:szCs w:val="18"/>
                <w:lang w:val="ru-RU"/>
              </w:rPr>
              <w:t xml:space="preserve"> </w:t>
            </w:r>
          </w:p>
          <w:p w14:paraId="6E2D0190" w14:textId="396DFE41" w:rsidR="00F54751" w:rsidRPr="00113AA8" w:rsidRDefault="00F54751" w:rsidP="00B028CA">
            <w:pPr>
              <w:pStyle w:val="af3"/>
              <w:suppressAutoHyphens w:val="0"/>
              <w:spacing w:before="40" w:after="40" w:line="240" w:lineRule="auto"/>
              <w:ind w:left="-6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 w:themeColor="text1"/>
                <w:spacing w:val="-4"/>
                <w:sz w:val="18"/>
                <w:szCs w:val="18"/>
                <w:lang w:val="ru-RU"/>
              </w:rPr>
            </w:pPr>
            <w:r w:rsidRPr="00113AA8">
              <w:rPr>
                <w:i/>
                <w:iCs/>
                <w:sz w:val="18"/>
                <w:szCs w:val="18"/>
                <w:lang w:val="ru-RU"/>
              </w:rPr>
              <w:t xml:space="preserve">(8) </w:t>
            </w:r>
            <w:r w:rsidRPr="00113AA8">
              <w:rPr>
                <w:i/>
                <w:iCs/>
                <w:sz w:val="18"/>
                <w:szCs w:val="18"/>
                <w:u w:val="single"/>
                <w:lang w:val="ru-RU"/>
              </w:rPr>
              <w:t>номинальная максимальная мощность в режиме длительной нагрузки</w:t>
            </w:r>
            <w:r w:rsidRPr="00113AA8">
              <w:rPr>
                <w:i/>
                <w:iCs/>
                <w:sz w:val="18"/>
                <w:szCs w:val="18"/>
                <w:lang w:val="ru-RU"/>
              </w:rPr>
              <w:t xml:space="preserve"> или </w:t>
            </w:r>
            <w:r w:rsidRPr="00113AA8">
              <w:rPr>
                <w:i/>
                <w:iCs/>
                <w:sz w:val="18"/>
                <w:szCs w:val="18"/>
                <w:u w:val="single"/>
                <w:lang w:val="ru-RU"/>
              </w:rPr>
              <w:t>эффективная</w:t>
            </w:r>
            <w:r w:rsidRPr="00113AA8">
              <w:rPr>
                <w:i/>
                <w:iCs/>
                <w:sz w:val="18"/>
                <w:szCs w:val="18"/>
                <w:lang w:val="ru-RU"/>
              </w:rPr>
              <w:t xml:space="preserve"> мощность</w:t>
            </w:r>
            <w:r w:rsidRPr="00113AA8">
              <w:rPr>
                <w:i/>
                <w:iCs/>
                <w:sz w:val="18"/>
                <w:szCs w:val="18"/>
                <w:vertAlign w:val="superscript"/>
                <w:lang w:val="ru-RU"/>
              </w:rPr>
              <w:t>(1)</w:t>
            </w:r>
            <w:r w:rsidRPr="00113AA8">
              <w:rPr>
                <w:i/>
                <w:iCs/>
                <w:sz w:val="18"/>
                <w:szCs w:val="18"/>
                <w:lang w:val="ru-RU"/>
              </w:rPr>
              <w:t xml:space="preserve"> ≤ 11 кВт и</w:t>
            </w:r>
            <w:r w:rsidRPr="00113AA8">
              <w:rPr>
                <w:sz w:val="18"/>
                <w:szCs w:val="18"/>
                <w:lang w:val="ru-RU"/>
              </w:rPr>
              <w:t xml:space="preserve"> </w:t>
            </w:r>
          </w:p>
          <w:p w14:paraId="4FA1F02A" w14:textId="77777777" w:rsidR="00F54751" w:rsidRPr="00113AA8" w:rsidRDefault="00F54751" w:rsidP="00B028CA">
            <w:pPr>
              <w:pStyle w:val="af3"/>
              <w:suppressAutoHyphens w:val="0"/>
              <w:spacing w:before="40" w:after="40" w:line="240" w:lineRule="auto"/>
              <w:ind w:left="-6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000000" w:themeColor="text1"/>
                <w:spacing w:val="-4"/>
                <w:sz w:val="18"/>
                <w:szCs w:val="18"/>
                <w:lang w:val="ru-RU"/>
              </w:rPr>
            </w:pPr>
            <w:r w:rsidRPr="00113AA8">
              <w:rPr>
                <w:i/>
                <w:iCs/>
                <w:sz w:val="18"/>
                <w:szCs w:val="18"/>
                <w:lang w:val="ru-RU"/>
              </w:rPr>
              <w:t>(9) отношение мощность</w:t>
            </w:r>
            <w:r w:rsidRPr="00113AA8">
              <w:rPr>
                <w:i/>
                <w:iCs/>
                <w:sz w:val="18"/>
                <w:szCs w:val="18"/>
                <w:vertAlign w:val="superscript"/>
                <w:lang w:val="ru-RU"/>
              </w:rPr>
              <w:t>(1)</w:t>
            </w:r>
            <w:r w:rsidRPr="00113AA8">
              <w:rPr>
                <w:i/>
                <w:iCs/>
                <w:sz w:val="18"/>
                <w:szCs w:val="18"/>
                <w:lang w:val="ru-RU"/>
              </w:rPr>
              <w:t>/масса ≤ 0,1 кВт/кг.</w:t>
            </w:r>
          </w:p>
        </w:tc>
      </w:tr>
    </w:tbl>
    <w:p w14:paraId="5BBAD96B" w14:textId="1373705E" w:rsidR="00F54751" w:rsidRPr="00B028CA" w:rsidRDefault="00F54751" w:rsidP="00B028CA">
      <w:pPr>
        <w:pStyle w:val="Bullet1G"/>
        <w:numPr>
          <w:ilvl w:val="0"/>
          <w:numId w:val="0"/>
        </w:numPr>
        <w:spacing w:before="120" w:line="220" w:lineRule="exact"/>
        <w:ind w:left="1701" w:right="1276" w:hanging="567"/>
        <w:jc w:val="left"/>
        <w:rPr>
          <w:i/>
          <w:color w:val="000000" w:themeColor="text1"/>
          <w:spacing w:val="-2"/>
          <w:sz w:val="18"/>
          <w:szCs w:val="18"/>
        </w:rPr>
      </w:pPr>
      <w:r w:rsidRPr="00B028CA">
        <w:rPr>
          <w:i/>
          <w:color w:val="000000" w:themeColor="text1"/>
          <w:spacing w:val="-2"/>
          <w:sz w:val="18"/>
          <w:szCs w:val="18"/>
          <w:vertAlign w:val="superscript"/>
        </w:rPr>
        <w:t>1)</w:t>
      </w:r>
      <w:r w:rsidRPr="00B028CA">
        <w:rPr>
          <w:i/>
          <w:color w:val="000000" w:themeColor="text1"/>
          <w:spacing w:val="-2"/>
          <w:sz w:val="18"/>
          <w:szCs w:val="18"/>
          <w:vertAlign w:val="superscript"/>
        </w:rPr>
        <w:tab/>
      </w:r>
      <w:r w:rsidRPr="00B028CA">
        <w:rPr>
          <w:i/>
          <w:iCs/>
          <w:sz w:val="18"/>
          <w:szCs w:val="18"/>
        </w:rPr>
        <w:t xml:space="preserve">Предельные значения мощности, указанные в приложении I, основаны на </w:t>
      </w:r>
      <w:r w:rsidRPr="00B028CA">
        <w:rPr>
          <w:i/>
          <w:iCs/>
          <w:color w:val="333333"/>
          <w:sz w:val="18"/>
          <w:szCs w:val="18"/>
          <w:u w:val="single"/>
          <w:shd w:val="clear" w:color="auto" w:fill="FFFFFF"/>
        </w:rPr>
        <w:t>номинальной максимальной мощности в режиме длительной нагрузки</w:t>
      </w:r>
      <w:r w:rsidRPr="00B028CA">
        <w:rPr>
          <w:i/>
          <w:iCs/>
          <w:sz w:val="18"/>
          <w:szCs w:val="18"/>
          <w:u w:val="single"/>
        </w:rPr>
        <w:t xml:space="preserve"> для транспортных средств на электрической тяге</w:t>
      </w:r>
      <w:r w:rsidRPr="00B028CA">
        <w:rPr>
          <w:i/>
          <w:iCs/>
          <w:sz w:val="18"/>
          <w:szCs w:val="18"/>
        </w:rPr>
        <w:t xml:space="preserve"> и </w:t>
      </w:r>
      <w:r w:rsidRPr="00514A40">
        <w:rPr>
          <w:i/>
          <w:iCs/>
          <w:sz w:val="18"/>
          <w:szCs w:val="18"/>
          <w:u w:val="single"/>
        </w:rPr>
        <w:t>м</w:t>
      </w:r>
      <w:r w:rsidRPr="00B028CA">
        <w:rPr>
          <w:i/>
          <w:iCs/>
          <w:sz w:val="18"/>
          <w:szCs w:val="18"/>
          <w:u w:val="single"/>
        </w:rPr>
        <w:t>аксимальной эффективной мощности для транспортных средств с двигателем внутреннего сгорания</w:t>
      </w:r>
      <w:r w:rsidRPr="00B028CA">
        <w:rPr>
          <w:i/>
          <w:iCs/>
          <w:sz w:val="18"/>
          <w:szCs w:val="18"/>
        </w:rPr>
        <w:t>.</w:t>
      </w:r>
      <w:r w:rsidRPr="00B028CA">
        <w:rPr>
          <w:sz w:val="18"/>
          <w:szCs w:val="18"/>
        </w:rPr>
        <w:t xml:space="preserve"> </w:t>
      </w:r>
      <w:r w:rsidRPr="00B028CA">
        <w:rPr>
          <w:i/>
          <w:iCs/>
          <w:sz w:val="18"/>
          <w:szCs w:val="18"/>
        </w:rPr>
        <w:t>При этом считается, что масса автомобиля равна его массе в снаряженном состоянии.</w:t>
      </w:r>
    </w:p>
    <w:p w14:paraId="2A33C31A" w14:textId="77777777" w:rsidR="00F54751" w:rsidRPr="00113AA8" w:rsidRDefault="00F54751" w:rsidP="00F54751">
      <w:pPr>
        <w:pStyle w:val="SingleTxtG"/>
        <w:rPr>
          <w:color w:val="000000" w:themeColor="text1"/>
          <w:spacing w:val="-2"/>
          <w:u w:val="single"/>
        </w:rPr>
      </w:pPr>
      <w:r w:rsidRPr="00113AA8">
        <w:rPr>
          <w:color w:val="000000" w:themeColor="text1"/>
          <w:spacing w:val="-2"/>
        </w:rPr>
        <w:t>7.</w:t>
      </w:r>
      <w:r w:rsidRPr="00113AA8">
        <w:rPr>
          <w:color w:val="000000" w:themeColor="text1"/>
          <w:spacing w:val="-2"/>
        </w:rPr>
        <w:tab/>
      </w:r>
      <w:r w:rsidRPr="00113AA8">
        <w:t>Теоретически для простоты разграничительный порог может быть установлен с использованием только максимальной мощности независимо от типа двигателя. Однако во избежание расхождений с нормативными положениями, существующими в разных странах мира, пороговое значение объема цилиндра в 125 см</w:t>
      </w:r>
      <w:r w:rsidRPr="00113AA8">
        <w:rPr>
          <w:vertAlign w:val="superscript"/>
        </w:rPr>
        <w:t>3</w:t>
      </w:r>
      <w:r w:rsidRPr="00113AA8">
        <w:t xml:space="preserve"> следует сохранить в качестве дополнительного ограничения для двигателей внутреннего сгорания.</w:t>
      </w:r>
    </w:p>
    <w:p w14:paraId="1ED07F22" w14:textId="5443C04F" w:rsidR="00F54751" w:rsidRPr="00113AA8" w:rsidRDefault="00F54751" w:rsidP="00F54751">
      <w:pPr>
        <w:pStyle w:val="SingleTxtG"/>
        <w:rPr>
          <w:color w:val="000000" w:themeColor="text1"/>
          <w:spacing w:val="-2"/>
        </w:rPr>
      </w:pPr>
      <w:r w:rsidRPr="00113AA8">
        <w:rPr>
          <w:color w:val="000000" w:themeColor="text1"/>
          <w:spacing w:val="-2"/>
        </w:rPr>
        <w:t>8.</w:t>
      </w:r>
      <w:r w:rsidRPr="00113AA8">
        <w:rPr>
          <w:color w:val="000000" w:themeColor="text1"/>
          <w:spacing w:val="-2"/>
        </w:rPr>
        <w:tab/>
      </w:r>
      <w:r w:rsidRPr="00113AA8">
        <w:t xml:space="preserve">Для того чтобы избежать появления многочисленных новых серий поправок, </w:t>
      </w:r>
      <w:r w:rsidR="00B028CA">
        <w:br/>
      </w:r>
      <w:r w:rsidRPr="00113AA8">
        <w:t xml:space="preserve">в ходе восемьдесят шестой сессии GRE в апреле 2022 года ряд заинтересованных сторон высказались за объединение процесса разработки этого предложения с </w:t>
      </w:r>
      <w:r w:rsidRPr="00113AA8">
        <w:lastRenderedPageBreak/>
        <w:t xml:space="preserve">параллельной разработкой поправок новой серии 04 к Правилам № 53 ООН, осуществляемой неофициальной рабочей группой по упрощению правил, касающихся освещения и световой сигнализации (НРГ по УПОС). Сроки, предлагаемые в переходных положениях, соответствуют поправкам, содержащимся в данном предложении. После объединения с поправками новой серии 04 и после того, как станут понятны глобальные последствия, продолжительность переходного периода, возможно, потребуется пересмотреть. </w:t>
      </w:r>
    </w:p>
    <w:p w14:paraId="148AABBA" w14:textId="151AEE57" w:rsidR="00F54751" w:rsidRPr="00F54751" w:rsidRDefault="00F54751" w:rsidP="00F5475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54751" w:rsidRPr="00F54751" w:rsidSect="00F5475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40EFB" w14:textId="77777777" w:rsidR="0012554A" w:rsidRPr="00A312BC" w:rsidRDefault="0012554A" w:rsidP="00A312BC"/>
  </w:endnote>
  <w:endnote w:type="continuationSeparator" w:id="0">
    <w:p w14:paraId="7E8D0EE8" w14:textId="77777777" w:rsidR="0012554A" w:rsidRPr="00A312BC" w:rsidRDefault="0012554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BC6C" w14:textId="7F6EB120" w:rsidR="00F54751" w:rsidRPr="00F54751" w:rsidRDefault="00F54751">
    <w:pPr>
      <w:pStyle w:val="a8"/>
    </w:pPr>
    <w:r w:rsidRPr="00F54751">
      <w:rPr>
        <w:b/>
        <w:sz w:val="18"/>
      </w:rPr>
      <w:fldChar w:fldCharType="begin"/>
    </w:r>
    <w:r w:rsidRPr="00F54751">
      <w:rPr>
        <w:b/>
        <w:sz w:val="18"/>
      </w:rPr>
      <w:instrText xml:space="preserve"> PAGE  \* MERGEFORMAT </w:instrText>
    </w:r>
    <w:r w:rsidRPr="00F54751">
      <w:rPr>
        <w:b/>
        <w:sz w:val="18"/>
      </w:rPr>
      <w:fldChar w:fldCharType="separate"/>
    </w:r>
    <w:r w:rsidRPr="00F54751">
      <w:rPr>
        <w:b/>
        <w:noProof/>
        <w:sz w:val="18"/>
      </w:rPr>
      <w:t>2</w:t>
    </w:r>
    <w:r w:rsidRPr="00F54751">
      <w:rPr>
        <w:b/>
        <w:sz w:val="18"/>
      </w:rPr>
      <w:fldChar w:fldCharType="end"/>
    </w:r>
    <w:r>
      <w:rPr>
        <w:b/>
        <w:sz w:val="18"/>
      </w:rPr>
      <w:tab/>
    </w:r>
    <w:r>
      <w:t>GE.22-11762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2012" w14:textId="1B5FCAD0" w:rsidR="00F54751" w:rsidRPr="00F54751" w:rsidRDefault="00F54751" w:rsidP="00F54751">
    <w:pPr>
      <w:pStyle w:val="a8"/>
      <w:tabs>
        <w:tab w:val="clear" w:pos="9639"/>
        <w:tab w:val="right" w:pos="9638"/>
      </w:tabs>
      <w:rPr>
        <w:b/>
        <w:sz w:val="18"/>
      </w:rPr>
    </w:pPr>
    <w:r>
      <w:t>GE.22-11762</w:t>
    </w:r>
    <w:r>
      <w:tab/>
    </w:r>
    <w:r w:rsidRPr="00F54751">
      <w:rPr>
        <w:b/>
        <w:sz w:val="18"/>
      </w:rPr>
      <w:fldChar w:fldCharType="begin"/>
    </w:r>
    <w:r w:rsidRPr="00F54751">
      <w:rPr>
        <w:b/>
        <w:sz w:val="18"/>
      </w:rPr>
      <w:instrText xml:space="preserve"> PAGE  \* MERGEFORMAT </w:instrText>
    </w:r>
    <w:r w:rsidRPr="00F54751">
      <w:rPr>
        <w:b/>
        <w:sz w:val="18"/>
      </w:rPr>
      <w:fldChar w:fldCharType="separate"/>
    </w:r>
    <w:r w:rsidRPr="00F54751">
      <w:rPr>
        <w:b/>
        <w:noProof/>
        <w:sz w:val="18"/>
      </w:rPr>
      <w:t>3</w:t>
    </w:r>
    <w:r w:rsidRPr="00F547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5FC3" w14:textId="383CCC85" w:rsidR="00042B72" w:rsidRPr="0012748B" w:rsidRDefault="00F54751" w:rsidP="00F5475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A01F026" wp14:editId="765F4A3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11762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363D811" wp14:editId="3713757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48B">
      <w:rPr>
        <w:lang w:val="en-US"/>
      </w:rPr>
      <w:t xml:space="preserve">  150822  180822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E17F" w14:textId="77777777" w:rsidR="0012554A" w:rsidRPr="001075E9" w:rsidRDefault="0012554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0F5347" w14:textId="77777777" w:rsidR="0012554A" w:rsidRDefault="0012554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4A33ED7" w14:textId="77777777" w:rsidR="00F54751" w:rsidRPr="00706101" w:rsidRDefault="00F54751" w:rsidP="00F54751">
      <w:pPr>
        <w:pStyle w:val="ad"/>
      </w:pPr>
      <w:r>
        <w:tab/>
      </w:r>
      <w:r w:rsidRPr="00F54751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8EA4" w14:textId="7CA01484" w:rsidR="00F54751" w:rsidRPr="00F54751" w:rsidRDefault="00F5475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256971">
      <w:t>ECE</w:t>
    </w:r>
    <w:proofErr w:type="spellEnd"/>
    <w:r w:rsidR="00256971">
      <w:t>/TRANS/WP.29/GRE/2022/15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6394" w14:textId="478F72BF" w:rsidR="00F54751" w:rsidRPr="00F54751" w:rsidRDefault="00F54751" w:rsidP="00F5475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256971">
      <w:t>ECE</w:t>
    </w:r>
    <w:proofErr w:type="spellEnd"/>
    <w:r w:rsidR="00256971">
      <w:t>/TRANS/WP.29/GRE/2022/15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pStyle w:val="TabNum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4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554A"/>
    <w:rsid w:val="0012748B"/>
    <w:rsid w:val="0014152F"/>
    <w:rsid w:val="00180183"/>
    <w:rsid w:val="0018024D"/>
    <w:rsid w:val="0018649F"/>
    <w:rsid w:val="00196389"/>
    <w:rsid w:val="001B3EF6"/>
    <w:rsid w:val="001C7A89"/>
    <w:rsid w:val="00246A13"/>
    <w:rsid w:val="00255343"/>
    <w:rsid w:val="00256971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561A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4A40"/>
    <w:rsid w:val="00517901"/>
    <w:rsid w:val="00526683"/>
    <w:rsid w:val="00526DB8"/>
    <w:rsid w:val="005639C1"/>
    <w:rsid w:val="005709E0"/>
    <w:rsid w:val="00572E19"/>
    <w:rsid w:val="005961C8"/>
    <w:rsid w:val="005966F1"/>
    <w:rsid w:val="005B2207"/>
    <w:rsid w:val="005D7914"/>
    <w:rsid w:val="005E2B41"/>
    <w:rsid w:val="005F0B42"/>
    <w:rsid w:val="00617A43"/>
    <w:rsid w:val="006345DB"/>
    <w:rsid w:val="00640F49"/>
    <w:rsid w:val="00680D03"/>
    <w:rsid w:val="00681A10"/>
    <w:rsid w:val="0068482C"/>
    <w:rsid w:val="006857C3"/>
    <w:rsid w:val="0069542F"/>
    <w:rsid w:val="006A1ED8"/>
    <w:rsid w:val="006C19E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8F79BC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268D"/>
    <w:rsid w:val="00A562E2"/>
    <w:rsid w:val="00A84021"/>
    <w:rsid w:val="00A84D35"/>
    <w:rsid w:val="00A917B3"/>
    <w:rsid w:val="00AB4B51"/>
    <w:rsid w:val="00B028CA"/>
    <w:rsid w:val="00B10CC7"/>
    <w:rsid w:val="00B36DF7"/>
    <w:rsid w:val="00B539E7"/>
    <w:rsid w:val="00B62458"/>
    <w:rsid w:val="00BC18B2"/>
    <w:rsid w:val="00BD33EE"/>
    <w:rsid w:val="00BE1CC7"/>
    <w:rsid w:val="00BF4C68"/>
    <w:rsid w:val="00C106D6"/>
    <w:rsid w:val="00C119AE"/>
    <w:rsid w:val="00C60F0C"/>
    <w:rsid w:val="00C71E84"/>
    <w:rsid w:val="00C805C9"/>
    <w:rsid w:val="00C92939"/>
    <w:rsid w:val="00C96FA7"/>
    <w:rsid w:val="00CA1679"/>
    <w:rsid w:val="00CB151C"/>
    <w:rsid w:val="00CE5A1A"/>
    <w:rsid w:val="00CF55F6"/>
    <w:rsid w:val="00D33D63"/>
    <w:rsid w:val="00D5253A"/>
    <w:rsid w:val="00D62ED3"/>
    <w:rsid w:val="00D873A8"/>
    <w:rsid w:val="00D90028"/>
    <w:rsid w:val="00D90138"/>
    <w:rsid w:val="00D9145B"/>
    <w:rsid w:val="00DD78D1"/>
    <w:rsid w:val="00DE32CD"/>
    <w:rsid w:val="00DF5495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475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D4BBE2"/>
  <w15:docId w15:val="{8C533011-8B7E-4922-A5C2-325FA70A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qFormat/>
    <w:rsid w:val="00F54751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F54751"/>
    <w:rPr>
      <w:b/>
      <w:sz w:val="24"/>
      <w:lang w:val="ru-RU" w:eastAsia="ru-RU"/>
    </w:rPr>
  </w:style>
  <w:style w:type="paragraph" w:styleId="af3">
    <w:name w:val="List Paragraph"/>
    <w:basedOn w:val="a"/>
    <w:uiPriority w:val="34"/>
    <w:qFormat/>
    <w:rsid w:val="00F54751"/>
    <w:pPr>
      <w:ind w:left="720"/>
      <w:contextualSpacing/>
    </w:pPr>
    <w:rPr>
      <w:rFonts w:eastAsia="MS Mincho" w:cs="Times New Roman"/>
      <w:szCs w:val="20"/>
      <w:lang w:val="en-GB"/>
    </w:rPr>
  </w:style>
  <w:style w:type="table" w:styleId="20">
    <w:name w:val="Table Grid 2"/>
    <w:basedOn w:val="a1"/>
    <w:rsid w:val="00F54751"/>
    <w:pPr>
      <w:suppressAutoHyphens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6</Pages>
  <Words>1613</Words>
  <Characters>10264</Characters>
  <Application>Microsoft Office Word</Application>
  <DocSecurity>0</DocSecurity>
  <Lines>933</Lines>
  <Paragraphs>395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ECE/TRANS/WP.29/GRE/2022/15</vt:lpstr>
      <vt:lpstr>A/</vt:lpstr>
      <vt:lpstr>A/</vt:lpstr>
    </vt:vector>
  </TitlesOfParts>
  <Company>DCM</Company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ECE/TRANS/WP.29/GRE/2022/15</dc:title>
  <dc:subject/>
  <dc:creator>Anna PETELINA</dc:creator>
  <cp:keywords/>
  <cp:lastModifiedBy>Anna Petelina</cp:lastModifiedBy>
  <cp:revision>3</cp:revision>
  <cp:lastPrinted>2022-08-18T12:31:00Z</cp:lastPrinted>
  <dcterms:created xsi:type="dcterms:W3CDTF">2022-08-18T12:31:00Z</dcterms:created>
  <dcterms:modified xsi:type="dcterms:W3CDTF">2022-08-18T12:31:00Z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