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FAF5" w14:textId="77777777" w:rsidR="00BD321A" w:rsidRDefault="00BD321A" w:rsidP="00BD321A">
      <w:pPr>
        <w:spacing w:before="120"/>
        <w:rPr>
          <w:b/>
          <w:sz w:val="28"/>
          <w:szCs w:val="28"/>
          <w:lang w:val="en-GB"/>
        </w:rPr>
      </w:pPr>
      <w:proofErr w:type="spellStart"/>
      <w:r>
        <w:rPr>
          <w:b/>
          <w:sz w:val="28"/>
          <w:szCs w:val="28"/>
        </w:rPr>
        <w:t>Economic</w:t>
      </w:r>
      <w:proofErr w:type="spellEnd"/>
      <w:r>
        <w:rPr>
          <w:b/>
          <w:sz w:val="28"/>
          <w:szCs w:val="28"/>
        </w:rPr>
        <w:t xml:space="preserve"> Commission for Europe</w:t>
      </w:r>
    </w:p>
    <w:p w14:paraId="10077966" w14:textId="77777777" w:rsidR="00BD321A" w:rsidRDefault="00BD321A" w:rsidP="00BD321A">
      <w:pPr>
        <w:spacing w:before="120"/>
        <w:rPr>
          <w:sz w:val="28"/>
          <w:szCs w:val="28"/>
        </w:rPr>
      </w:pPr>
      <w:proofErr w:type="spellStart"/>
      <w:r>
        <w:rPr>
          <w:sz w:val="28"/>
          <w:szCs w:val="28"/>
        </w:rPr>
        <w:t>Inland</w:t>
      </w:r>
      <w:proofErr w:type="spellEnd"/>
      <w:r>
        <w:rPr>
          <w:sz w:val="28"/>
          <w:szCs w:val="28"/>
        </w:rPr>
        <w:t xml:space="preserve"> Transport </w:t>
      </w:r>
      <w:proofErr w:type="spellStart"/>
      <w:r>
        <w:rPr>
          <w:sz w:val="28"/>
          <w:szCs w:val="28"/>
        </w:rPr>
        <w:t>Committee</w:t>
      </w:r>
      <w:proofErr w:type="spellEnd"/>
    </w:p>
    <w:p w14:paraId="09C90338" w14:textId="77777777" w:rsidR="00BD321A" w:rsidRDefault="00BD321A" w:rsidP="00BD321A">
      <w:pPr>
        <w:spacing w:before="120" w:after="120"/>
        <w:rPr>
          <w:b/>
          <w:sz w:val="24"/>
          <w:szCs w:val="24"/>
        </w:rPr>
      </w:pPr>
      <w:proofErr w:type="spellStart"/>
      <w:r>
        <w:rPr>
          <w:b/>
          <w:sz w:val="24"/>
          <w:szCs w:val="24"/>
        </w:rPr>
        <w:t>Working</w:t>
      </w:r>
      <w:proofErr w:type="spellEnd"/>
      <w:r>
        <w:rPr>
          <w:b/>
          <w:sz w:val="24"/>
          <w:szCs w:val="24"/>
        </w:rPr>
        <w:t xml:space="preserve"> Party on the Transport of Dangerous </w:t>
      </w:r>
      <w:proofErr w:type="spellStart"/>
      <w:r>
        <w:rPr>
          <w:b/>
          <w:sz w:val="24"/>
          <w:szCs w:val="24"/>
        </w:rPr>
        <w:t>Goods</w:t>
      </w:r>
      <w:proofErr w:type="spellEnd"/>
    </w:p>
    <w:p w14:paraId="7F8D218E" w14:textId="77777777" w:rsidR="00BD321A" w:rsidRDefault="00BD321A" w:rsidP="00BD321A">
      <w:pPr>
        <w:rPr>
          <w:b/>
        </w:rPr>
      </w:pPr>
      <w:r>
        <w:rPr>
          <w:b/>
        </w:rPr>
        <w:t xml:space="preserve">Joint Meeting of the RID </w:t>
      </w:r>
      <w:proofErr w:type="spellStart"/>
      <w:r>
        <w:rPr>
          <w:b/>
        </w:rPr>
        <w:t>Committee</w:t>
      </w:r>
      <w:proofErr w:type="spellEnd"/>
      <w:r>
        <w:rPr>
          <w:b/>
        </w:rPr>
        <w:t xml:space="preserve"> of Experts and the</w:t>
      </w:r>
    </w:p>
    <w:p w14:paraId="644D36DA" w14:textId="6CB33690" w:rsidR="00BD321A" w:rsidRDefault="00BD321A" w:rsidP="00BD321A">
      <w:pPr>
        <w:rPr>
          <w:b/>
        </w:rPr>
      </w:pPr>
      <w:proofErr w:type="spellStart"/>
      <w:r>
        <w:rPr>
          <w:b/>
        </w:rPr>
        <w:t>Working</w:t>
      </w:r>
      <w:proofErr w:type="spellEnd"/>
      <w:r>
        <w:rPr>
          <w:b/>
        </w:rPr>
        <w:t xml:space="preserve"> Party on the Transport of Dangerous </w:t>
      </w:r>
      <w:proofErr w:type="spellStart"/>
      <w:r>
        <w:rPr>
          <w:b/>
        </w:rPr>
        <w:t>Goods</w:t>
      </w:r>
      <w:proofErr w:type="spellEnd"/>
      <w:r>
        <w:rPr>
          <w:b/>
        </w:rPr>
        <w:tab/>
      </w:r>
      <w:r>
        <w:rPr>
          <w:b/>
        </w:rPr>
        <w:tab/>
      </w:r>
      <w:r>
        <w:rPr>
          <w:b/>
        </w:rPr>
        <w:tab/>
      </w:r>
      <w:r>
        <w:rPr>
          <w:b/>
        </w:rPr>
        <w:tab/>
      </w:r>
      <w:r>
        <w:rPr>
          <w:b/>
        </w:rPr>
        <w:tab/>
      </w:r>
      <w:r w:rsidR="00E87D55">
        <w:rPr>
          <w:b/>
        </w:rPr>
        <w:t>9</w:t>
      </w:r>
      <w:r>
        <w:rPr>
          <w:b/>
        </w:rPr>
        <w:t xml:space="preserve"> </w:t>
      </w:r>
      <w:proofErr w:type="spellStart"/>
      <w:r>
        <w:rPr>
          <w:b/>
        </w:rPr>
        <w:t>September</w:t>
      </w:r>
      <w:proofErr w:type="spellEnd"/>
      <w:r>
        <w:rPr>
          <w:b/>
        </w:rPr>
        <w:t xml:space="preserve"> 2022</w:t>
      </w:r>
    </w:p>
    <w:p w14:paraId="013E2330" w14:textId="77777777" w:rsidR="00BD321A" w:rsidRDefault="00BD321A" w:rsidP="00BD321A">
      <w:r>
        <w:t xml:space="preserve">Geneva, 12-16 </w:t>
      </w:r>
      <w:proofErr w:type="spellStart"/>
      <w:r>
        <w:t>September</w:t>
      </w:r>
      <w:proofErr w:type="spellEnd"/>
      <w:r>
        <w:t xml:space="preserve"> 2022</w:t>
      </w:r>
    </w:p>
    <w:p w14:paraId="47D8A1AF" w14:textId="77777777" w:rsidR="00BD321A" w:rsidRDefault="00BD321A" w:rsidP="00BD321A">
      <w:pPr>
        <w:rPr>
          <w:lang w:eastAsia="fr-FR"/>
        </w:rPr>
      </w:pPr>
      <w:r>
        <w:t xml:space="preserve">Item 5 (b) of the </w:t>
      </w:r>
      <w:proofErr w:type="spellStart"/>
      <w:r>
        <w:t>provisional</w:t>
      </w:r>
      <w:proofErr w:type="spellEnd"/>
      <w:r>
        <w:t xml:space="preserve"> agenda</w:t>
      </w:r>
    </w:p>
    <w:p w14:paraId="5CBF87B9" w14:textId="77777777" w:rsidR="00BD321A" w:rsidRDefault="00BD321A" w:rsidP="00BD321A">
      <w:pPr>
        <w:rPr>
          <w:b/>
        </w:rPr>
      </w:pPr>
      <w:proofErr w:type="spellStart"/>
      <w:r>
        <w:rPr>
          <w:b/>
        </w:rPr>
        <w:t>Proposals</w:t>
      </w:r>
      <w:proofErr w:type="spellEnd"/>
      <w:r>
        <w:rPr>
          <w:b/>
        </w:rPr>
        <w:t xml:space="preserve"> for </w:t>
      </w:r>
      <w:proofErr w:type="spellStart"/>
      <w:r>
        <w:rPr>
          <w:b/>
        </w:rPr>
        <w:t>amendments</w:t>
      </w:r>
      <w:proofErr w:type="spellEnd"/>
      <w:r>
        <w:rPr>
          <w:b/>
        </w:rPr>
        <w:t xml:space="preserve"> to RID/ADR/ADN:</w:t>
      </w:r>
    </w:p>
    <w:p w14:paraId="34063FA6" w14:textId="3AC69EA5" w:rsidR="00EC38AB" w:rsidRPr="00EC38AB" w:rsidRDefault="00BD321A" w:rsidP="00BD321A">
      <w:pPr>
        <w:rPr>
          <w:b/>
          <w:bCs/>
          <w:lang w:val="en-US"/>
        </w:rPr>
      </w:pPr>
      <w:r>
        <w:rPr>
          <w:b/>
        </w:rPr>
        <w:t xml:space="preserve">new </w:t>
      </w:r>
      <w:proofErr w:type="spellStart"/>
      <w:r>
        <w:rPr>
          <w:b/>
        </w:rPr>
        <w:t>proposals</w:t>
      </w:r>
      <w:proofErr w:type="spellEnd"/>
    </w:p>
    <w:p w14:paraId="59D64574" w14:textId="308F81AB" w:rsidR="00EC38AB" w:rsidRPr="00E32B3B" w:rsidRDefault="00EC38AB" w:rsidP="00EC38AB">
      <w:pPr>
        <w:tabs>
          <w:tab w:val="right" w:pos="851"/>
        </w:tabs>
        <w:adjustRightInd w:val="0"/>
        <w:snapToGrid w:val="0"/>
        <w:spacing w:before="360" w:after="120" w:line="300" w:lineRule="exact"/>
        <w:ind w:left="1134" w:right="707" w:hanging="1134"/>
        <w:rPr>
          <w:b/>
          <w:bCs/>
          <w:sz w:val="24"/>
          <w:szCs w:val="24"/>
          <w:highlight w:val="yellow"/>
          <w:lang w:val="en-US"/>
        </w:rPr>
      </w:pPr>
      <w:r w:rsidRPr="00A50393">
        <w:rPr>
          <w:b/>
          <w:bCs/>
          <w:sz w:val="28"/>
          <w:szCs w:val="28"/>
          <w:lang w:val="en-US"/>
        </w:rPr>
        <w:tab/>
      </w:r>
      <w:r w:rsidRPr="00A50393">
        <w:rPr>
          <w:b/>
          <w:bCs/>
          <w:sz w:val="28"/>
          <w:szCs w:val="28"/>
          <w:lang w:val="en-US"/>
        </w:rPr>
        <w:tab/>
      </w:r>
      <w:r w:rsidR="006D75E5">
        <w:rPr>
          <w:b/>
          <w:bCs/>
          <w:sz w:val="28"/>
          <w:szCs w:val="28"/>
          <w:lang w:val="en-US"/>
        </w:rPr>
        <w:t>Comments on document</w:t>
      </w:r>
      <w:r w:rsidR="00E32B3B" w:rsidRPr="00E32B3B">
        <w:rPr>
          <w:b/>
          <w:bCs/>
          <w:sz w:val="28"/>
          <w:szCs w:val="28"/>
          <w:lang w:val="en-US"/>
        </w:rPr>
        <w:t xml:space="preserve"> </w:t>
      </w:r>
      <w:bookmarkStart w:id="0" w:name="_Hlk113574634"/>
      <w:r w:rsidR="00E32B3B" w:rsidRPr="00E32B3B">
        <w:rPr>
          <w:b/>
          <w:sz w:val="24"/>
          <w:szCs w:val="24"/>
          <w:lang w:val="en-US"/>
        </w:rPr>
        <w:t>ECE/TRANS/WP.15/AC.1/2022</w:t>
      </w:r>
      <w:bookmarkEnd w:id="0"/>
      <w:r w:rsidR="00E32B3B" w:rsidRPr="00E32B3B">
        <w:rPr>
          <w:b/>
          <w:sz w:val="24"/>
          <w:szCs w:val="24"/>
          <w:lang w:val="en-US"/>
        </w:rPr>
        <w:t>/27</w:t>
      </w:r>
      <w:r w:rsidR="00E32B3B">
        <w:rPr>
          <w:b/>
          <w:sz w:val="24"/>
          <w:szCs w:val="24"/>
          <w:lang w:val="en-US"/>
        </w:rPr>
        <w:t xml:space="preserve"> </w:t>
      </w:r>
      <w:r w:rsidR="00E32B3B" w:rsidRPr="00E32B3B">
        <w:rPr>
          <w:b/>
          <w:sz w:val="24"/>
          <w:szCs w:val="24"/>
          <w:lang w:val="en-US"/>
        </w:rPr>
        <w:t>from COSTHA</w:t>
      </w:r>
    </w:p>
    <w:p w14:paraId="58BE143F" w14:textId="5F111872" w:rsidR="006D2658" w:rsidRPr="007B1C52" w:rsidRDefault="006D2658" w:rsidP="00CA388C">
      <w:pPr>
        <w:pStyle w:val="H1G"/>
        <w:rPr>
          <w:lang w:val="en-US"/>
        </w:rPr>
      </w:pPr>
      <w:r w:rsidRPr="00E32B3B">
        <w:rPr>
          <w:lang w:val="en-US"/>
        </w:rPr>
        <w:tab/>
      </w:r>
      <w:r w:rsidRPr="00E32B3B">
        <w:rPr>
          <w:lang w:val="en-US"/>
        </w:rPr>
        <w:tab/>
      </w:r>
      <w:r w:rsidRPr="00E32B3B">
        <w:rPr>
          <w:lang w:val="en-US"/>
        </w:rPr>
        <w:tab/>
      </w:r>
      <w:r w:rsidRPr="007B1C52">
        <w:rPr>
          <w:lang w:val="en-US"/>
        </w:rPr>
        <w:t>Transmitted by the Government of France</w:t>
      </w:r>
    </w:p>
    <w:p w14:paraId="3307FBA9" w14:textId="47F2BE0D" w:rsidR="006D2658" w:rsidRDefault="00CA388C" w:rsidP="00CA388C">
      <w:pPr>
        <w:pStyle w:val="HChG"/>
        <w:rPr>
          <w:lang w:val="en-GB"/>
        </w:rPr>
      </w:pPr>
      <w:r>
        <w:rPr>
          <w:lang w:val="en-GB"/>
        </w:rPr>
        <w:tab/>
      </w:r>
      <w:r>
        <w:rPr>
          <w:lang w:val="en-GB"/>
        </w:rPr>
        <w:tab/>
      </w:r>
      <w:r w:rsidR="006D2658" w:rsidRPr="00965497">
        <w:rPr>
          <w:lang w:val="en-GB"/>
        </w:rPr>
        <w:t>Introduction</w:t>
      </w:r>
    </w:p>
    <w:p w14:paraId="0452FF4F" w14:textId="723F4E27" w:rsidR="00EC38AB" w:rsidRPr="00EC38AB" w:rsidRDefault="004949C2" w:rsidP="00EC38AB">
      <w:pPr>
        <w:pStyle w:val="SingleTxtG"/>
        <w:rPr>
          <w:lang w:val="en-US"/>
        </w:rPr>
      </w:pPr>
      <w:r w:rsidRPr="003243D8">
        <w:rPr>
          <w:lang w:val="en-GB"/>
        </w:rPr>
        <w:t>1.</w:t>
      </w:r>
      <w:r w:rsidR="00453E23">
        <w:rPr>
          <w:lang w:val="en-GB"/>
        </w:rPr>
        <w:tab/>
      </w:r>
      <w:r w:rsidR="00EC38AB" w:rsidRPr="00EC38AB">
        <w:rPr>
          <w:lang w:val="en-US"/>
        </w:rPr>
        <w:t xml:space="preserve">France would like to thank </w:t>
      </w:r>
      <w:r w:rsidR="00EC38AB">
        <w:rPr>
          <w:lang w:val="en-US"/>
        </w:rPr>
        <w:t>COSTHA</w:t>
      </w:r>
      <w:r w:rsidR="00EC38AB" w:rsidRPr="00EC38AB">
        <w:rPr>
          <w:lang w:val="en-US"/>
        </w:rPr>
        <w:t xml:space="preserve"> for the proposal </w:t>
      </w:r>
      <w:r w:rsidR="00EC38AB">
        <w:rPr>
          <w:lang w:val="en-US"/>
        </w:rPr>
        <w:t>concerning the introduction of new provisions in relation with grocery delivery services</w:t>
      </w:r>
      <w:r w:rsidR="00EC38AB" w:rsidRPr="00EC38AB">
        <w:rPr>
          <w:lang w:val="en-US"/>
        </w:rPr>
        <w:t>.</w:t>
      </w:r>
    </w:p>
    <w:p w14:paraId="7F1919FD" w14:textId="3F2760A5" w:rsidR="00EC38AB" w:rsidRPr="00EC38AB" w:rsidRDefault="00EC38AB" w:rsidP="00EC38AB">
      <w:pPr>
        <w:pStyle w:val="SingleTxtG"/>
        <w:rPr>
          <w:lang w:val="en-US"/>
        </w:rPr>
      </w:pPr>
      <w:r w:rsidRPr="00EC38AB">
        <w:rPr>
          <w:lang w:val="en-US"/>
        </w:rPr>
        <w:t>2.</w:t>
      </w:r>
      <w:r w:rsidR="00453E23">
        <w:rPr>
          <w:lang w:val="en-US"/>
        </w:rPr>
        <w:tab/>
      </w:r>
      <w:r w:rsidR="00EA08A3" w:rsidRPr="00EA08A3">
        <w:rPr>
          <w:lang w:val="en-US"/>
        </w:rPr>
        <w:t>Fra</w:t>
      </w:r>
      <w:r w:rsidR="00E32B3B">
        <w:rPr>
          <w:lang w:val="en-US"/>
        </w:rPr>
        <w:t>nce is of the opinion that the documents are dealing</w:t>
      </w:r>
      <w:r w:rsidR="00451E02">
        <w:rPr>
          <w:lang w:val="en-US"/>
        </w:rPr>
        <w:t xml:space="preserve"> </w:t>
      </w:r>
      <w:r w:rsidR="00E32B3B">
        <w:rPr>
          <w:lang w:val="en-US"/>
        </w:rPr>
        <w:t>with</w:t>
      </w:r>
      <w:r w:rsidR="00EA08A3" w:rsidRPr="00EA08A3">
        <w:rPr>
          <w:lang w:val="en-US"/>
        </w:rPr>
        <w:t xml:space="preserve"> a real </w:t>
      </w:r>
      <w:r w:rsidR="00E32B3B">
        <w:rPr>
          <w:lang w:val="en-US"/>
        </w:rPr>
        <w:t xml:space="preserve">issue and that adapting the </w:t>
      </w:r>
      <w:r w:rsidR="00EA08A3" w:rsidRPr="00EA08A3">
        <w:rPr>
          <w:lang w:val="en-US"/>
        </w:rPr>
        <w:t>regulatory provisions governing</w:t>
      </w:r>
      <w:r w:rsidR="00E32B3B">
        <w:rPr>
          <w:lang w:val="en-US"/>
        </w:rPr>
        <w:t xml:space="preserve"> this sector of activity would help</w:t>
      </w:r>
      <w:r w:rsidR="00B31982">
        <w:rPr>
          <w:lang w:val="en-US"/>
        </w:rPr>
        <w:t>.</w:t>
      </w:r>
    </w:p>
    <w:p w14:paraId="01070A22" w14:textId="71CE85A0" w:rsidR="00EC38AB" w:rsidRPr="00EC38AB" w:rsidRDefault="00EC38AB" w:rsidP="00451E02">
      <w:pPr>
        <w:pStyle w:val="SingleTxtG"/>
        <w:rPr>
          <w:lang w:val="en-US"/>
        </w:rPr>
      </w:pPr>
      <w:r w:rsidRPr="00EC38AB">
        <w:rPr>
          <w:lang w:val="en-US"/>
        </w:rPr>
        <w:t>3.</w:t>
      </w:r>
      <w:r w:rsidR="00453E23">
        <w:rPr>
          <w:lang w:val="en-US"/>
        </w:rPr>
        <w:tab/>
      </w:r>
      <w:r w:rsidR="000338EC" w:rsidRPr="000338EC">
        <w:rPr>
          <w:lang w:val="en-US"/>
        </w:rPr>
        <w:t>However,</w:t>
      </w:r>
      <w:r w:rsidR="00E32B3B">
        <w:rPr>
          <w:lang w:val="en-US"/>
        </w:rPr>
        <w:t xml:space="preserve"> in our view</w:t>
      </w:r>
      <w:r w:rsidR="000338EC" w:rsidRPr="000338EC">
        <w:rPr>
          <w:lang w:val="en-US"/>
        </w:rPr>
        <w:t xml:space="preserve"> </w:t>
      </w:r>
      <w:r w:rsidR="00451E02">
        <w:rPr>
          <w:lang w:val="en-US"/>
        </w:rPr>
        <w:t xml:space="preserve">there are still some problems with the proposals as drafted </w:t>
      </w:r>
      <w:r w:rsidR="000338EC" w:rsidRPr="000338EC">
        <w:rPr>
          <w:lang w:val="en-US"/>
        </w:rPr>
        <w:t>by COSTHA</w:t>
      </w:r>
      <w:r w:rsidR="00451E02">
        <w:rPr>
          <w:lang w:val="en-US"/>
        </w:rPr>
        <w:t xml:space="preserve">. </w:t>
      </w:r>
      <w:r w:rsidR="00C20AFD">
        <w:rPr>
          <w:lang w:val="en-US"/>
        </w:rPr>
        <w:t>T</w:t>
      </w:r>
      <w:r w:rsidR="00451E02">
        <w:rPr>
          <w:lang w:val="en-US"/>
        </w:rPr>
        <w:t xml:space="preserve">o facilitate the discussion in the meeting </w:t>
      </w:r>
      <w:r w:rsidR="00153897">
        <w:rPr>
          <w:lang w:val="en-US"/>
        </w:rPr>
        <w:t>France</w:t>
      </w:r>
      <w:r w:rsidR="00451E02">
        <w:rPr>
          <w:lang w:val="en-US"/>
        </w:rPr>
        <w:t xml:space="preserve"> would like to propose some amended text </w:t>
      </w:r>
      <w:r w:rsidR="000338EC" w:rsidRPr="000338EC">
        <w:rPr>
          <w:lang w:val="en-US"/>
        </w:rPr>
        <w:t xml:space="preserve">to </w:t>
      </w:r>
      <w:r w:rsidR="00451E02">
        <w:rPr>
          <w:lang w:val="en-US"/>
        </w:rPr>
        <w:t xml:space="preserve">better </w:t>
      </w:r>
      <w:r w:rsidR="000338EC" w:rsidRPr="000338EC">
        <w:rPr>
          <w:lang w:val="en-US"/>
        </w:rPr>
        <w:t xml:space="preserve">specify the types of packaging covered by the provisions and, </w:t>
      </w:r>
      <w:r w:rsidR="00451E02">
        <w:rPr>
          <w:lang w:val="en-US"/>
        </w:rPr>
        <w:t xml:space="preserve">also </w:t>
      </w:r>
      <w:r w:rsidR="000338EC" w:rsidRPr="000338EC">
        <w:rPr>
          <w:lang w:val="en-US"/>
        </w:rPr>
        <w:t>to guarantee the safety of transport operations by avoiding large quantities of goods</w:t>
      </w:r>
      <w:r w:rsidR="00451E02">
        <w:rPr>
          <w:lang w:val="en-US"/>
        </w:rPr>
        <w:t xml:space="preserve">. More precisely the main issues </w:t>
      </w:r>
      <w:r w:rsidR="000F4CB4">
        <w:rPr>
          <w:lang w:val="en-US"/>
        </w:rPr>
        <w:t>are as follows</w:t>
      </w:r>
      <w:r w:rsidR="00451E02">
        <w:rPr>
          <w:lang w:val="en-US"/>
        </w:rPr>
        <w:t>:</w:t>
      </w:r>
    </w:p>
    <w:p w14:paraId="061C5A5A" w14:textId="37DF142C" w:rsidR="00EC38AB" w:rsidRDefault="001105AE" w:rsidP="00453E23">
      <w:pPr>
        <w:pStyle w:val="SingleTxtG"/>
        <w:numPr>
          <w:ilvl w:val="4"/>
          <w:numId w:val="37"/>
        </w:numPr>
        <w:ind w:left="2268" w:hanging="567"/>
        <w:rPr>
          <w:lang w:val="en-US"/>
        </w:rPr>
      </w:pPr>
      <w:r w:rsidRPr="001105AE">
        <w:rPr>
          <w:lang w:val="en-US"/>
        </w:rPr>
        <w:t xml:space="preserve">The use that will be made of the goods transported </w:t>
      </w:r>
      <w:r w:rsidR="00451E02">
        <w:rPr>
          <w:lang w:val="en-US"/>
        </w:rPr>
        <w:t>by the</w:t>
      </w:r>
      <w:r w:rsidRPr="001105AE">
        <w:rPr>
          <w:lang w:val="en-US"/>
        </w:rPr>
        <w:t xml:space="preserve"> individuals</w:t>
      </w:r>
      <w:r w:rsidR="00B31982">
        <w:rPr>
          <w:lang w:val="en-US"/>
        </w:rPr>
        <w:t xml:space="preserve"> </w:t>
      </w:r>
      <w:r w:rsidR="00451E02">
        <w:rPr>
          <w:lang w:val="en-US"/>
        </w:rPr>
        <w:t>once it is delivered</w:t>
      </w:r>
      <w:r w:rsidRPr="001105AE">
        <w:rPr>
          <w:lang w:val="en-US"/>
        </w:rPr>
        <w:t xml:space="preserve"> does not have </w:t>
      </w:r>
      <w:r w:rsidR="00451E02">
        <w:rPr>
          <w:lang w:val="en-US"/>
        </w:rPr>
        <w:t xml:space="preserve">necessarily </w:t>
      </w:r>
      <w:r w:rsidRPr="001105AE">
        <w:rPr>
          <w:lang w:val="en-US"/>
        </w:rPr>
        <w:t xml:space="preserve">to be taken into account. It is therefore proposed to delete the notion of </w:t>
      </w:r>
      <w:r>
        <w:rPr>
          <w:lang w:val="en-US"/>
        </w:rPr>
        <w:t>“</w:t>
      </w:r>
      <w:r w:rsidRPr="001105AE">
        <w:rPr>
          <w:lang w:val="en-US"/>
        </w:rPr>
        <w:t>leisure or sporting activities</w:t>
      </w:r>
      <w:r>
        <w:rPr>
          <w:lang w:val="en-US"/>
        </w:rPr>
        <w:t>”</w:t>
      </w:r>
      <w:r w:rsidRPr="001105AE">
        <w:rPr>
          <w:lang w:val="en-US"/>
        </w:rPr>
        <w:t>.</w:t>
      </w:r>
      <w:r>
        <w:rPr>
          <w:lang w:val="en-US"/>
        </w:rPr>
        <w:t xml:space="preserve"> </w:t>
      </w:r>
      <w:r w:rsidR="00B31982">
        <w:rPr>
          <w:lang w:val="en-US"/>
        </w:rPr>
        <w:t>In addition</w:t>
      </w:r>
      <w:r w:rsidRPr="001105AE">
        <w:rPr>
          <w:lang w:val="en-US"/>
        </w:rPr>
        <w:t xml:space="preserve">, </w:t>
      </w:r>
      <w:r w:rsidR="00B31982">
        <w:rPr>
          <w:lang w:val="en-US"/>
        </w:rPr>
        <w:t>the wording</w:t>
      </w:r>
      <w:r w:rsidRPr="001105AE">
        <w:rPr>
          <w:lang w:val="en-US"/>
        </w:rPr>
        <w:t xml:space="preserve"> of </w:t>
      </w:r>
      <w:r w:rsidR="00B31982">
        <w:rPr>
          <w:lang w:val="en-US"/>
        </w:rPr>
        <w:t>“</w:t>
      </w:r>
      <w:r w:rsidRPr="001105AE">
        <w:rPr>
          <w:lang w:val="en-US"/>
        </w:rPr>
        <w:t>endangering public safety</w:t>
      </w:r>
      <w:r w:rsidR="00B31982">
        <w:rPr>
          <w:lang w:val="en-US"/>
        </w:rPr>
        <w:t>” which is subj</w:t>
      </w:r>
      <w:r w:rsidR="00451E02">
        <w:rPr>
          <w:lang w:val="en-US"/>
        </w:rPr>
        <w:t>ective</w:t>
      </w:r>
      <w:r w:rsidRPr="001105AE">
        <w:rPr>
          <w:lang w:val="en-US"/>
        </w:rPr>
        <w:t xml:space="preserve"> can be removed given that any leakage of dangerous goods is prohibited in the regulations.</w:t>
      </w:r>
    </w:p>
    <w:p w14:paraId="488A86BC" w14:textId="4F90D812" w:rsidR="001105AE" w:rsidRPr="001105AE" w:rsidRDefault="00451E02" w:rsidP="00453E23">
      <w:pPr>
        <w:pStyle w:val="SingleTxtG"/>
        <w:numPr>
          <w:ilvl w:val="4"/>
          <w:numId w:val="37"/>
        </w:numPr>
        <w:ind w:left="2268" w:hanging="567"/>
        <w:rPr>
          <w:lang w:val="en-US"/>
        </w:rPr>
      </w:pPr>
      <w:r>
        <w:rPr>
          <w:lang w:val="en-US"/>
        </w:rPr>
        <w:t xml:space="preserve">The authorized packagings </w:t>
      </w:r>
      <w:r w:rsidRPr="001105AE">
        <w:rPr>
          <w:lang w:val="en-US"/>
        </w:rPr>
        <w:t>under</w:t>
      </w:r>
      <w:r w:rsidR="001105AE" w:rsidRPr="001105AE">
        <w:rPr>
          <w:lang w:val="en-US"/>
        </w:rPr>
        <w:t xml:space="preserve"> this exemption </w:t>
      </w:r>
      <w:r>
        <w:rPr>
          <w:lang w:val="en-US"/>
        </w:rPr>
        <w:t>should be better specified as they</w:t>
      </w:r>
      <w:r w:rsidR="00B31982">
        <w:rPr>
          <w:lang w:val="en-US"/>
        </w:rPr>
        <w:t xml:space="preserve"> a</w:t>
      </w:r>
      <w:r>
        <w:rPr>
          <w:lang w:val="en-US"/>
        </w:rPr>
        <w:t>re a major safety element. T</w:t>
      </w:r>
      <w:r w:rsidR="001105AE">
        <w:rPr>
          <w:lang w:val="en-US"/>
        </w:rPr>
        <w:t>hey c</w:t>
      </w:r>
      <w:r w:rsidR="00B31982">
        <w:rPr>
          <w:lang w:val="en-US"/>
        </w:rPr>
        <w:t>ould</w:t>
      </w:r>
      <w:r w:rsidR="001105AE">
        <w:rPr>
          <w:lang w:val="en-US"/>
        </w:rPr>
        <w:t xml:space="preserve"> be</w:t>
      </w:r>
      <w:r w:rsidR="001105AE" w:rsidRPr="001105AE">
        <w:rPr>
          <w:lang w:val="en-US"/>
        </w:rPr>
        <w:t>:</w:t>
      </w:r>
    </w:p>
    <w:p w14:paraId="055FBA22" w14:textId="7F2878F5" w:rsidR="001105AE" w:rsidRPr="001105AE" w:rsidRDefault="001105AE" w:rsidP="00453E23">
      <w:pPr>
        <w:pStyle w:val="SingleTxtG"/>
        <w:ind w:left="2835" w:hanging="567"/>
        <w:rPr>
          <w:lang w:val="en-US"/>
        </w:rPr>
      </w:pPr>
      <w:r w:rsidRPr="001105AE">
        <w:rPr>
          <w:lang w:val="en-US"/>
        </w:rPr>
        <w:t>-</w:t>
      </w:r>
      <w:r w:rsidR="00453E23">
        <w:rPr>
          <w:lang w:val="en-US"/>
        </w:rPr>
        <w:tab/>
      </w:r>
      <w:r w:rsidR="00451E02" w:rsidRPr="001105AE">
        <w:rPr>
          <w:lang w:val="en-US"/>
        </w:rPr>
        <w:t>Inner</w:t>
      </w:r>
      <w:r w:rsidRPr="001105AE">
        <w:rPr>
          <w:lang w:val="en-US"/>
        </w:rPr>
        <w:t xml:space="preserve"> packaging</w:t>
      </w:r>
      <w:r>
        <w:rPr>
          <w:lang w:val="en-US"/>
        </w:rPr>
        <w:t>s</w:t>
      </w:r>
      <w:r w:rsidRPr="001105AE">
        <w:rPr>
          <w:lang w:val="en-US"/>
        </w:rPr>
        <w:t xml:space="preserve"> from packages that comply with </w:t>
      </w:r>
      <w:r w:rsidR="00437BB5">
        <w:rPr>
          <w:lang w:val="en-US"/>
        </w:rPr>
        <w:t>C</w:t>
      </w:r>
      <w:r w:rsidRPr="001105AE">
        <w:rPr>
          <w:lang w:val="en-US"/>
        </w:rPr>
        <w:t>hapter 3.4, or</w:t>
      </w:r>
    </w:p>
    <w:p w14:paraId="44746A0A" w14:textId="1E5BA29B" w:rsidR="001105AE" w:rsidRPr="001105AE" w:rsidRDefault="001105AE" w:rsidP="00453E23">
      <w:pPr>
        <w:pStyle w:val="SingleTxtG"/>
        <w:ind w:left="2835" w:hanging="567"/>
        <w:rPr>
          <w:lang w:val="en-US"/>
        </w:rPr>
      </w:pPr>
      <w:r w:rsidRPr="001105AE">
        <w:rPr>
          <w:lang w:val="en-US"/>
        </w:rPr>
        <w:t>-</w:t>
      </w:r>
      <w:r w:rsidR="00453E23">
        <w:rPr>
          <w:lang w:val="en-US"/>
        </w:rPr>
        <w:tab/>
      </w:r>
      <w:r w:rsidR="00451E02">
        <w:rPr>
          <w:lang w:val="en-US"/>
        </w:rPr>
        <w:t>Inner</w:t>
      </w:r>
      <w:r w:rsidRPr="001105AE">
        <w:rPr>
          <w:lang w:val="en-US"/>
        </w:rPr>
        <w:t xml:space="preserve"> packagings of combination packagings in accordance with Chapter 4.1, or</w:t>
      </w:r>
    </w:p>
    <w:p w14:paraId="38FC5EF2" w14:textId="274597F1" w:rsidR="001105AE" w:rsidRDefault="001105AE" w:rsidP="00453E23">
      <w:pPr>
        <w:pStyle w:val="SingleTxtG"/>
        <w:ind w:left="2835" w:hanging="567"/>
        <w:rPr>
          <w:lang w:val="en-US"/>
        </w:rPr>
      </w:pPr>
      <w:r w:rsidRPr="001105AE">
        <w:rPr>
          <w:lang w:val="en-US"/>
        </w:rPr>
        <w:t>-</w:t>
      </w:r>
      <w:r w:rsidR="00453E23">
        <w:rPr>
          <w:lang w:val="en-US"/>
        </w:rPr>
        <w:tab/>
      </w:r>
      <w:r w:rsidR="00451E02" w:rsidRPr="001105AE">
        <w:rPr>
          <w:lang w:val="en-US"/>
        </w:rPr>
        <w:t>Simple</w:t>
      </w:r>
      <w:r w:rsidRPr="001105AE">
        <w:rPr>
          <w:lang w:val="en-US"/>
        </w:rPr>
        <w:t xml:space="preserve"> packaging</w:t>
      </w:r>
      <w:r>
        <w:rPr>
          <w:lang w:val="en-US"/>
        </w:rPr>
        <w:t>s</w:t>
      </w:r>
      <w:r w:rsidRPr="001105AE">
        <w:rPr>
          <w:lang w:val="en-US"/>
        </w:rPr>
        <w:t xml:space="preserve"> in accordance with the provisions of </w:t>
      </w:r>
      <w:r w:rsidR="00437BB5">
        <w:rPr>
          <w:lang w:val="en-US"/>
        </w:rPr>
        <w:t>C</w:t>
      </w:r>
      <w:r w:rsidRPr="001105AE">
        <w:rPr>
          <w:lang w:val="en-US"/>
        </w:rPr>
        <w:t>hapter 6.1 (the latter can be purchased in large do-it-yourself surfaces, for example).</w:t>
      </w:r>
    </w:p>
    <w:p w14:paraId="2867AC90" w14:textId="0B9541B6" w:rsidR="00437BB5" w:rsidRDefault="00AC16F3" w:rsidP="00453E23">
      <w:pPr>
        <w:pStyle w:val="SingleTxtG"/>
        <w:numPr>
          <w:ilvl w:val="4"/>
          <w:numId w:val="37"/>
        </w:numPr>
        <w:ind w:left="2268" w:hanging="567"/>
        <w:rPr>
          <w:lang w:val="en-US"/>
        </w:rPr>
      </w:pPr>
      <w:r>
        <w:rPr>
          <w:lang w:val="en-US"/>
        </w:rPr>
        <w:t>T</w:t>
      </w:r>
      <w:r w:rsidR="0049079F" w:rsidRPr="0049079F">
        <w:rPr>
          <w:lang w:val="en-US"/>
        </w:rPr>
        <w:t>o align with the types of packaging available in stores and with packaging from limited quantities, it is proposed to limit quantities to 5 liters or 5 kg per packaging. This arrangement is also important in the context of the handling of heavy packages which are difficult to load from a vehicle by the driver.</w:t>
      </w:r>
    </w:p>
    <w:p w14:paraId="1393AA60" w14:textId="727C2224" w:rsidR="0049079F" w:rsidRDefault="00451E02" w:rsidP="00453E23">
      <w:pPr>
        <w:pStyle w:val="SingleTxtG"/>
        <w:numPr>
          <w:ilvl w:val="4"/>
          <w:numId w:val="37"/>
        </w:numPr>
        <w:ind w:left="2268" w:hanging="567"/>
        <w:rPr>
          <w:lang w:val="en-US"/>
        </w:rPr>
      </w:pPr>
      <w:r>
        <w:rPr>
          <w:lang w:val="en-US"/>
        </w:rPr>
        <w:t>For</w:t>
      </w:r>
      <w:r w:rsidR="0049079F" w:rsidRPr="0049079F">
        <w:rPr>
          <w:lang w:val="en-US"/>
        </w:rPr>
        <w:t xml:space="preserve"> safety reasons Class 2 materials, apart from aerosols (UN</w:t>
      </w:r>
      <w:r w:rsidR="00F9573D">
        <w:rPr>
          <w:lang w:val="en-US"/>
        </w:rPr>
        <w:t xml:space="preserve"> </w:t>
      </w:r>
      <w:r w:rsidR="0049079F" w:rsidRPr="0049079F">
        <w:rPr>
          <w:lang w:val="en-US"/>
        </w:rPr>
        <w:t>1950) and gas cartridges (UN</w:t>
      </w:r>
      <w:r w:rsidR="00F9573D">
        <w:rPr>
          <w:lang w:val="en-US"/>
        </w:rPr>
        <w:t xml:space="preserve"> </w:t>
      </w:r>
      <w:r w:rsidR="0049079F" w:rsidRPr="0049079F">
        <w:rPr>
          <w:lang w:val="en-US"/>
        </w:rPr>
        <w:t xml:space="preserve">2037) should not come under this exemption. It is therefore advisable to delete the paragraphs relating to </w:t>
      </w:r>
      <w:r w:rsidR="009128C5">
        <w:rPr>
          <w:lang w:val="en-US"/>
        </w:rPr>
        <w:t>C</w:t>
      </w:r>
      <w:r w:rsidR="0049079F" w:rsidRPr="0049079F">
        <w:rPr>
          <w:lang w:val="en-US"/>
        </w:rPr>
        <w:t>lass 2.</w:t>
      </w:r>
    </w:p>
    <w:p w14:paraId="425EC308" w14:textId="12052DAB" w:rsidR="00A50393" w:rsidRDefault="0049079F" w:rsidP="00453E23">
      <w:pPr>
        <w:pStyle w:val="SingleTxtG"/>
        <w:numPr>
          <w:ilvl w:val="4"/>
          <w:numId w:val="37"/>
        </w:numPr>
        <w:ind w:left="2268" w:hanging="567"/>
        <w:rPr>
          <w:lang w:val="en-US"/>
        </w:rPr>
      </w:pPr>
      <w:r w:rsidRPr="0049079F">
        <w:rPr>
          <w:lang w:val="en-US"/>
        </w:rPr>
        <w:t xml:space="preserve">Finally, it is proposed to limit the quantities of transportable dangerous goods to 150 kg or 150 </w:t>
      </w:r>
      <w:proofErr w:type="spellStart"/>
      <w:r w:rsidRPr="0049079F">
        <w:rPr>
          <w:lang w:val="en-US"/>
        </w:rPr>
        <w:t>litres</w:t>
      </w:r>
      <w:proofErr w:type="spellEnd"/>
      <w:r w:rsidRPr="0049079F">
        <w:rPr>
          <w:lang w:val="en-US"/>
        </w:rPr>
        <w:t>.</w:t>
      </w:r>
    </w:p>
    <w:p w14:paraId="5FFF1AAA" w14:textId="16F29C50" w:rsidR="00A50393" w:rsidRPr="00A50393" w:rsidRDefault="00453E23" w:rsidP="007E6E95">
      <w:pPr>
        <w:pStyle w:val="HChG"/>
        <w:spacing w:before="240" w:after="120" w:line="240" w:lineRule="auto"/>
        <w:rPr>
          <w:lang w:val="en-US"/>
        </w:rPr>
      </w:pPr>
      <w:r>
        <w:rPr>
          <w:lang w:val="en-US"/>
        </w:rPr>
        <w:lastRenderedPageBreak/>
        <w:tab/>
      </w:r>
      <w:r>
        <w:rPr>
          <w:lang w:val="en-US"/>
        </w:rPr>
        <w:tab/>
      </w:r>
      <w:r w:rsidR="00A50393" w:rsidRPr="00A50393">
        <w:rPr>
          <w:lang w:val="en-US"/>
        </w:rPr>
        <w:t>Proposal</w:t>
      </w:r>
    </w:p>
    <w:p w14:paraId="319B4726" w14:textId="5EBAC3FE" w:rsidR="00A50393" w:rsidRDefault="006D75E5" w:rsidP="00A50393">
      <w:pPr>
        <w:pStyle w:val="SingleTxtG"/>
        <w:snapToGrid w:val="0"/>
        <w:spacing w:before="120" w:line="240" w:lineRule="auto"/>
        <w:ind w:right="1188"/>
        <w:rPr>
          <w:lang w:val="en-US"/>
        </w:rPr>
      </w:pPr>
      <w:r>
        <w:rPr>
          <w:lang w:val="en-US"/>
        </w:rPr>
        <w:t>4</w:t>
      </w:r>
      <w:r w:rsidR="00A50393" w:rsidRPr="00A50393">
        <w:rPr>
          <w:lang w:val="en-US"/>
        </w:rPr>
        <w:t>.</w:t>
      </w:r>
      <w:r w:rsidR="00A50393" w:rsidRPr="00A50393">
        <w:rPr>
          <w:lang w:val="en-US"/>
        </w:rPr>
        <w:tab/>
      </w:r>
      <w:r w:rsidR="00A50393">
        <w:rPr>
          <w:lang w:val="en-US"/>
        </w:rPr>
        <w:t>Introduce new exemption in 1.1.3.1 and m</w:t>
      </w:r>
      <w:r w:rsidR="00A50393" w:rsidRPr="00A50393">
        <w:rPr>
          <w:lang w:val="en-US"/>
        </w:rPr>
        <w:t>odify th</w:t>
      </w:r>
      <w:r w:rsidR="00A50393">
        <w:rPr>
          <w:lang w:val="en-US"/>
        </w:rPr>
        <w:t xml:space="preserve">e wording proposed in document </w:t>
      </w:r>
      <w:r w:rsidR="008E0AB1" w:rsidRPr="008E0AB1">
        <w:rPr>
          <w:lang w:val="en-US"/>
        </w:rPr>
        <w:t>ECE/TRANS/WP.15/AC.1/</w:t>
      </w:r>
      <w:r w:rsidR="00A50393" w:rsidRPr="00A50393">
        <w:rPr>
          <w:lang w:val="en-US"/>
        </w:rPr>
        <w:t>2022/</w:t>
      </w:r>
      <w:r w:rsidR="00A50393">
        <w:rPr>
          <w:lang w:val="en-US"/>
        </w:rPr>
        <w:t>27</w:t>
      </w:r>
      <w:r w:rsidR="00A50393" w:rsidRPr="00A50393">
        <w:rPr>
          <w:lang w:val="en-US"/>
        </w:rPr>
        <w:t xml:space="preserve"> as follows (new text in </w:t>
      </w:r>
      <w:r w:rsidR="00A50393" w:rsidRPr="00A50393">
        <w:rPr>
          <w:b/>
          <w:u w:val="single"/>
          <w:lang w:val="en-US"/>
        </w:rPr>
        <w:t>bold underlined</w:t>
      </w:r>
      <w:r w:rsidR="000F468C" w:rsidRPr="000F468C">
        <w:rPr>
          <w:bCs/>
          <w:lang w:val="en-US"/>
        </w:rPr>
        <w:t xml:space="preserve">, </w:t>
      </w:r>
      <w:r w:rsidR="00451E02" w:rsidRPr="000F468C">
        <w:rPr>
          <w:bCs/>
          <w:lang w:val="en-US"/>
        </w:rPr>
        <w:t>deleted text</w:t>
      </w:r>
      <w:r w:rsidR="000F468C">
        <w:rPr>
          <w:bCs/>
          <w:lang w:val="en-US"/>
        </w:rPr>
        <w:t xml:space="preserve"> i</w:t>
      </w:r>
      <w:r w:rsidR="000804A8">
        <w:rPr>
          <w:bCs/>
          <w:lang w:val="en-US"/>
        </w:rPr>
        <w:t xml:space="preserve">n </w:t>
      </w:r>
      <w:r w:rsidR="00A50393" w:rsidRPr="000804A8">
        <w:rPr>
          <w:bCs/>
          <w:strike/>
          <w:lang w:val="en-US"/>
        </w:rPr>
        <w:t>strikethrough text</w:t>
      </w:r>
      <w:r w:rsidR="00A50393" w:rsidRPr="00A50393">
        <w:rPr>
          <w:lang w:val="en-US"/>
        </w:rPr>
        <w:t xml:space="preserve">): </w:t>
      </w:r>
    </w:p>
    <w:p w14:paraId="7A48D89C" w14:textId="77777777" w:rsidR="00C446B0" w:rsidRDefault="00C446B0" w:rsidP="007E6E95">
      <w:pPr>
        <w:pStyle w:val="SingleTxtG"/>
        <w:spacing w:before="120"/>
        <w:ind w:left="1695" w:right="1140"/>
        <w:rPr>
          <w:b/>
          <w:bCs/>
          <w:color w:val="0B0C0C"/>
          <w:lang w:val="en-GB" w:eastAsia="fr-FR"/>
        </w:rPr>
      </w:pPr>
      <w:r w:rsidRPr="00C446B0">
        <w:rPr>
          <w:b/>
          <w:bCs/>
          <w:color w:val="0B0C0C"/>
          <w:lang w:val="en-US"/>
        </w:rPr>
        <w:t>“1.1.3.1</w:t>
      </w:r>
      <w:r w:rsidRPr="00C446B0">
        <w:rPr>
          <w:b/>
          <w:bCs/>
          <w:color w:val="0B0C0C"/>
          <w:lang w:val="en-US"/>
        </w:rPr>
        <w:tab/>
        <w:t>Exemption related to the nature of the transport operation</w:t>
      </w:r>
    </w:p>
    <w:p w14:paraId="57AAC518" w14:textId="77777777" w:rsidR="00C446B0" w:rsidRPr="00C446B0" w:rsidRDefault="00C446B0" w:rsidP="007E6E95">
      <w:pPr>
        <w:pStyle w:val="SingleTxtG"/>
        <w:spacing w:before="120"/>
        <w:ind w:right="1140"/>
        <w:rPr>
          <w:color w:val="0B0C0C"/>
          <w:lang w:val="en-US"/>
        </w:rPr>
      </w:pPr>
      <w:r w:rsidRPr="00C446B0">
        <w:rPr>
          <w:color w:val="0B0C0C"/>
          <w:lang w:val="en-US"/>
        </w:rPr>
        <w:tab/>
      </w:r>
      <w:r w:rsidRPr="00C446B0">
        <w:rPr>
          <w:color w:val="0B0C0C"/>
          <w:lang w:val="en-US"/>
        </w:rPr>
        <w:tab/>
        <w:t>The provisions laid down in ADR do not apply to:</w:t>
      </w:r>
    </w:p>
    <w:p w14:paraId="4D57FD43" w14:textId="77777777" w:rsidR="00C446B0" w:rsidRPr="00C446B0" w:rsidRDefault="00C446B0" w:rsidP="00ED66EF">
      <w:pPr>
        <w:pStyle w:val="SingleTxtG"/>
        <w:spacing w:before="120"/>
        <w:ind w:left="2268" w:right="1138" w:hanging="567"/>
        <w:rPr>
          <w:color w:val="0B0C0C"/>
          <w:lang w:val="en-US"/>
        </w:rPr>
      </w:pPr>
      <w:r w:rsidRPr="00C446B0">
        <w:rPr>
          <w:color w:val="0B0C0C"/>
          <w:lang w:val="en-US"/>
        </w:rPr>
        <w:t>(a)</w:t>
      </w:r>
      <w:r w:rsidRPr="00C446B0">
        <w:rPr>
          <w:color w:val="0B0C0C"/>
          <w:lang w:val="en-US"/>
        </w:rPr>
        <w:tab/>
        <w:t xml:space="preserve">The carriage of dangerous goods by private individuals where the goods in question are packaged for retail sale and are intended for their personal use or domestic use or for their leisure or sporting activities provided that measures have been taken to prevent any leakage of contents in normal conditions of carriage. When these goods are flammable liquids carried in refillable receptacles filled by, or for, a private individual, the total quantity shall not exceed 60 </w:t>
      </w:r>
      <w:proofErr w:type="spellStart"/>
      <w:r w:rsidRPr="00C446B0">
        <w:rPr>
          <w:color w:val="0B0C0C"/>
          <w:lang w:val="en-US"/>
        </w:rPr>
        <w:t>litres</w:t>
      </w:r>
      <w:proofErr w:type="spellEnd"/>
      <w:r w:rsidRPr="00C446B0">
        <w:rPr>
          <w:color w:val="0B0C0C"/>
          <w:lang w:val="en-US"/>
        </w:rPr>
        <w:t xml:space="preserve"> per receptacle and 240 </w:t>
      </w:r>
      <w:proofErr w:type="spellStart"/>
      <w:r w:rsidRPr="00C446B0">
        <w:rPr>
          <w:color w:val="0B0C0C"/>
          <w:lang w:val="en-US"/>
        </w:rPr>
        <w:t>litres</w:t>
      </w:r>
      <w:proofErr w:type="spellEnd"/>
      <w:r w:rsidRPr="00C446B0">
        <w:rPr>
          <w:color w:val="0B0C0C"/>
          <w:lang w:val="en-US"/>
        </w:rPr>
        <w:t xml:space="preserve"> per transport unit. Dangerous goods in IBCs, large packagings or tanks are not considered to be packaged for retail sale.</w:t>
      </w:r>
    </w:p>
    <w:p w14:paraId="439BE17C" w14:textId="77777777" w:rsidR="00C446B0" w:rsidRPr="00E32B3B" w:rsidRDefault="00C446B0" w:rsidP="007E6E95">
      <w:pPr>
        <w:pStyle w:val="SingleTxtG"/>
        <w:spacing w:before="120"/>
        <w:ind w:left="2126" w:right="1140" w:hanging="425"/>
        <w:rPr>
          <w:color w:val="0B0C0C"/>
          <w:lang w:val="en-US"/>
        </w:rPr>
      </w:pPr>
      <w:r w:rsidRPr="00E32B3B">
        <w:rPr>
          <w:color w:val="0B0C0C"/>
          <w:lang w:val="en-US"/>
        </w:rPr>
        <w:t>…</w:t>
      </w:r>
    </w:p>
    <w:p w14:paraId="4E262C56" w14:textId="77777777" w:rsidR="00C446B0" w:rsidRPr="00C446B0" w:rsidRDefault="00C446B0" w:rsidP="00ED66EF">
      <w:pPr>
        <w:pStyle w:val="SingleTxtG"/>
        <w:spacing w:before="120"/>
        <w:ind w:left="2268" w:right="1138" w:hanging="567"/>
        <w:rPr>
          <w:color w:val="0B0C0C"/>
          <w:lang w:val="en-US"/>
        </w:rPr>
      </w:pPr>
      <w:r w:rsidRPr="00C446B0">
        <w:rPr>
          <w:color w:val="0B0C0C"/>
          <w:lang w:val="en-US"/>
        </w:rPr>
        <w:t>(g)</w:t>
      </w:r>
      <w:r w:rsidRPr="00C446B0">
        <w:rPr>
          <w:color w:val="0B0C0C"/>
          <w:lang w:val="en-US"/>
        </w:rPr>
        <w:tab/>
        <w:t xml:space="preserve">The carriage of dangerous goods by or on behalf of a distribution </w:t>
      </w:r>
      <w:proofErr w:type="spellStart"/>
      <w:r w:rsidRPr="00C446B0">
        <w:rPr>
          <w:color w:val="0B0C0C"/>
          <w:lang w:val="en-US"/>
        </w:rPr>
        <w:t>centre</w:t>
      </w:r>
      <w:proofErr w:type="spellEnd"/>
      <w:r w:rsidRPr="00C446B0">
        <w:rPr>
          <w:color w:val="0B0C0C"/>
          <w:lang w:val="en-US"/>
        </w:rPr>
        <w:t xml:space="preserve"> or a retailer to or from an end-user, where the goods in question are packaged for retail sale and are intended for the personal or domestic use of the end-user </w:t>
      </w:r>
      <w:r w:rsidRPr="00C446B0">
        <w:rPr>
          <w:strike/>
          <w:color w:val="0B0C0C"/>
          <w:lang w:val="en-US"/>
        </w:rPr>
        <w:t>or for their leisure or sporting activities</w:t>
      </w:r>
      <w:r w:rsidRPr="00C446B0">
        <w:rPr>
          <w:color w:val="0B0C0C"/>
          <w:lang w:val="en-US"/>
        </w:rPr>
        <w:t>, if:</w:t>
      </w:r>
    </w:p>
    <w:p w14:paraId="297FB45D" w14:textId="77777777" w:rsidR="00C446B0" w:rsidRPr="00C446B0" w:rsidRDefault="00C446B0" w:rsidP="00ED66EF">
      <w:pPr>
        <w:pStyle w:val="SingleTxtG"/>
        <w:numPr>
          <w:ilvl w:val="1"/>
          <w:numId w:val="40"/>
        </w:numPr>
        <w:spacing w:before="120"/>
        <w:ind w:left="2835" w:right="1138" w:hanging="567"/>
        <w:rPr>
          <w:color w:val="0B0C0C"/>
          <w:lang w:val="en-US"/>
        </w:rPr>
      </w:pPr>
      <w:r w:rsidRPr="00C446B0">
        <w:rPr>
          <w:color w:val="0B0C0C"/>
          <w:lang w:val="en-US"/>
        </w:rPr>
        <w:t xml:space="preserve">Measures have been taken to prevent any leakage of contents </w:t>
      </w:r>
      <w:r w:rsidRPr="00C446B0">
        <w:rPr>
          <w:strike/>
          <w:lang w:val="en-CA"/>
        </w:rPr>
        <w:t>that could endanger public safety</w:t>
      </w:r>
      <w:r w:rsidRPr="00C446B0">
        <w:rPr>
          <w:color w:val="0B0C0C"/>
          <w:lang w:val="en-US"/>
        </w:rPr>
        <w:t xml:space="preserve"> in normal conditions of carriage;</w:t>
      </w:r>
    </w:p>
    <w:p w14:paraId="2086FB18" w14:textId="77777777" w:rsidR="00C446B0" w:rsidRDefault="00C446B0" w:rsidP="00ED66EF">
      <w:pPr>
        <w:pStyle w:val="SingleTxtG"/>
        <w:numPr>
          <w:ilvl w:val="1"/>
          <w:numId w:val="40"/>
        </w:numPr>
        <w:spacing w:before="120"/>
        <w:ind w:left="2835" w:right="1138" w:hanging="567"/>
        <w:rPr>
          <w:color w:val="0B0C0C"/>
          <w:lang w:val="en-US"/>
        </w:rPr>
      </w:pPr>
      <w:r w:rsidRPr="00C446B0">
        <w:rPr>
          <w:color w:val="0B0C0C"/>
          <w:lang w:val="en-US"/>
        </w:rPr>
        <w:t xml:space="preserve">The goods </w:t>
      </w:r>
      <w:r w:rsidRPr="00C446B0">
        <w:rPr>
          <w:strike/>
          <w:color w:val="0B0C0C"/>
          <w:lang w:val="en-US"/>
        </w:rPr>
        <w:t>were originally</w:t>
      </w:r>
      <w:r w:rsidRPr="00C446B0">
        <w:rPr>
          <w:color w:val="0B0C0C"/>
          <w:lang w:val="en-US"/>
        </w:rPr>
        <w:t xml:space="preserve"> </w:t>
      </w:r>
      <w:r w:rsidRPr="00C446B0">
        <w:rPr>
          <w:b/>
          <w:color w:val="0B0C0C"/>
          <w:u w:val="single"/>
          <w:lang w:val="en-US"/>
        </w:rPr>
        <w:t>are</w:t>
      </w:r>
      <w:r>
        <w:rPr>
          <w:color w:val="0B0C0C"/>
          <w:lang w:val="en-US"/>
        </w:rPr>
        <w:t xml:space="preserve"> </w:t>
      </w:r>
      <w:r w:rsidRPr="00C446B0">
        <w:rPr>
          <w:color w:val="0B0C0C"/>
          <w:lang w:val="en-US"/>
        </w:rPr>
        <w:t>packed</w:t>
      </w:r>
      <w:r w:rsidRPr="00C446B0">
        <w:rPr>
          <w:b/>
          <w:color w:val="0B0C0C"/>
          <w:u w:val="single"/>
          <w:lang w:val="en-US"/>
        </w:rPr>
        <w:t>:</w:t>
      </w:r>
      <w:r w:rsidRPr="00C446B0">
        <w:rPr>
          <w:color w:val="0B0C0C"/>
          <w:lang w:val="en-US"/>
        </w:rPr>
        <w:t xml:space="preserve"> </w:t>
      </w:r>
    </w:p>
    <w:p w14:paraId="6AA92EBB" w14:textId="7EF32F7D" w:rsidR="00C62ABF" w:rsidRDefault="00C62ABF" w:rsidP="00ED66EF">
      <w:pPr>
        <w:pStyle w:val="SingleTxtG"/>
        <w:numPr>
          <w:ilvl w:val="2"/>
          <w:numId w:val="40"/>
        </w:numPr>
        <w:spacing w:before="120"/>
        <w:ind w:left="3969" w:right="1138" w:hanging="567"/>
        <w:rPr>
          <w:color w:val="0B0C0C"/>
          <w:lang w:val="en-US"/>
        </w:rPr>
      </w:pPr>
      <w:r w:rsidRPr="00C62ABF">
        <w:rPr>
          <w:b/>
          <w:color w:val="0B0C0C"/>
          <w:u w:val="single"/>
          <w:lang w:val="en-US"/>
        </w:rPr>
        <w:t>i</w:t>
      </w:r>
      <w:r w:rsidR="00C446B0" w:rsidRPr="00C62ABF">
        <w:rPr>
          <w:b/>
          <w:color w:val="0B0C0C"/>
          <w:u w:val="single"/>
          <w:lang w:val="en-US"/>
        </w:rPr>
        <w:t xml:space="preserve">n inner packagings derived from packages conforming with provisions </w:t>
      </w:r>
      <w:r w:rsidR="00556179">
        <w:rPr>
          <w:b/>
          <w:color w:val="0B0C0C"/>
          <w:u w:val="single"/>
          <w:lang w:val="en-US"/>
        </w:rPr>
        <w:t>on</w:t>
      </w:r>
      <w:r>
        <w:rPr>
          <w:color w:val="0B0C0C"/>
          <w:lang w:val="en-US"/>
        </w:rPr>
        <w:t xml:space="preserve"> </w:t>
      </w:r>
      <w:r w:rsidR="00C446B0" w:rsidRPr="00C446B0">
        <w:rPr>
          <w:color w:val="0B0C0C"/>
          <w:lang w:val="en-US"/>
        </w:rPr>
        <w:t>limited quantities in accordance with </w:t>
      </w:r>
      <w:r>
        <w:rPr>
          <w:color w:val="0B0C0C"/>
          <w:lang w:val="en-US"/>
        </w:rPr>
        <w:t xml:space="preserve">Chapter 3.4; </w:t>
      </w:r>
      <w:r w:rsidRPr="00C62ABF">
        <w:rPr>
          <w:b/>
          <w:color w:val="0B0C0C"/>
          <w:u w:val="single"/>
          <w:lang w:val="en-US"/>
        </w:rPr>
        <w:t>or</w:t>
      </w:r>
    </w:p>
    <w:p w14:paraId="0D8786AD" w14:textId="712165C9" w:rsidR="00C62ABF" w:rsidRDefault="00C446B0" w:rsidP="00ED66EF">
      <w:pPr>
        <w:pStyle w:val="SingleTxtG"/>
        <w:numPr>
          <w:ilvl w:val="2"/>
          <w:numId w:val="40"/>
        </w:numPr>
        <w:spacing w:before="120"/>
        <w:ind w:left="3969" w:right="1138" w:hanging="567"/>
        <w:rPr>
          <w:color w:val="0B0C0C"/>
          <w:lang w:val="en-US"/>
        </w:rPr>
      </w:pPr>
      <w:r w:rsidRPr="00C446B0">
        <w:rPr>
          <w:color w:val="0B0C0C"/>
          <w:lang w:val="en-US"/>
        </w:rPr>
        <w:t xml:space="preserve">in </w:t>
      </w:r>
      <w:r w:rsidR="00C62ABF" w:rsidRPr="00C62ABF">
        <w:rPr>
          <w:b/>
          <w:color w:val="0B0C0C"/>
          <w:u w:val="single"/>
          <w:lang w:val="en-US"/>
        </w:rPr>
        <w:t>inner packagings derived from</w:t>
      </w:r>
      <w:r w:rsidR="00C62ABF">
        <w:rPr>
          <w:color w:val="0B0C0C"/>
          <w:lang w:val="en-US"/>
        </w:rPr>
        <w:t xml:space="preserve"> </w:t>
      </w:r>
      <w:r w:rsidRPr="00C446B0">
        <w:rPr>
          <w:color w:val="0B0C0C"/>
          <w:lang w:val="en-US"/>
        </w:rPr>
        <w:t xml:space="preserve">combination packagings </w:t>
      </w:r>
      <w:r w:rsidRPr="00C62ABF">
        <w:rPr>
          <w:strike/>
          <w:color w:val="0B0C0C"/>
          <w:lang w:val="en-US"/>
        </w:rPr>
        <w:t>in accordance with</w:t>
      </w:r>
      <w:r w:rsidR="00C62ABF">
        <w:rPr>
          <w:color w:val="0B0C0C"/>
          <w:lang w:val="en-US"/>
        </w:rPr>
        <w:t xml:space="preserve"> </w:t>
      </w:r>
      <w:r w:rsidR="00C62ABF" w:rsidRPr="00C62ABF">
        <w:rPr>
          <w:b/>
          <w:color w:val="0B0C0C"/>
          <w:u w:val="single"/>
          <w:lang w:val="en-US"/>
        </w:rPr>
        <w:t>conform</w:t>
      </w:r>
      <w:r w:rsidR="00C57892">
        <w:rPr>
          <w:b/>
          <w:color w:val="0B0C0C"/>
          <w:u w:val="single"/>
          <w:lang w:val="en-US"/>
        </w:rPr>
        <w:t>ing</w:t>
      </w:r>
      <w:r w:rsidR="00C62ABF" w:rsidRPr="00C62ABF">
        <w:rPr>
          <w:b/>
          <w:color w:val="0B0C0C"/>
          <w:u w:val="single"/>
          <w:lang w:val="en-US"/>
        </w:rPr>
        <w:t xml:space="preserve"> to Chapter</w:t>
      </w:r>
      <w:r w:rsidRPr="00C446B0">
        <w:rPr>
          <w:color w:val="0B0C0C"/>
          <w:lang w:val="en-US"/>
        </w:rPr>
        <w:t xml:space="preserve"> 4.1</w:t>
      </w:r>
      <w:r w:rsidR="00931BFA">
        <w:rPr>
          <w:color w:val="0B0C0C"/>
          <w:lang w:val="en-US"/>
        </w:rPr>
        <w:t xml:space="preserve"> </w:t>
      </w:r>
      <w:r w:rsidR="00931BFA" w:rsidRPr="00931BFA">
        <w:rPr>
          <w:b/>
          <w:color w:val="0B0C0C"/>
          <w:u w:val="single"/>
          <w:lang w:val="en-US"/>
        </w:rPr>
        <w:t>provisions</w:t>
      </w:r>
      <w:r w:rsidRPr="00C446B0">
        <w:rPr>
          <w:color w:val="0B0C0C"/>
          <w:lang w:val="en-US"/>
        </w:rPr>
        <w:t>,</w:t>
      </w:r>
      <w:r w:rsidR="00C62ABF">
        <w:rPr>
          <w:color w:val="0B0C0C"/>
          <w:lang w:val="en-US"/>
        </w:rPr>
        <w:t xml:space="preserve"> or</w:t>
      </w:r>
    </w:p>
    <w:p w14:paraId="36B3A399" w14:textId="6386F550" w:rsidR="00C62ABF" w:rsidRPr="00C62ABF" w:rsidRDefault="00C62ABF" w:rsidP="00ED66EF">
      <w:pPr>
        <w:pStyle w:val="SingleTxtG"/>
        <w:numPr>
          <w:ilvl w:val="2"/>
          <w:numId w:val="40"/>
        </w:numPr>
        <w:spacing w:before="120"/>
        <w:ind w:left="3969" w:right="1138" w:hanging="567"/>
        <w:rPr>
          <w:b/>
          <w:color w:val="0B0C0C"/>
          <w:u w:val="single"/>
          <w:lang w:val="en-US"/>
        </w:rPr>
      </w:pPr>
      <w:r w:rsidRPr="00C62ABF">
        <w:rPr>
          <w:b/>
          <w:color w:val="0B0C0C"/>
          <w:u w:val="single"/>
          <w:lang w:val="en-US"/>
        </w:rPr>
        <w:t>in single packagings conform</w:t>
      </w:r>
      <w:r w:rsidR="00C57892">
        <w:rPr>
          <w:b/>
          <w:color w:val="0B0C0C"/>
          <w:u w:val="single"/>
          <w:lang w:val="en-US"/>
        </w:rPr>
        <w:t>ing</w:t>
      </w:r>
      <w:r w:rsidRPr="00C62ABF">
        <w:rPr>
          <w:b/>
          <w:color w:val="0B0C0C"/>
          <w:u w:val="single"/>
          <w:lang w:val="en-US"/>
        </w:rPr>
        <w:t xml:space="preserve"> to Chapter 6.1</w:t>
      </w:r>
      <w:r w:rsidR="00931BFA">
        <w:rPr>
          <w:b/>
          <w:color w:val="0B0C0C"/>
          <w:u w:val="single"/>
          <w:lang w:val="en-US"/>
        </w:rPr>
        <w:t xml:space="preserve"> provisions</w:t>
      </w:r>
      <w:r>
        <w:rPr>
          <w:b/>
          <w:color w:val="0B0C0C"/>
          <w:u w:val="single"/>
          <w:lang w:val="en-US"/>
        </w:rPr>
        <w:t>, or</w:t>
      </w:r>
    </w:p>
    <w:p w14:paraId="23371473" w14:textId="0FF63089" w:rsidR="00C446B0" w:rsidRPr="00C446B0" w:rsidRDefault="00C446B0" w:rsidP="00ED66EF">
      <w:pPr>
        <w:pStyle w:val="SingleTxtG"/>
        <w:numPr>
          <w:ilvl w:val="2"/>
          <w:numId w:val="40"/>
        </w:numPr>
        <w:spacing w:before="120"/>
        <w:ind w:left="3969" w:right="1138" w:hanging="567"/>
        <w:rPr>
          <w:color w:val="0B0C0C"/>
          <w:lang w:val="en-US"/>
        </w:rPr>
      </w:pPr>
      <w:r w:rsidRPr="00C446B0">
        <w:rPr>
          <w:color w:val="0B0C0C"/>
          <w:lang w:val="en-US"/>
        </w:rPr>
        <w:t>in accordance with special provision 188</w:t>
      </w:r>
      <w:r w:rsidR="00C62ABF">
        <w:rPr>
          <w:color w:val="0B0C0C"/>
          <w:lang w:val="en-US"/>
        </w:rPr>
        <w:t xml:space="preserve"> </w:t>
      </w:r>
      <w:r w:rsidR="00C62ABF" w:rsidRPr="00E4495B">
        <w:rPr>
          <w:b/>
          <w:color w:val="0B0C0C"/>
          <w:u w:val="single"/>
          <w:lang w:val="en-US"/>
        </w:rPr>
        <w:t xml:space="preserve">(in the case of </w:t>
      </w:r>
      <w:r w:rsidR="00931BFA">
        <w:rPr>
          <w:b/>
          <w:color w:val="0B0C0C"/>
          <w:u w:val="single"/>
          <w:lang w:val="en-US"/>
        </w:rPr>
        <w:t xml:space="preserve">carriage of </w:t>
      </w:r>
      <w:r w:rsidR="00C62ABF" w:rsidRPr="00E4495B">
        <w:rPr>
          <w:b/>
          <w:color w:val="0B0C0C"/>
          <w:u w:val="single"/>
          <w:lang w:val="en-US"/>
        </w:rPr>
        <w:t>lithium batteries)</w:t>
      </w:r>
      <w:r w:rsidR="00C62ABF">
        <w:rPr>
          <w:color w:val="0B0C0C"/>
          <w:lang w:val="en-US"/>
        </w:rPr>
        <w:t>.</w:t>
      </w:r>
    </w:p>
    <w:p w14:paraId="13185041" w14:textId="77777777" w:rsidR="00C446B0" w:rsidRPr="00E4495B" w:rsidRDefault="00C446B0" w:rsidP="00957FAD">
      <w:pPr>
        <w:pStyle w:val="SingleTxtG"/>
        <w:numPr>
          <w:ilvl w:val="1"/>
          <w:numId w:val="40"/>
        </w:numPr>
        <w:spacing w:before="120"/>
        <w:ind w:left="2835" w:right="1138" w:hanging="567"/>
        <w:rPr>
          <w:strike/>
          <w:color w:val="0B0C0C"/>
          <w:lang w:val="en-US"/>
        </w:rPr>
      </w:pPr>
      <w:r w:rsidRPr="00E4495B">
        <w:rPr>
          <w:strike/>
          <w:color w:val="0B0C0C"/>
          <w:lang w:val="en-US"/>
        </w:rPr>
        <w:t xml:space="preserve">The goods have been removed from their outer packaging for the final stages of carriage; and </w:t>
      </w:r>
    </w:p>
    <w:p w14:paraId="26CB843D" w14:textId="75991C4E" w:rsidR="00C446B0" w:rsidRPr="00C446B0" w:rsidRDefault="00E4495B" w:rsidP="00957FAD">
      <w:pPr>
        <w:pStyle w:val="SingleTxtG"/>
        <w:numPr>
          <w:ilvl w:val="1"/>
          <w:numId w:val="40"/>
        </w:numPr>
        <w:spacing w:before="120"/>
        <w:ind w:left="2835" w:right="1138" w:hanging="567"/>
        <w:rPr>
          <w:color w:val="0B0C0C"/>
          <w:lang w:val="en-US"/>
        </w:rPr>
      </w:pPr>
      <w:r>
        <w:rPr>
          <w:lang w:val="en-CA"/>
        </w:rPr>
        <w:t xml:space="preserve">The maximum quantity of dangerous contained in </w:t>
      </w:r>
      <w:r w:rsidR="00931BFA">
        <w:rPr>
          <w:lang w:val="en-CA"/>
        </w:rPr>
        <w:t xml:space="preserve">each </w:t>
      </w:r>
      <w:r>
        <w:rPr>
          <w:lang w:val="en-CA"/>
        </w:rPr>
        <w:t>packaging doesn’t exceed 5</w:t>
      </w:r>
      <w:r w:rsidR="00931BFA">
        <w:rPr>
          <w:lang w:val="en-CA"/>
        </w:rPr>
        <w:t xml:space="preserve"> </w:t>
      </w:r>
      <w:r>
        <w:rPr>
          <w:lang w:val="en-CA"/>
        </w:rPr>
        <w:t>k</w:t>
      </w:r>
      <w:r w:rsidR="00931BFA">
        <w:rPr>
          <w:lang w:val="en-CA"/>
        </w:rPr>
        <w:t>ilograms or litres</w:t>
      </w:r>
      <w:r>
        <w:rPr>
          <w:lang w:val="en-CA"/>
        </w:rPr>
        <w:t xml:space="preserve"> </w:t>
      </w:r>
      <w:r w:rsidR="00C446B0" w:rsidRPr="00E4495B">
        <w:rPr>
          <w:strike/>
          <w:lang w:val="en-CA"/>
        </w:rPr>
        <w:t xml:space="preserve">Each “inner” packaging </w:t>
      </w:r>
      <w:r w:rsidR="00C446B0" w:rsidRPr="00E4495B">
        <w:rPr>
          <w:strike/>
          <w:color w:val="0B0C0C"/>
          <w:lang w:val="en-US"/>
        </w:rPr>
        <w:t xml:space="preserve">does not exceed 30 kilograms or </w:t>
      </w:r>
      <w:proofErr w:type="spellStart"/>
      <w:r w:rsidR="00C446B0" w:rsidRPr="00E4495B">
        <w:rPr>
          <w:strike/>
          <w:color w:val="0B0C0C"/>
          <w:lang w:val="en-US"/>
        </w:rPr>
        <w:t>litres</w:t>
      </w:r>
      <w:proofErr w:type="spellEnd"/>
      <w:r w:rsidR="00C446B0" w:rsidRPr="00C446B0">
        <w:rPr>
          <w:lang w:val="en-CA"/>
        </w:rPr>
        <w:t>.</w:t>
      </w:r>
    </w:p>
    <w:p w14:paraId="689CDB98" w14:textId="77777777" w:rsidR="00C446B0" w:rsidRPr="00E4495B" w:rsidRDefault="00C446B0" w:rsidP="00957FAD">
      <w:pPr>
        <w:pStyle w:val="SingleTxtG"/>
        <w:spacing w:before="120"/>
        <w:ind w:left="2268" w:right="1138"/>
        <w:rPr>
          <w:strike/>
          <w:color w:val="0B0C0C"/>
          <w:lang w:val="en-US"/>
        </w:rPr>
      </w:pPr>
      <w:r w:rsidRPr="00E4495B">
        <w:rPr>
          <w:strike/>
          <w:lang w:val="en-CA"/>
        </w:rPr>
        <w:t>In the case of dangerous goods included in Class 2 Gases, they are in one or more packaging in compliance with the requirements for transporting gases in Part 5 (Means of Containment), except that, in the case of dangerous goods that are UN 1950, AEROSOLS, or UN 2037, GAS CARTRIDGES, the requirement that aerosol containers and gas cartridges be tightly packed in a strong outer packaging does not apply, or</w:t>
      </w:r>
    </w:p>
    <w:p w14:paraId="0408BDAE" w14:textId="16EA1725" w:rsidR="00C446B0" w:rsidRPr="00C446B0" w:rsidRDefault="00C446B0" w:rsidP="00957FAD">
      <w:pPr>
        <w:pStyle w:val="SingleTxtG"/>
        <w:numPr>
          <w:ilvl w:val="1"/>
          <w:numId w:val="40"/>
        </w:numPr>
        <w:spacing w:before="120"/>
        <w:ind w:left="2835" w:right="1138" w:hanging="567"/>
        <w:rPr>
          <w:color w:val="0B0C0C"/>
          <w:lang w:val="en-GB" w:eastAsia="fr-FR"/>
        </w:rPr>
      </w:pPr>
      <w:r w:rsidRPr="00C446B0">
        <w:rPr>
          <w:lang w:val="en-CA"/>
        </w:rPr>
        <w:t xml:space="preserve">The </w:t>
      </w:r>
      <w:r w:rsidRPr="00E4495B">
        <w:rPr>
          <w:strike/>
          <w:lang w:val="en-CA"/>
        </w:rPr>
        <w:t>gross mass</w:t>
      </w:r>
      <w:r w:rsidRPr="00C446B0">
        <w:rPr>
          <w:lang w:val="en-CA"/>
        </w:rPr>
        <w:t xml:space="preserve"> </w:t>
      </w:r>
      <w:r w:rsidRPr="00E4495B">
        <w:rPr>
          <w:strike/>
          <w:lang w:val="en-CA"/>
        </w:rPr>
        <w:t>(</w:t>
      </w:r>
      <w:r w:rsidRPr="00C446B0">
        <w:rPr>
          <w:color w:val="0B0C0C"/>
          <w:lang w:val="en-US"/>
        </w:rPr>
        <w:t>total quantity</w:t>
      </w:r>
      <w:r w:rsidRPr="00E4495B">
        <w:rPr>
          <w:strike/>
          <w:color w:val="0B0C0C"/>
          <w:lang w:val="en-US"/>
        </w:rPr>
        <w:t>)</w:t>
      </w:r>
      <w:r w:rsidRPr="00C446B0">
        <w:rPr>
          <w:color w:val="0B0C0C"/>
          <w:lang w:val="en-US"/>
        </w:rPr>
        <w:t xml:space="preserve"> </w:t>
      </w:r>
      <w:r w:rsidRPr="00C446B0">
        <w:rPr>
          <w:lang w:val="en-CA"/>
        </w:rPr>
        <w:t xml:space="preserve">of all dangerous goods carried </w:t>
      </w:r>
      <w:r w:rsidRPr="00E4495B">
        <w:rPr>
          <w:strike/>
          <w:lang w:val="en-CA"/>
        </w:rPr>
        <w:t>on the road vehicle</w:t>
      </w:r>
      <w:r w:rsidRPr="00C446B0">
        <w:rPr>
          <w:lang w:val="en-CA"/>
        </w:rPr>
        <w:t xml:space="preserve"> </w:t>
      </w:r>
      <w:r w:rsidR="00E4495B" w:rsidRPr="00E4495B">
        <w:rPr>
          <w:b/>
          <w:u w:val="single"/>
          <w:lang w:val="en-CA"/>
        </w:rPr>
        <w:t>in the transport unit</w:t>
      </w:r>
      <w:r w:rsidR="00E4495B">
        <w:rPr>
          <w:lang w:val="en-CA"/>
        </w:rPr>
        <w:t xml:space="preserve"> </w:t>
      </w:r>
      <w:r w:rsidRPr="00E4495B">
        <w:rPr>
          <w:strike/>
          <w:lang w:val="en-CA"/>
        </w:rPr>
        <w:t>is less than or equal to 150 kg (</w:t>
      </w:r>
      <w:r w:rsidRPr="00C446B0">
        <w:rPr>
          <w:color w:val="0B0C0C"/>
          <w:lang w:val="en-US"/>
        </w:rPr>
        <w:t xml:space="preserve">does not exceed </w:t>
      </w:r>
      <w:r w:rsidRPr="00E4495B">
        <w:rPr>
          <w:strike/>
          <w:color w:val="0B0C0C"/>
          <w:lang w:val="en-US"/>
        </w:rPr>
        <w:t>333</w:t>
      </w:r>
      <w:r w:rsidR="00E4495B">
        <w:rPr>
          <w:color w:val="0B0C0C"/>
          <w:lang w:val="en-US"/>
        </w:rPr>
        <w:t> </w:t>
      </w:r>
      <w:r w:rsidR="00E4495B" w:rsidRPr="00E4495B">
        <w:rPr>
          <w:b/>
          <w:color w:val="0B0C0C"/>
          <w:u w:val="single"/>
          <w:lang w:val="en-US"/>
        </w:rPr>
        <w:t xml:space="preserve">150 </w:t>
      </w:r>
      <w:r w:rsidRPr="00C446B0">
        <w:rPr>
          <w:color w:val="0B0C0C"/>
          <w:lang w:val="en-US"/>
        </w:rPr>
        <w:t xml:space="preserve">kilograms or </w:t>
      </w:r>
      <w:proofErr w:type="spellStart"/>
      <w:r w:rsidRPr="00C446B0">
        <w:rPr>
          <w:color w:val="0B0C0C"/>
          <w:lang w:val="en-US"/>
        </w:rPr>
        <w:t>litres</w:t>
      </w:r>
      <w:proofErr w:type="spellEnd"/>
      <w:r w:rsidRPr="00C446B0">
        <w:rPr>
          <w:color w:val="0B0C0C"/>
          <w:lang w:val="en-US"/>
        </w:rPr>
        <w:t>)</w:t>
      </w:r>
      <w:r w:rsidR="00E4495B">
        <w:rPr>
          <w:color w:val="0B0C0C"/>
          <w:lang w:val="en-US"/>
        </w:rPr>
        <w:t>.</w:t>
      </w:r>
      <w:r w:rsidRPr="00E4495B">
        <w:rPr>
          <w:strike/>
          <w:color w:val="0B0C0C"/>
          <w:lang w:val="en-US"/>
        </w:rPr>
        <w:t>; and</w:t>
      </w:r>
    </w:p>
    <w:p w14:paraId="5E615C81" w14:textId="77777777" w:rsidR="00C446B0" w:rsidRPr="00E4495B" w:rsidRDefault="00C446B0" w:rsidP="00957FAD">
      <w:pPr>
        <w:pStyle w:val="SingleTxtG"/>
        <w:numPr>
          <w:ilvl w:val="1"/>
          <w:numId w:val="40"/>
        </w:numPr>
        <w:spacing w:before="120"/>
        <w:ind w:left="2835" w:right="1138" w:hanging="567"/>
        <w:rPr>
          <w:strike/>
          <w:color w:val="0B0C0C"/>
          <w:lang w:val="en-US"/>
        </w:rPr>
      </w:pPr>
      <w:r w:rsidRPr="00E4495B">
        <w:rPr>
          <w:strike/>
          <w:color w:val="0B0C0C"/>
          <w:lang w:val="en-US"/>
        </w:rPr>
        <w:t>The goods have not been assigned to Classes 1, 4.2, 6.2 or 7.”</w:t>
      </w:r>
    </w:p>
    <w:p w14:paraId="3966BC1F" w14:textId="5F85F1FD" w:rsidR="00C446B0" w:rsidRDefault="00E4495B" w:rsidP="007E6E95">
      <w:pPr>
        <w:pStyle w:val="SingleTxtG"/>
        <w:snapToGrid w:val="0"/>
        <w:spacing w:before="120" w:after="0" w:line="240" w:lineRule="auto"/>
        <w:rPr>
          <w:b/>
          <w:u w:val="single"/>
          <w:lang w:val="en-US"/>
        </w:rPr>
      </w:pPr>
      <w:r w:rsidRPr="00E4495B">
        <w:rPr>
          <w:b/>
          <w:u w:val="single"/>
          <w:lang w:val="en-US"/>
        </w:rPr>
        <w:t>This exemption does not apply to dangerous goods from class</w:t>
      </w:r>
      <w:r>
        <w:rPr>
          <w:b/>
          <w:u w:val="single"/>
          <w:lang w:val="en-US"/>
        </w:rPr>
        <w:t xml:space="preserve"> </w:t>
      </w:r>
      <w:r w:rsidRPr="00E4495B">
        <w:rPr>
          <w:b/>
          <w:u w:val="single"/>
          <w:lang w:val="en-US"/>
        </w:rPr>
        <w:t xml:space="preserve">1, 2 (with the exception of UN </w:t>
      </w:r>
      <w:r w:rsidR="007E6E95">
        <w:rPr>
          <w:b/>
          <w:u w:val="single"/>
          <w:lang w:val="en-US"/>
        </w:rPr>
        <w:t xml:space="preserve">Nos. </w:t>
      </w:r>
      <w:r w:rsidRPr="00E4495B">
        <w:rPr>
          <w:b/>
          <w:u w:val="single"/>
          <w:lang w:val="en-US"/>
        </w:rPr>
        <w:t>1950 and 2037), 4.2, 6.2 and 7.</w:t>
      </w:r>
    </w:p>
    <w:p w14:paraId="17BDFFB2" w14:textId="6F071CD6" w:rsidR="00FC67EE" w:rsidRPr="00FC67EE" w:rsidRDefault="00FC67EE" w:rsidP="007E6E95">
      <w:pPr>
        <w:spacing w:before="120"/>
        <w:jc w:val="center"/>
        <w:rPr>
          <w:u w:val="single"/>
          <w:lang w:val="en-US"/>
        </w:rPr>
      </w:pPr>
      <w:r>
        <w:rPr>
          <w:u w:val="single"/>
          <w:lang w:val="en-US"/>
        </w:rPr>
        <w:tab/>
      </w:r>
      <w:r>
        <w:rPr>
          <w:u w:val="single"/>
          <w:lang w:val="en-US"/>
        </w:rPr>
        <w:tab/>
      </w:r>
      <w:r>
        <w:rPr>
          <w:u w:val="single"/>
          <w:lang w:val="en-US"/>
        </w:rPr>
        <w:tab/>
      </w:r>
    </w:p>
    <w:sectPr w:rsidR="00FC67EE" w:rsidRPr="00FC67EE" w:rsidSect="007E6E9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276" w:right="1134" w:bottom="993"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95C54" w14:textId="77777777" w:rsidR="00843115" w:rsidRDefault="00843115"/>
  </w:endnote>
  <w:endnote w:type="continuationSeparator" w:id="0">
    <w:p w14:paraId="7875A33E" w14:textId="77777777" w:rsidR="00843115" w:rsidRDefault="00843115"/>
  </w:endnote>
  <w:endnote w:type="continuationNotice" w:id="1">
    <w:p w14:paraId="4C282BEF" w14:textId="77777777" w:rsidR="00843115" w:rsidRDefault="00843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A" w14:textId="79FEC654" w:rsidR="000C5A28" w:rsidRDefault="000C5A28">
    <w:pPr>
      <w:pStyle w:val="Footer"/>
    </w:pPr>
    <w:r>
      <w:rPr>
        <w:rStyle w:val="PageNumber"/>
      </w:rPr>
      <w:fldChar w:fldCharType="begin"/>
    </w:r>
    <w:r>
      <w:rPr>
        <w:rStyle w:val="PageNumber"/>
      </w:rPr>
      <w:instrText xml:space="preserve"> PAGE </w:instrText>
    </w:r>
    <w:r>
      <w:rPr>
        <w:rStyle w:val="PageNumber"/>
      </w:rPr>
      <w:fldChar w:fldCharType="separate"/>
    </w:r>
    <w:r w:rsidR="00B3198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B" w14:textId="43668F0C" w:rsidR="000C5A28" w:rsidRPr="008D464D" w:rsidRDefault="000C5A28" w:rsidP="008D464D">
    <w:pPr>
      <w:pStyle w:val="Footer"/>
      <w:jc w:val="right"/>
    </w:pPr>
    <w:r>
      <w:rPr>
        <w:rStyle w:val="PageNumber"/>
      </w:rPr>
      <w:fldChar w:fldCharType="begin"/>
    </w:r>
    <w:r>
      <w:rPr>
        <w:rStyle w:val="PageNumber"/>
      </w:rPr>
      <w:instrText xml:space="preserve"> PAGE </w:instrText>
    </w:r>
    <w:r>
      <w:rPr>
        <w:rStyle w:val="PageNumber"/>
      </w:rPr>
      <w:fldChar w:fldCharType="separate"/>
    </w:r>
    <w:r w:rsidR="006D75E5">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E" w14:textId="77777777" w:rsidR="000C5A28" w:rsidRPr="003203DD" w:rsidRDefault="000C5A28">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7A8F" w14:textId="77777777" w:rsidR="00843115" w:rsidRPr="000B175B" w:rsidRDefault="00843115" w:rsidP="000B175B">
      <w:pPr>
        <w:tabs>
          <w:tab w:val="right" w:pos="2155"/>
        </w:tabs>
        <w:spacing w:after="80"/>
        <w:ind w:left="680"/>
        <w:rPr>
          <w:u w:val="single"/>
        </w:rPr>
      </w:pPr>
      <w:r>
        <w:rPr>
          <w:u w:val="single"/>
        </w:rPr>
        <w:tab/>
      </w:r>
    </w:p>
  </w:footnote>
  <w:footnote w:type="continuationSeparator" w:id="0">
    <w:p w14:paraId="1B8851D2" w14:textId="77777777" w:rsidR="00843115" w:rsidRPr="00FC68B7" w:rsidRDefault="00843115" w:rsidP="00FC68B7">
      <w:pPr>
        <w:tabs>
          <w:tab w:val="left" w:pos="2155"/>
        </w:tabs>
        <w:spacing w:after="80"/>
        <w:ind w:left="680"/>
        <w:rPr>
          <w:u w:val="single"/>
        </w:rPr>
      </w:pPr>
      <w:r>
        <w:rPr>
          <w:u w:val="single"/>
        </w:rPr>
        <w:tab/>
      </w:r>
    </w:p>
  </w:footnote>
  <w:footnote w:type="continuationNotice" w:id="1">
    <w:p w14:paraId="3B779157" w14:textId="77777777" w:rsidR="00843115" w:rsidRDefault="008431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7" w14:textId="70B98FF2" w:rsidR="000C5A28" w:rsidRPr="00D60FE0" w:rsidRDefault="000C5A28">
    <w:pPr>
      <w:pStyle w:val="Header"/>
      <w:rPr>
        <w:sz w:val="24"/>
        <w:szCs w:val="24"/>
      </w:rPr>
    </w:pPr>
    <w:r w:rsidRPr="00D60FE0">
      <w:rPr>
        <w:sz w:val="24"/>
        <w:szCs w:val="24"/>
      </w:rPr>
      <w:t>INF.</w:t>
    </w:r>
    <w:r w:rsidR="001E6BC6">
      <w:rPr>
        <w:sz w:val="24"/>
        <w:szCs w:val="24"/>
      </w:rPr>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8" w14:textId="37659429" w:rsidR="000C5A28" w:rsidRPr="00517E8D" w:rsidRDefault="000C5A28" w:rsidP="0067520F">
    <w:pPr>
      <w:pStyle w:val="Header"/>
      <w:jc w:val="right"/>
    </w:pPr>
    <w:r w:rsidRPr="00D60FE0">
      <w:rPr>
        <w:rStyle w:val="PageNumber"/>
        <w:b/>
        <w:sz w:val="24"/>
        <w:szCs w:val="24"/>
      </w:rPr>
      <w:t>I</w:t>
    </w:r>
    <w:r w:rsidRPr="00D60FE0">
      <w:rPr>
        <w:sz w:val="24"/>
        <w:szCs w:val="24"/>
      </w:rPr>
      <w:t>NF.</w:t>
    </w:r>
    <w:r w:rsidR="00957FAD">
      <w:rPr>
        <w:sz w:val="24"/>
        <w:szCs w:val="24"/>
      </w:rPr>
      <w:t>28</w:t>
    </w:r>
  </w:p>
  <w:p w14:paraId="44FB6899" w14:textId="77777777" w:rsidR="000C5A28" w:rsidRDefault="000C5A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C" w14:textId="7DAE1F4A" w:rsidR="000C5A28" w:rsidRPr="00146493" w:rsidRDefault="0032115C" w:rsidP="00146493">
    <w:pPr>
      <w:pStyle w:val="Header"/>
      <w:jc w:val="right"/>
      <w:rPr>
        <w:sz w:val="24"/>
        <w:szCs w:val="24"/>
      </w:rPr>
    </w:pPr>
    <w:r>
      <w:rPr>
        <w:sz w:val="24"/>
        <w:szCs w:val="24"/>
      </w:rPr>
      <w:t>INF.</w:t>
    </w:r>
    <w:r w:rsidR="001E6BC6">
      <w:rPr>
        <w:sz w:val="24"/>
        <w:szCs w:val="24"/>
      </w:rPr>
      <w:t>28</w:t>
    </w:r>
  </w:p>
  <w:p w14:paraId="44FB689D" w14:textId="77777777" w:rsidR="000C5A28" w:rsidRDefault="000C5A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B3DFB"/>
    <w:multiLevelType w:val="hybridMultilevel"/>
    <w:tmpl w:val="0600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CF7327"/>
    <w:multiLevelType w:val="hybridMultilevel"/>
    <w:tmpl w:val="8CDC3C54"/>
    <w:lvl w:ilvl="0" w:tplc="013CBE6C">
      <w:start w:val="20"/>
      <w:numFmt w:val="bullet"/>
      <w:lvlText w:val="-"/>
      <w:lvlJc w:val="left"/>
      <w:pPr>
        <w:tabs>
          <w:tab w:val="num" w:pos="434"/>
        </w:tabs>
        <w:ind w:left="434" w:hanging="360"/>
      </w:pPr>
      <w:rPr>
        <w:rFonts w:ascii="Times New Roman" w:eastAsia="Times New Roman" w:hAnsi="Times New Roman" w:hint="default"/>
      </w:rPr>
    </w:lvl>
    <w:lvl w:ilvl="1" w:tplc="04130003">
      <w:start w:val="1"/>
      <w:numFmt w:val="bullet"/>
      <w:lvlText w:val="o"/>
      <w:lvlJc w:val="left"/>
      <w:pPr>
        <w:tabs>
          <w:tab w:val="num" w:pos="1154"/>
        </w:tabs>
        <w:ind w:left="1154" w:hanging="360"/>
      </w:pPr>
      <w:rPr>
        <w:rFonts w:ascii="Courier New" w:hAnsi="Courier New" w:hint="default"/>
      </w:rPr>
    </w:lvl>
    <w:lvl w:ilvl="2" w:tplc="04130005">
      <w:start w:val="1"/>
      <w:numFmt w:val="bullet"/>
      <w:lvlText w:val=""/>
      <w:lvlJc w:val="left"/>
      <w:pPr>
        <w:tabs>
          <w:tab w:val="num" w:pos="1874"/>
        </w:tabs>
        <w:ind w:left="1874" w:hanging="360"/>
      </w:pPr>
      <w:rPr>
        <w:rFonts w:ascii="Wingdings" w:hAnsi="Wingdings" w:hint="default"/>
      </w:rPr>
    </w:lvl>
    <w:lvl w:ilvl="3" w:tplc="04130001">
      <w:start w:val="1"/>
      <w:numFmt w:val="bullet"/>
      <w:lvlText w:val=""/>
      <w:lvlJc w:val="left"/>
      <w:pPr>
        <w:tabs>
          <w:tab w:val="num" w:pos="2594"/>
        </w:tabs>
        <w:ind w:left="2594" w:hanging="360"/>
      </w:pPr>
      <w:rPr>
        <w:rFonts w:ascii="Symbol" w:hAnsi="Symbol" w:hint="default"/>
      </w:rPr>
    </w:lvl>
    <w:lvl w:ilvl="4" w:tplc="04130003">
      <w:start w:val="1"/>
      <w:numFmt w:val="bullet"/>
      <w:lvlText w:val="o"/>
      <w:lvlJc w:val="left"/>
      <w:pPr>
        <w:tabs>
          <w:tab w:val="num" w:pos="3314"/>
        </w:tabs>
        <w:ind w:left="3314" w:hanging="360"/>
      </w:pPr>
      <w:rPr>
        <w:rFonts w:ascii="Courier New" w:hAnsi="Courier New" w:hint="default"/>
      </w:rPr>
    </w:lvl>
    <w:lvl w:ilvl="5" w:tplc="04130005">
      <w:start w:val="1"/>
      <w:numFmt w:val="bullet"/>
      <w:lvlText w:val=""/>
      <w:lvlJc w:val="left"/>
      <w:pPr>
        <w:tabs>
          <w:tab w:val="num" w:pos="4034"/>
        </w:tabs>
        <w:ind w:left="4034" w:hanging="360"/>
      </w:pPr>
      <w:rPr>
        <w:rFonts w:ascii="Wingdings" w:hAnsi="Wingdings" w:hint="default"/>
      </w:rPr>
    </w:lvl>
    <w:lvl w:ilvl="6" w:tplc="04130001">
      <w:start w:val="1"/>
      <w:numFmt w:val="bullet"/>
      <w:lvlText w:val=""/>
      <w:lvlJc w:val="left"/>
      <w:pPr>
        <w:tabs>
          <w:tab w:val="num" w:pos="4754"/>
        </w:tabs>
        <w:ind w:left="4754" w:hanging="360"/>
      </w:pPr>
      <w:rPr>
        <w:rFonts w:ascii="Symbol" w:hAnsi="Symbol" w:hint="default"/>
      </w:rPr>
    </w:lvl>
    <w:lvl w:ilvl="7" w:tplc="04130003">
      <w:start w:val="1"/>
      <w:numFmt w:val="bullet"/>
      <w:lvlText w:val="o"/>
      <w:lvlJc w:val="left"/>
      <w:pPr>
        <w:tabs>
          <w:tab w:val="num" w:pos="5474"/>
        </w:tabs>
        <w:ind w:left="5474" w:hanging="360"/>
      </w:pPr>
      <w:rPr>
        <w:rFonts w:ascii="Courier New" w:hAnsi="Courier New" w:hint="default"/>
      </w:rPr>
    </w:lvl>
    <w:lvl w:ilvl="8" w:tplc="04130005">
      <w:start w:val="1"/>
      <w:numFmt w:val="bullet"/>
      <w:lvlText w:val=""/>
      <w:lvlJc w:val="left"/>
      <w:pPr>
        <w:tabs>
          <w:tab w:val="num" w:pos="6194"/>
        </w:tabs>
        <w:ind w:left="6194" w:hanging="360"/>
      </w:pPr>
      <w:rPr>
        <w:rFonts w:ascii="Wingdings" w:hAnsi="Wingdings" w:hint="default"/>
      </w:rPr>
    </w:lvl>
  </w:abstractNum>
  <w:abstractNum w:abstractNumId="15" w15:restartNumberingAfterBreak="0">
    <w:nsid w:val="039F083E"/>
    <w:multiLevelType w:val="hybridMultilevel"/>
    <w:tmpl w:val="E9C8554A"/>
    <w:lvl w:ilvl="0" w:tplc="A7B419E0">
      <w:start w:val="1"/>
      <w:numFmt w:val="lowerLetter"/>
      <w:lvlText w:val="(%1)"/>
      <w:lvlJc w:val="left"/>
      <w:pPr>
        <w:tabs>
          <w:tab w:val="num" w:pos="1069"/>
        </w:tabs>
        <w:ind w:left="1069" w:hanging="360"/>
      </w:pPr>
      <w:rPr>
        <w:rFonts w:ascii="Times New Roman" w:hAnsi="Times New Roman" w:cs="Times New Roman" w:hint="default"/>
      </w:rPr>
    </w:lvl>
    <w:lvl w:ilvl="1" w:tplc="04090019">
      <w:start w:val="1"/>
      <w:numFmt w:val="lowerLetter"/>
      <w:lvlText w:val="%2."/>
      <w:lvlJc w:val="left"/>
      <w:pPr>
        <w:tabs>
          <w:tab w:val="num" w:pos="1789"/>
        </w:tabs>
        <w:ind w:left="1789" w:hanging="360"/>
      </w:pPr>
      <w:rPr>
        <w:rFonts w:ascii="Times New Roman" w:hAnsi="Times New Roman" w:cs="Times New Roman"/>
      </w:rPr>
    </w:lvl>
    <w:lvl w:ilvl="2" w:tplc="0409001B">
      <w:start w:val="1"/>
      <w:numFmt w:val="lowerRoman"/>
      <w:lvlText w:val="%3."/>
      <w:lvlJc w:val="right"/>
      <w:pPr>
        <w:tabs>
          <w:tab w:val="num" w:pos="2509"/>
        </w:tabs>
        <w:ind w:left="2509" w:hanging="180"/>
      </w:pPr>
      <w:rPr>
        <w:rFonts w:ascii="Times New Roman" w:hAnsi="Times New Roman" w:cs="Times New Roman"/>
      </w:rPr>
    </w:lvl>
    <w:lvl w:ilvl="3" w:tplc="0409000F">
      <w:start w:val="1"/>
      <w:numFmt w:val="decimal"/>
      <w:lvlText w:val="%4."/>
      <w:lvlJc w:val="left"/>
      <w:pPr>
        <w:tabs>
          <w:tab w:val="num" w:pos="3229"/>
        </w:tabs>
        <w:ind w:left="3229" w:hanging="360"/>
      </w:pPr>
      <w:rPr>
        <w:rFonts w:ascii="Times New Roman" w:hAnsi="Times New Roman" w:cs="Times New Roman"/>
      </w:rPr>
    </w:lvl>
    <w:lvl w:ilvl="4" w:tplc="04090019">
      <w:start w:val="1"/>
      <w:numFmt w:val="lowerLetter"/>
      <w:lvlText w:val="%5."/>
      <w:lvlJc w:val="left"/>
      <w:pPr>
        <w:tabs>
          <w:tab w:val="num" w:pos="3949"/>
        </w:tabs>
        <w:ind w:left="3949" w:hanging="360"/>
      </w:pPr>
      <w:rPr>
        <w:rFonts w:ascii="Times New Roman" w:hAnsi="Times New Roman" w:cs="Times New Roman"/>
      </w:rPr>
    </w:lvl>
    <w:lvl w:ilvl="5" w:tplc="0409001B">
      <w:start w:val="1"/>
      <w:numFmt w:val="lowerRoman"/>
      <w:lvlText w:val="%6."/>
      <w:lvlJc w:val="right"/>
      <w:pPr>
        <w:tabs>
          <w:tab w:val="num" w:pos="4669"/>
        </w:tabs>
        <w:ind w:left="4669" w:hanging="180"/>
      </w:pPr>
      <w:rPr>
        <w:rFonts w:ascii="Times New Roman" w:hAnsi="Times New Roman" w:cs="Times New Roman"/>
      </w:rPr>
    </w:lvl>
    <w:lvl w:ilvl="6" w:tplc="0409000F">
      <w:start w:val="1"/>
      <w:numFmt w:val="decimal"/>
      <w:lvlText w:val="%7."/>
      <w:lvlJc w:val="left"/>
      <w:pPr>
        <w:tabs>
          <w:tab w:val="num" w:pos="5389"/>
        </w:tabs>
        <w:ind w:left="5389" w:hanging="360"/>
      </w:pPr>
      <w:rPr>
        <w:rFonts w:ascii="Times New Roman" w:hAnsi="Times New Roman" w:cs="Times New Roman"/>
      </w:rPr>
    </w:lvl>
    <w:lvl w:ilvl="7" w:tplc="04090019">
      <w:start w:val="1"/>
      <w:numFmt w:val="lowerLetter"/>
      <w:lvlText w:val="%8."/>
      <w:lvlJc w:val="left"/>
      <w:pPr>
        <w:tabs>
          <w:tab w:val="num" w:pos="6109"/>
        </w:tabs>
        <w:ind w:left="6109" w:hanging="360"/>
      </w:pPr>
      <w:rPr>
        <w:rFonts w:ascii="Times New Roman" w:hAnsi="Times New Roman" w:cs="Times New Roman"/>
      </w:rPr>
    </w:lvl>
    <w:lvl w:ilvl="8" w:tplc="0409001B">
      <w:start w:val="1"/>
      <w:numFmt w:val="lowerRoman"/>
      <w:lvlText w:val="%9."/>
      <w:lvlJc w:val="right"/>
      <w:pPr>
        <w:tabs>
          <w:tab w:val="num" w:pos="6829"/>
        </w:tabs>
        <w:ind w:left="6829" w:hanging="180"/>
      </w:pPr>
      <w:rPr>
        <w:rFonts w:ascii="Times New Roman" w:hAnsi="Times New Roman" w:cs="Times New Roman"/>
      </w:rPr>
    </w:lvl>
  </w:abstractNum>
  <w:abstractNum w:abstractNumId="16" w15:restartNumberingAfterBreak="0">
    <w:nsid w:val="09A36860"/>
    <w:multiLevelType w:val="hybridMultilevel"/>
    <w:tmpl w:val="AAAE51C2"/>
    <w:lvl w:ilvl="0" w:tplc="6C5C73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F71BF4"/>
    <w:multiLevelType w:val="multilevel"/>
    <w:tmpl w:val="30DAA7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13986A6F"/>
    <w:multiLevelType w:val="hybridMultilevel"/>
    <w:tmpl w:val="C110352E"/>
    <w:lvl w:ilvl="0" w:tplc="8778932A">
      <w:start w:val="1"/>
      <w:numFmt w:val="lowerLetter"/>
      <w:lvlText w:val="(%1)"/>
      <w:lvlJc w:val="left"/>
      <w:pPr>
        <w:ind w:left="2053" w:hanging="360"/>
      </w:pPr>
    </w:lvl>
    <w:lvl w:ilvl="1" w:tplc="9DA09750">
      <w:start w:val="1"/>
      <w:numFmt w:val="bullet"/>
      <w:lvlText w:val="­"/>
      <w:lvlJc w:val="left"/>
      <w:pPr>
        <w:ind w:left="2773" w:hanging="360"/>
      </w:pPr>
      <w:rPr>
        <w:rFonts w:ascii="Times New Roman" w:hAnsi="Times New Roman" w:cs="Times New Roman" w:hint="default"/>
      </w:rPr>
    </w:lvl>
    <w:lvl w:ilvl="2" w:tplc="1009001B">
      <w:start w:val="1"/>
      <w:numFmt w:val="lowerRoman"/>
      <w:lvlText w:val="%3."/>
      <w:lvlJc w:val="right"/>
      <w:pPr>
        <w:ind w:left="3493" w:hanging="180"/>
      </w:pPr>
    </w:lvl>
    <w:lvl w:ilvl="3" w:tplc="1009000F">
      <w:start w:val="1"/>
      <w:numFmt w:val="decimal"/>
      <w:lvlText w:val="%4."/>
      <w:lvlJc w:val="left"/>
      <w:pPr>
        <w:ind w:left="4213" w:hanging="360"/>
      </w:pPr>
    </w:lvl>
    <w:lvl w:ilvl="4" w:tplc="10090019">
      <w:start w:val="1"/>
      <w:numFmt w:val="lowerLetter"/>
      <w:lvlText w:val="%5."/>
      <w:lvlJc w:val="left"/>
      <w:pPr>
        <w:ind w:left="4933" w:hanging="360"/>
      </w:pPr>
    </w:lvl>
    <w:lvl w:ilvl="5" w:tplc="1009001B">
      <w:start w:val="1"/>
      <w:numFmt w:val="lowerRoman"/>
      <w:lvlText w:val="%6."/>
      <w:lvlJc w:val="right"/>
      <w:pPr>
        <w:ind w:left="5653" w:hanging="180"/>
      </w:pPr>
    </w:lvl>
    <w:lvl w:ilvl="6" w:tplc="1009000F">
      <w:start w:val="1"/>
      <w:numFmt w:val="decimal"/>
      <w:lvlText w:val="%7."/>
      <w:lvlJc w:val="left"/>
      <w:pPr>
        <w:ind w:left="6373" w:hanging="360"/>
      </w:pPr>
    </w:lvl>
    <w:lvl w:ilvl="7" w:tplc="10090019">
      <w:start w:val="1"/>
      <w:numFmt w:val="lowerLetter"/>
      <w:lvlText w:val="%8."/>
      <w:lvlJc w:val="left"/>
      <w:pPr>
        <w:ind w:left="7093" w:hanging="360"/>
      </w:pPr>
    </w:lvl>
    <w:lvl w:ilvl="8" w:tplc="1009001B">
      <w:start w:val="1"/>
      <w:numFmt w:val="lowerRoman"/>
      <w:lvlText w:val="%9."/>
      <w:lvlJc w:val="right"/>
      <w:pPr>
        <w:ind w:left="7813"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6139E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B33EF4"/>
    <w:multiLevelType w:val="hybridMultilevel"/>
    <w:tmpl w:val="96CCBDAA"/>
    <w:lvl w:ilvl="0" w:tplc="D06676B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2571F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0B07C93"/>
    <w:multiLevelType w:val="hybridMultilevel"/>
    <w:tmpl w:val="F56E0A3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C72200"/>
    <w:multiLevelType w:val="hybridMultilevel"/>
    <w:tmpl w:val="0A0CC0F2"/>
    <w:lvl w:ilvl="0" w:tplc="040C000F">
      <w:start w:val="1"/>
      <w:numFmt w:val="bullet"/>
      <w:lvlText w:val=""/>
      <w:lvlJc w:val="left"/>
      <w:pPr>
        <w:ind w:left="1020" w:hanging="360"/>
      </w:pPr>
      <w:rPr>
        <w:rFonts w:ascii="Symbol" w:hAnsi="Symbol" w:hint="default"/>
      </w:rPr>
    </w:lvl>
    <w:lvl w:ilvl="1" w:tplc="040C0019" w:tentative="1">
      <w:start w:val="1"/>
      <w:numFmt w:val="bullet"/>
      <w:lvlText w:val="o"/>
      <w:lvlJc w:val="left"/>
      <w:pPr>
        <w:ind w:left="1740" w:hanging="360"/>
      </w:pPr>
      <w:rPr>
        <w:rFonts w:ascii="Courier New" w:hAnsi="Courier New" w:cs="Courier New" w:hint="default"/>
      </w:rPr>
    </w:lvl>
    <w:lvl w:ilvl="2" w:tplc="040C001B" w:tentative="1">
      <w:start w:val="1"/>
      <w:numFmt w:val="bullet"/>
      <w:lvlText w:val=""/>
      <w:lvlJc w:val="left"/>
      <w:pPr>
        <w:ind w:left="2460" w:hanging="360"/>
      </w:pPr>
      <w:rPr>
        <w:rFonts w:ascii="Wingdings" w:hAnsi="Wingdings" w:hint="default"/>
      </w:rPr>
    </w:lvl>
    <w:lvl w:ilvl="3" w:tplc="040C000F" w:tentative="1">
      <w:start w:val="1"/>
      <w:numFmt w:val="bullet"/>
      <w:lvlText w:val=""/>
      <w:lvlJc w:val="left"/>
      <w:pPr>
        <w:ind w:left="3180" w:hanging="360"/>
      </w:pPr>
      <w:rPr>
        <w:rFonts w:ascii="Symbol" w:hAnsi="Symbol" w:hint="default"/>
      </w:rPr>
    </w:lvl>
    <w:lvl w:ilvl="4" w:tplc="040C0019" w:tentative="1">
      <w:start w:val="1"/>
      <w:numFmt w:val="bullet"/>
      <w:lvlText w:val="o"/>
      <w:lvlJc w:val="left"/>
      <w:pPr>
        <w:ind w:left="3900" w:hanging="360"/>
      </w:pPr>
      <w:rPr>
        <w:rFonts w:ascii="Courier New" w:hAnsi="Courier New" w:cs="Courier New" w:hint="default"/>
      </w:rPr>
    </w:lvl>
    <w:lvl w:ilvl="5" w:tplc="040C001B" w:tentative="1">
      <w:start w:val="1"/>
      <w:numFmt w:val="bullet"/>
      <w:lvlText w:val=""/>
      <w:lvlJc w:val="left"/>
      <w:pPr>
        <w:ind w:left="4620" w:hanging="360"/>
      </w:pPr>
      <w:rPr>
        <w:rFonts w:ascii="Wingdings" w:hAnsi="Wingdings" w:hint="default"/>
      </w:rPr>
    </w:lvl>
    <w:lvl w:ilvl="6" w:tplc="040C000F" w:tentative="1">
      <w:start w:val="1"/>
      <w:numFmt w:val="bullet"/>
      <w:lvlText w:val=""/>
      <w:lvlJc w:val="left"/>
      <w:pPr>
        <w:ind w:left="5340" w:hanging="360"/>
      </w:pPr>
      <w:rPr>
        <w:rFonts w:ascii="Symbol" w:hAnsi="Symbol" w:hint="default"/>
      </w:rPr>
    </w:lvl>
    <w:lvl w:ilvl="7" w:tplc="040C0019" w:tentative="1">
      <w:start w:val="1"/>
      <w:numFmt w:val="bullet"/>
      <w:lvlText w:val="o"/>
      <w:lvlJc w:val="left"/>
      <w:pPr>
        <w:ind w:left="6060" w:hanging="360"/>
      </w:pPr>
      <w:rPr>
        <w:rFonts w:ascii="Courier New" w:hAnsi="Courier New" w:cs="Courier New" w:hint="default"/>
      </w:rPr>
    </w:lvl>
    <w:lvl w:ilvl="8" w:tplc="040C001B" w:tentative="1">
      <w:start w:val="1"/>
      <w:numFmt w:val="bullet"/>
      <w:lvlText w:val=""/>
      <w:lvlJc w:val="left"/>
      <w:pPr>
        <w:ind w:left="6780" w:hanging="360"/>
      </w:pPr>
      <w:rPr>
        <w:rFonts w:ascii="Wingdings" w:hAnsi="Wingdings" w:hint="default"/>
      </w:rPr>
    </w:lvl>
  </w:abstractNum>
  <w:abstractNum w:abstractNumId="29" w15:restartNumberingAfterBreak="0">
    <w:nsid w:val="42C84412"/>
    <w:multiLevelType w:val="hybridMultilevel"/>
    <w:tmpl w:val="714271FC"/>
    <w:lvl w:ilvl="0" w:tplc="04BCF7E4">
      <w:start w:val="4"/>
      <w:numFmt w:val="decimal"/>
      <w:lvlText w:val="%1."/>
      <w:lvlJc w:val="left"/>
      <w:pPr>
        <w:tabs>
          <w:tab w:val="num" w:pos="719"/>
        </w:tabs>
        <w:ind w:left="719" w:hanging="645"/>
      </w:pPr>
      <w:rPr>
        <w:rFonts w:cs="Times New Roman" w:hint="default"/>
      </w:rPr>
    </w:lvl>
    <w:lvl w:ilvl="1" w:tplc="04130019" w:tentative="1">
      <w:start w:val="1"/>
      <w:numFmt w:val="lowerLetter"/>
      <w:lvlText w:val="%2."/>
      <w:lvlJc w:val="left"/>
      <w:pPr>
        <w:tabs>
          <w:tab w:val="num" w:pos="1154"/>
        </w:tabs>
        <w:ind w:left="1154" w:hanging="360"/>
      </w:pPr>
      <w:rPr>
        <w:rFonts w:cs="Times New Roman"/>
      </w:rPr>
    </w:lvl>
    <w:lvl w:ilvl="2" w:tplc="0413001B" w:tentative="1">
      <w:start w:val="1"/>
      <w:numFmt w:val="lowerRoman"/>
      <w:lvlText w:val="%3."/>
      <w:lvlJc w:val="right"/>
      <w:pPr>
        <w:tabs>
          <w:tab w:val="num" w:pos="1874"/>
        </w:tabs>
        <w:ind w:left="1874" w:hanging="180"/>
      </w:pPr>
      <w:rPr>
        <w:rFonts w:cs="Times New Roman"/>
      </w:rPr>
    </w:lvl>
    <w:lvl w:ilvl="3" w:tplc="0413000F" w:tentative="1">
      <w:start w:val="1"/>
      <w:numFmt w:val="decimal"/>
      <w:lvlText w:val="%4."/>
      <w:lvlJc w:val="left"/>
      <w:pPr>
        <w:tabs>
          <w:tab w:val="num" w:pos="2594"/>
        </w:tabs>
        <w:ind w:left="2594" w:hanging="360"/>
      </w:pPr>
      <w:rPr>
        <w:rFonts w:cs="Times New Roman"/>
      </w:rPr>
    </w:lvl>
    <w:lvl w:ilvl="4" w:tplc="04130019" w:tentative="1">
      <w:start w:val="1"/>
      <w:numFmt w:val="lowerLetter"/>
      <w:lvlText w:val="%5."/>
      <w:lvlJc w:val="left"/>
      <w:pPr>
        <w:tabs>
          <w:tab w:val="num" w:pos="3314"/>
        </w:tabs>
        <w:ind w:left="3314" w:hanging="360"/>
      </w:pPr>
      <w:rPr>
        <w:rFonts w:cs="Times New Roman"/>
      </w:rPr>
    </w:lvl>
    <w:lvl w:ilvl="5" w:tplc="0413001B" w:tentative="1">
      <w:start w:val="1"/>
      <w:numFmt w:val="lowerRoman"/>
      <w:lvlText w:val="%6."/>
      <w:lvlJc w:val="right"/>
      <w:pPr>
        <w:tabs>
          <w:tab w:val="num" w:pos="4034"/>
        </w:tabs>
        <w:ind w:left="4034" w:hanging="180"/>
      </w:pPr>
      <w:rPr>
        <w:rFonts w:cs="Times New Roman"/>
      </w:rPr>
    </w:lvl>
    <w:lvl w:ilvl="6" w:tplc="0413000F" w:tentative="1">
      <w:start w:val="1"/>
      <w:numFmt w:val="decimal"/>
      <w:lvlText w:val="%7."/>
      <w:lvlJc w:val="left"/>
      <w:pPr>
        <w:tabs>
          <w:tab w:val="num" w:pos="4754"/>
        </w:tabs>
        <w:ind w:left="4754" w:hanging="360"/>
      </w:pPr>
      <w:rPr>
        <w:rFonts w:cs="Times New Roman"/>
      </w:rPr>
    </w:lvl>
    <w:lvl w:ilvl="7" w:tplc="04130019" w:tentative="1">
      <w:start w:val="1"/>
      <w:numFmt w:val="lowerLetter"/>
      <w:lvlText w:val="%8."/>
      <w:lvlJc w:val="left"/>
      <w:pPr>
        <w:tabs>
          <w:tab w:val="num" w:pos="5474"/>
        </w:tabs>
        <w:ind w:left="5474" w:hanging="360"/>
      </w:pPr>
      <w:rPr>
        <w:rFonts w:cs="Times New Roman"/>
      </w:rPr>
    </w:lvl>
    <w:lvl w:ilvl="8" w:tplc="0413001B" w:tentative="1">
      <w:start w:val="1"/>
      <w:numFmt w:val="lowerRoman"/>
      <w:lvlText w:val="%9."/>
      <w:lvlJc w:val="right"/>
      <w:pPr>
        <w:tabs>
          <w:tab w:val="num" w:pos="6194"/>
        </w:tabs>
        <w:ind w:left="6194" w:hanging="180"/>
      </w:pPr>
      <w:rPr>
        <w:rFonts w:cs="Times New Roman"/>
      </w:rPr>
    </w:lvl>
  </w:abstractNum>
  <w:abstractNum w:abstractNumId="30" w15:restartNumberingAfterBreak="0">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4A6B41BF"/>
    <w:multiLevelType w:val="hybridMultilevel"/>
    <w:tmpl w:val="5E6E3C22"/>
    <w:lvl w:ilvl="0" w:tplc="46EE8EDE">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E177E68"/>
    <w:multiLevelType w:val="hybridMultilevel"/>
    <w:tmpl w:val="4304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14F4F"/>
    <w:multiLevelType w:val="hybridMultilevel"/>
    <w:tmpl w:val="7CFC70E2"/>
    <w:lvl w:ilvl="0" w:tplc="04090015">
      <w:start w:val="1"/>
      <w:numFmt w:val="upp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040C0001">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4BC1CEF"/>
    <w:multiLevelType w:val="hybridMultilevel"/>
    <w:tmpl w:val="5FBA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938AA"/>
    <w:multiLevelType w:val="multilevel"/>
    <w:tmpl w:val="2E0A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383029"/>
    <w:multiLevelType w:val="hybridMultilevel"/>
    <w:tmpl w:val="3F3EB92C"/>
    <w:lvl w:ilvl="0" w:tplc="C4E4F73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21"/>
  </w:num>
  <w:num w:numId="13">
    <w:abstractNumId w:val="12"/>
  </w:num>
  <w:num w:numId="14">
    <w:abstractNumId w:val="19"/>
  </w:num>
  <w:num w:numId="15">
    <w:abstractNumId w:val="27"/>
  </w:num>
  <w:num w:numId="16">
    <w:abstractNumId w:val="20"/>
  </w:num>
  <w:num w:numId="17">
    <w:abstractNumId w:val="34"/>
  </w:num>
  <w:num w:numId="18">
    <w:abstractNumId w:val="37"/>
  </w:num>
  <w:num w:numId="19">
    <w:abstractNumId w:val="15"/>
  </w:num>
  <w:num w:numId="20">
    <w:abstractNumId w:val="14"/>
  </w:num>
  <w:num w:numId="21">
    <w:abstractNumId w:val="29"/>
  </w:num>
  <w:num w:numId="22">
    <w:abstractNumId w:val="23"/>
  </w:num>
  <w:num w:numId="23">
    <w:abstractNumId w:val="16"/>
  </w:num>
  <w:num w:numId="24">
    <w:abstractNumId w:val="30"/>
  </w:num>
  <w:num w:numId="25">
    <w:abstractNumId w:val="10"/>
  </w:num>
  <w:num w:numId="26">
    <w:abstractNumId w:val="11"/>
  </w:num>
  <w:num w:numId="27">
    <w:abstractNumId w:val="35"/>
  </w:num>
  <w:num w:numId="28">
    <w:abstractNumId w:val="28"/>
  </w:num>
  <w:num w:numId="29">
    <w:abstractNumId w:val="25"/>
  </w:num>
  <w:num w:numId="30">
    <w:abstractNumId w:val="32"/>
  </w:num>
  <w:num w:numId="31">
    <w:abstractNumId w:val="36"/>
  </w:num>
  <w:num w:numId="32">
    <w:abstractNumId w:val="13"/>
  </w:num>
  <w:num w:numId="33">
    <w:abstractNumId w:val="38"/>
  </w:num>
  <w:num w:numId="34">
    <w:abstractNumId w:val="17"/>
  </w:num>
  <w:num w:numId="35">
    <w:abstractNumId w:val="33"/>
  </w:num>
  <w:num w:numId="36">
    <w:abstractNumId w:val="31"/>
  </w:num>
  <w:num w:numId="37">
    <w:abstractNumId w:val="24"/>
  </w:num>
  <w:num w:numId="38">
    <w:abstractNumId w:val="22"/>
  </w:num>
  <w:num w:numId="39">
    <w:abstractNumId w:val="39"/>
  </w:num>
  <w:num w:numId="4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CA"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8D"/>
    <w:rsid w:val="00002A7D"/>
    <w:rsid w:val="000038A8"/>
    <w:rsid w:val="00004CB4"/>
    <w:rsid w:val="00006790"/>
    <w:rsid w:val="00022EA1"/>
    <w:rsid w:val="00027624"/>
    <w:rsid w:val="000338EC"/>
    <w:rsid w:val="00050F6B"/>
    <w:rsid w:val="00060675"/>
    <w:rsid w:val="00062EC8"/>
    <w:rsid w:val="000678CD"/>
    <w:rsid w:val="00071447"/>
    <w:rsid w:val="00072C8C"/>
    <w:rsid w:val="00075498"/>
    <w:rsid w:val="000804A8"/>
    <w:rsid w:val="00081CE0"/>
    <w:rsid w:val="00081E5B"/>
    <w:rsid w:val="00084425"/>
    <w:rsid w:val="00084D30"/>
    <w:rsid w:val="00086F86"/>
    <w:rsid w:val="00090320"/>
    <w:rsid w:val="00091148"/>
    <w:rsid w:val="000931C0"/>
    <w:rsid w:val="00093233"/>
    <w:rsid w:val="000A2E09"/>
    <w:rsid w:val="000B175B"/>
    <w:rsid w:val="000B3A0F"/>
    <w:rsid w:val="000B41FA"/>
    <w:rsid w:val="000C494E"/>
    <w:rsid w:val="000C5A28"/>
    <w:rsid w:val="000D50AD"/>
    <w:rsid w:val="000E0415"/>
    <w:rsid w:val="000E7EB0"/>
    <w:rsid w:val="000F0910"/>
    <w:rsid w:val="000F2167"/>
    <w:rsid w:val="000F468C"/>
    <w:rsid w:val="000F4CB4"/>
    <w:rsid w:val="000F7715"/>
    <w:rsid w:val="00103410"/>
    <w:rsid w:val="00103E99"/>
    <w:rsid w:val="001105AE"/>
    <w:rsid w:val="00112A5B"/>
    <w:rsid w:val="00113720"/>
    <w:rsid w:val="001213C0"/>
    <w:rsid w:val="001335C5"/>
    <w:rsid w:val="0014164A"/>
    <w:rsid w:val="00146493"/>
    <w:rsid w:val="00153897"/>
    <w:rsid w:val="00156B99"/>
    <w:rsid w:val="00166124"/>
    <w:rsid w:val="0016740C"/>
    <w:rsid w:val="00167F20"/>
    <w:rsid w:val="00170986"/>
    <w:rsid w:val="00175C62"/>
    <w:rsid w:val="00180CF6"/>
    <w:rsid w:val="00184DDA"/>
    <w:rsid w:val="00186A5B"/>
    <w:rsid w:val="001900CD"/>
    <w:rsid w:val="0019444B"/>
    <w:rsid w:val="001A0452"/>
    <w:rsid w:val="001A2442"/>
    <w:rsid w:val="001A3481"/>
    <w:rsid w:val="001A7E63"/>
    <w:rsid w:val="001B4B04"/>
    <w:rsid w:val="001B5875"/>
    <w:rsid w:val="001C4B9C"/>
    <w:rsid w:val="001C60E2"/>
    <w:rsid w:val="001C6663"/>
    <w:rsid w:val="001C7895"/>
    <w:rsid w:val="001D15C4"/>
    <w:rsid w:val="001D26DF"/>
    <w:rsid w:val="001D312D"/>
    <w:rsid w:val="001E6BC6"/>
    <w:rsid w:val="001F1599"/>
    <w:rsid w:val="001F1961"/>
    <w:rsid w:val="001F19C4"/>
    <w:rsid w:val="001F735E"/>
    <w:rsid w:val="002043F0"/>
    <w:rsid w:val="002060B9"/>
    <w:rsid w:val="0021108A"/>
    <w:rsid w:val="00211E0B"/>
    <w:rsid w:val="00213ECF"/>
    <w:rsid w:val="0021431B"/>
    <w:rsid w:val="002261F2"/>
    <w:rsid w:val="00232575"/>
    <w:rsid w:val="00235C78"/>
    <w:rsid w:val="00247258"/>
    <w:rsid w:val="002523B5"/>
    <w:rsid w:val="002557F1"/>
    <w:rsid w:val="00257CAC"/>
    <w:rsid w:val="00264D07"/>
    <w:rsid w:val="0027146D"/>
    <w:rsid w:val="00276602"/>
    <w:rsid w:val="00276AA0"/>
    <w:rsid w:val="0028647A"/>
    <w:rsid w:val="0029686E"/>
    <w:rsid w:val="00296D65"/>
    <w:rsid w:val="002974E9"/>
    <w:rsid w:val="002A214F"/>
    <w:rsid w:val="002A2B8E"/>
    <w:rsid w:val="002A7F94"/>
    <w:rsid w:val="002B109A"/>
    <w:rsid w:val="002B7F28"/>
    <w:rsid w:val="002C1973"/>
    <w:rsid w:val="002C57D6"/>
    <w:rsid w:val="002C6D45"/>
    <w:rsid w:val="002C7291"/>
    <w:rsid w:val="002D4CF0"/>
    <w:rsid w:val="002D6E53"/>
    <w:rsid w:val="002E36F0"/>
    <w:rsid w:val="002F046D"/>
    <w:rsid w:val="002F20C3"/>
    <w:rsid w:val="002F3FCF"/>
    <w:rsid w:val="003007E7"/>
    <w:rsid w:val="00301764"/>
    <w:rsid w:val="00302B3E"/>
    <w:rsid w:val="003203DD"/>
    <w:rsid w:val="0032115C"/>
    <w:rsid w:val="003229D8"/>
    <w:rsid w:val="00323AD2"/>
    <w:rsid w:val="003243D8"/>
    <w:rsid w:val="00334442"/>
    <w:rsid w:val="00336C97"/>
    <w:rsid w:val="00337D65"/>
    <w:rsid w:val="00337F88"/>
    <w:rsid w:val="00342432"/>
    <w:rsid w:val="00346E07"/>
    <w:rsid w:val="00352D4B"/>
    <w:rsid w:val="00354724"/>
    <w:rsid w:val="00354CED"/>
    <w:rsid w:val="0035638C"/>
    <w:rsid w:val="003563A6"/>
    <w:rsid w:val="00366F33"/>
    <w:rsid w:val="00367400"/>
    <w:rsid w:val="00370928"/>
    <w:rsid w:val="00373E48"/>
    <w:rsid w:val="003A46BB"/>
    <w:rsid w:val="003A4EC7"/>
    <w:rsid w:val="003A5FBA"/>
    <w:rsid w:val="003A7295"/>
    <w:rsid w:val="003B1AA6"/>
    <w:rsid w:val="003B1F60"/>
    <w:rsid w:val="003B5767"/>
    <w:rsid w:val="003B57DC"/>
    <w:rsid w:val="003C2CC4"/>
    <w:rsid w:val="003C2E7B"/>
    <w:rsid w:val="003C4FD9"/>
    <w:rsid w:val="003C7026"/>
    <w:rsid w:val="003D03F5"/>
    <w:rsid w:val="003D4B23"/>
    <w:rsid w:val="003D58A1"/>
    <w:rsid w:val="003E2459"/>
    <w:rsid w:val="003E278A"/>
    <w:rsid w:val="003E360F"/>
    <w:rsid w:val="003F6C18"/>
    <w:rsid w:val="004032CF"/>
    <w:rsid w:val="00413520"/>
    <w:rsid w:val="00414F7A"/>
    <w:rsid w:val="00416E53"/>
    <w:rsid w:val="00427B1B"/>
    <w:rsid w:val="00431D4D"/>
    <w:rsid w:val="004325CB"/>
    <w:rsid w:val="00436982"/>
    <w:rsid w:val="00437BB5"/>
    <w:rsid w:val="00440A07"/>
    <w:rsid w:val="0044240B"/>
    <w:rsid w:val="00443E03"/>
    <w:rsid w:val="00447C96"/>
    <w:rsid w:val="00451E02"/>
    <w:rsid w:val="00452166"/>
    <w:rsid w:val="00453E23"/>
    <w:rsid w:val="00456A02"/>
    <w:rsid w:val="0046243B"/>
    <w:rsid w:val="00462880"/>
    <w:rsid w:val="0047298C"/>
    <w:rsid w:val="0047303D"/>
    <w:rsid w:val="00476F24"/>
    <w:rsid w:val="00482651"/>
    <w:rsid w:val="0049079F"/>
    <w:rsid w:val="004909E7"/>
    <w:rsid w:val="004913D5"/>
    <w:rsid w:val="00493073"/>
    <w:rsid w:val="00493C61"/>
    <w:rsid w:val="004949C2"/>
    <w:rsid w:val="004953E5"/>
    <w:rsid w:val="004A3646"/>
    <w:rsid w:val="004B3354"/>
    <w:rsid w:val="004B45B0"/>
    <w:rsid w:val="004B56A1"/>
    <w:rsid w:val="004C19FC"/>
    <w:rsid w:val="004C55B0"/>
    <w:rsid w:val="004E4179"/>
    <w:rsid w:val="004E6E10"/>
    <w:rsid w:val="004F2D9F"/>
    <w:rsid w:val="004F6BA0"/>
    <w:rsid w:val="00503BEA"/>
    <w:rsid w:val="0051382F"/>
    <w:rsid w:val="00515EFC"/>
    <w:rsid w:val="00517E8D"/>
    <w:rsid w:val="00525F64"/>
    <w:rsid w:val="00532928"/>
    <w:rsid w:val="00533616"/>
    <w:rsid w:val="00535ABA"/>
    <w:rsid w:val="005371A0"/>
    <w:rsid w:val="0053768B"/>
    <w:rsid w:val="005420F2"/>
    <w:rsid w:val="0054285C"/>
    <w:rsid w:val="00547A88"/>
    <w:rsid w:val="00556179"/>
    <w:rsid w:val="005561AA"/>
    <w:rsid w:val="005609C3"/>
    <w:rsid w:val="00561410"/>
    <w:rsid w:val="0056483A"/>
    <w:rsid w:val="00564BF4"/>
    <w:rsid w:val="005711D3"/>
    <w:rsid w:val="0057224A"/>
    <w:rsid w:val="00577096"/>
    <w:rsid w:val="00584173"/>
    <w:rsid w:val="00586B0A"/>
    <w:rsid w:val="00595520"/>
    <w:rsid w:val="00597DE1"/>
    <w:rsid w:val="005A44B9"/>
    <w:rsid w:val="005A589F"/>
    <w:rsid w:val="005A593B"/>
    <w:rsid w:val="005B0441"/>
    <w:rsid w:val="005B1BA0"/>
    <w:rsid w:val="005B3DB3"/>
    <w:rsid w:val="005D15CA"/>
    <w:rsid w:val="005D390C"/>
    <w:rsid w:val="005F3066"/>
    <w:rsid w:val="005F3E61"/>
    <w:rsid w:val="005F51F6"/>
    <w:rsid w:val="00602013"/>
    <w:rsid w:val="00604DDD"/>
    <w:rsid w:val="006115CC"/>
    <w:rsid w:val="00611FC4"/>
    <w:rsid w:val="006176FB"/>
    <w:rsid w:val="00630FCB"/>
    <w:rsid w:val="00632F10"/>
    <w:rsid w:val="006369F3"/>
    <w:rsid w:val="0064017F"/>
    <w:rsid w:val="00640B26"/>
    <w:rsid w:val="00642502"/>
    <w:rsid w:val="00655FA0"/>
    <w:rsid w:val="006666F3"/>
    <w:rsid w:val="00667D6B"/>
    <w:rsid w:val="0067520F"/>
    <w:rsid w:val="006770B2"/>
    <w:rsid w:val="00686E4F"/>
    <w:rsid w:val="006940E1"/>
    <w:rsid w:val="006A3C72"/>
    <w:rsid w:val="006A59C4"/>
    <w:rsid w:val="006A7392"/>
    <w:rsid w:val="006B03A1"/>
    <w:rsid w:val="006B67D9"/>
    <w:rsid w:val="006B6CC5"/>
    <w:rsid w:val="006C328C"/>
    <w:rsid w:val="006C5535"/>
    <w:rsid w:val="006D0589"/>
    <w:rsid w:val="006D1D09"/>
    <w:rsid w:val="006D25E9"/>
    <w:rsid w:val="006D2658"/>
    <w:rsid w:val="006D5317"/>
    <w:rsid w:val="006D75E5"/>
    <w:rsid w:val="006E564B"/>
    <w:rsid w:val="006E6EE2"/>
    <w:rsid w:val="006E7154"/>
    <w:rsid w:val="006F46C5"/>
    <w:rsid w:val="007003CD"/>
    <w:rsid w:val="0070701E"/>
    <w:rsid w:val="0070702F"/>
    <w:rsid w:val="007160DB"/>
    <w:rsid w:val="00720447"/>
    <w:rsid w:val="007239CE"/>
    <w:rsid w:val="007260A6"/>
    <w:rsid w:val="007260C9"/>
    <w:rsid w:val="0072632A"/>
    <w:rsid w:val="00730331"/>
    <w:rsid w:val="007358E8"/>
    <w:rsid w:val="00736ECE"/>
    <w:rsid w:val="0074533B"/>
    <w:rsid w:val="0076307D"/>
    <w:rsid w:val="0076432E"/>
    <w:rsid w:val="007643BC"/>
    <w:rsid w:val="00767693"/>
    <w:rsid w:val="007732B8"/>
    <w:rsid w:val="00773D0E"/>
    <w:rsid w:val="00781015"/>
    <w:rsid w:val="0079406B"/>
    <w:rsid w:val="007959FE"/>
    <w:rsid w:val="007A0CF1"/>
    <w:rsid w:val="007A7CC0"/>
    <w:rsid w:val="007B1C52"/>
    <w:rsid w:val="007B6A61"/>
    <w:rsid w:val="007B6BA5"/>
    <w:rsid w:val="007C3390"/>
    <w:rsid w:val="007C42D8"/>
    <w:rsid w:val="007C4F4B"/>
    <w:rsid w:val="007C68C8"/>
    <w:rsid w:val="007D6605"/>
    <w:rsid w:val="007D7362"/>
    <w:rsid w:val="007E4914"/>
    <w:rsid w:val="007E6E95"/>
    <w:rsid w:val="007E76B1"/>
    <w:rsid w:val="007F5CE2"/>
    <w:rsid w:val="007F6611"/>
    <w:rsid w:val="00810BAC"/>
    <w:rsid w:val="00814B0C"/>
    <w:rsid w:val="008175E9"/>
    <w:rsid w:val="008242BE"/>
    <w:rsid w:val="008242D7"/>
    <w:rsid w:val="00825578"/>
    <w:rsid w:val="0082577B"/>
    <w:rsid w:val="00827E7E"/>
    <w:rsid w:val="00835C30"/>
    <w:rsid w:val="0084056F"/>
    <w:rsid w:val="00843115"/>
    <w:rsid w:val="008479D3"/>
    <w:rsid w:val="008558E7"/>
    <w:rsid w:val="008561A8"/>
    <w:rsid w:val="00866893"/>
    <w:rsid w:val="00866F02"/>
    <w:rsid w:val="00867D18"/>
    <w:rsid w:val="00871F9A"/>
    <w:rsid w:val="00871FD5"/>
    <w:rsid w:val="00876B8E"/>
    <w:rsid w:val="0088172E"/>
    <w:rsid w:val="00881EFA"/>
    <w:rsid w:val="00883E28"/>
    <w:rsid w:val="008979B1"/>
    <w:rsid w:val="008A6B25"/>
    <w:rsid w:val="008A6C4F"/>
    <w:rsid w:val="008B389E"/>
    <w:rsid w:val="008B4035"/>
    <w:rsid w:val="008C5BCB"/>
    <w:rsid w:val="008D045E"/>
    <w:rsid w:val="008D3F25"/>
    <w:rsid w:val="008D464D"/>
    <w:rsid w:val="008D4D82"/>
    <w:rsid w:val="008E0AB1"/>
    <w:rsid w:val="008E0E09"/>
    <w:rsid w:val="008E0E46"/>
    <w:rsid w:val="008E6FB6"/>
    <w:rsid w:val="008E7116"/>
    <w:rsid w:val="008F143B"/>
    <w:rsid w:val="008F3882"/>
    <w:rsid w:val="008F3C40"/>
    <w:rsid w:val="008F3D9C"/>
    <w:rsid w:val="008F4B7C"/>
    <w:rsid w:val="00906174"/>
    <w:rsid w:val="00911AF3"/>
    <w:rsid w:val="009128C5"/>
    <w:rsid w:val="00914DC3"/>
    <w:rsid w:val="00915463"/>
    <w:rsid w:val="00926E47"/>
    <w:rsid w:val="00931BFA"/>
    <w:rsid w:val="009329BB"/>
    <w:rsid w:val="00945B59"/>
    <w:rsid w:val="00947162"/>
    <w:rsid w:val="00951F8C"/>
    <w:rsid w:val="00953163"/>
    <w:rsid w:val="00954EE3"/>
    <w:rsid w:val="00955010"/>
    <w:rsid w:val="00957FAD"/>
    <w:rsid w:val="009601FF"/>
    <w:rsid w:val="00960D5D"/>
    <w:rsid w:val="009610D0"/>
    <w:rsid w:val="0096375C"/>
    <w:rsid w:val="009662E6"/>
    <w:rsid w:val="0097095E"/>
    <w:rsid w:val="0097751F"/>
    <w:rsid w:val="00980D03"/>
    <w:rsid w:val="00980F57"/>
    <w:rsid w:val="0098592B"/>
    <w:rsid w:val="00985FC4"/>
    <w:rsid w:val="00987C0E"/>
    <w:rsid w:val="00990766"/>
    <w:rsid w:val="00991261"/>
    <w:rsid w:val="00992C68"/>
    <w:rsid w:val="009964C4"/>
    <w:rsid w:val="009A402A"/>
    <w:rsid w:val="009A7B81"/>
    <w:rsid w:val="009C14A2"/>
    <w:rsid w:val="009D01C0"/>
    <w:rsid w:val="009D6A08"/>
    <w:rsid w:val="009E0A16"/>
    <w:rsid w:val="009E7207"/>
    <w:rsid w:val="009E7970"/>
    <w:rsid w:val="009F2EAC"/>
    <w:rsid w:val="009F57E3"/>
    <w:rsid w:val="00A0512A"/>
    <w:rsid w:val="00A10F4F"/>
    <w:rsid w:val="00A11067"/>
    <w:rsid w:val="00A1704A"/>
    <w:rsid w:val="00A202E6"/>
    <w:rsid w:val="00A21003"/>
    <w:rsid w:val="00A23E9E"/>
    <w:rsid w:val="00A24838"/>
    <w:rsid w:val="00A31BBB"/>
    <w:rsid w:val="00A413A3"/>
    <w:rsid w:val="00A425EB"/>
    <w:rsid w:val="00A45CB7"/>
    <w:rsid w:val="00A45DFD"/>
    <w:rsid w:val="00A47439"/>
    <w:rsid w:val="00A50393"/>
    <w:rsid w:val="00A54B9B"/>
    <w:rsid w:val="00A60CFD"/>
    <w:rsid w:val="00A6592A"/>
    <w:rsid w:val="00A72F22"/>
    <w:rsid w:val="00A733BC"/>
    <w:rsid w:val="00A748A6"/>
    <w:rsid w:val="00A749C1"/>
    <w:rsid w:val="00A76A69"/>
    <w:rsid w:val="00A77D0C"/>
    <w:rsid w:val="00A824E7"/>
    <w:rsid w:val="00A8501D"/>
    <w:rsid w:val="00A879A4"/>
    <w:rsid w:val="00A96696"/>
    <w:rsid w:val="00AA0FF8"/>
    <w:rsid w:val="00AC0F2C"/>
    <w:rsid w:val="00AC14F5"/>
    <w:rsid w:val="00AC16F3"/>
    <w:rsid w:val="00AC502A"/>
    <w:rsid w:val="00AC5B31"/>
    <w:rsid w:val="00AC648E"/>
    <w:rsid w:val="00AD21EB"/>
    <w:rsid w:val="00AD2623"/>
    <w:rsid w:val="00AF3A98"/>
    <w:rsid w:val="00AF58C1"/>
    <w:rsid w:val="00AF6882"/>
    <w:rsid w:val="00B0158F"/>
    <w:rsid w:val="00B033C5"/>
    <w:rsid w:val="00B03E68"/>
    <w:rsid w:val="00B05DA8"/>
    <w:rsid w:val="00B06643"/>
    <w:rsid w:val="00B1060B"/>
    <w:rsid w:val="00B15055"/>
    <w:rsid w:val="00B17FC5"/>
    <w:rsid w:val="00B30179"/>
    <w:rsid w:val="00B31982"/>
    <w:rsid w:val="00B37B15"/>
    <w:rsid w:val="00B42094"/>
    <w:rsid w:val="00B4482F"/>
    <w:rsid w:val="00B45C02"/>
    <w:rsid w:val="00B5617C"/>
    <w:rsid w:val="00B61EAA"/>
    <w:rsid w:val="00B720E7"/>
    <w:rsid w:val="00B72A1E"/>
    <w:rsid w:val="00B81E12"/>
    <w:rsid w:val="00B840CD"/>
    <w:rsid w:val="00B91466"/>
    <w:rsid w:val="00B9282B"/>
    <w:rsid w:val="00B959E3"/>
    <w:rsid w:val="00BA2494"/>
    <w:rsid w:val="00BA339B"/>
    <w:rsid w:val="00BB3ED2"/>
    <w:rsid w:val="00BC1E7E"/>
    <w:rsid w:val="00BC2E45"/>
    <w:rsid w:val="00BC74E9"/>
    <w:rsid w:val="00BD195F"/>
    <w:rsid w:val="00BD321A"/>
    <w:rsid w:val="00BE36A9"/>
    <w:rsid w:val="00BE618E"/>
    <w:rsid w:val="00BE7BEC"/>
    <w:rsid w:val="00BF0A5A"/>
    <w:rsid w:val="00BF0E63"/>
    <w:rsid w:val="00BF12A3"/>
    <w:rsid w:val="00BF16D7"/>
    <w:rsid w:val="00BF2373"/>
    <w:rsid w:val="00BF30B6"/>
    <w:rsid w:val="00BF3D12"/>
    <w:rsid w:val="00BF4E6D"/>
    <w:rsid w:val="00C044E2"/>
    <w:rsid w:val="00C048CB"/>
    <w:rsid w:val="00C066F3"/>
    <w:rsid w:val="00C06865"/>
    <w:rsid w:val="00C07CA9"/>
    <w:rsid w:val="00C10783"/>
    <w:rsid w:val="00C175B6"/>
    <w:rsid w:val="00C20AFD"/>
    <w:rsid w:val="00C3273F"/>
    <w:rsid w:val="00C3782A"/>
    <w:rsid w:val="00C446B0"/>
    <w:rsid w:val="00C446BE"/>
    <w:rsid w:val="00C44BB0"/>
    <w:rsid w:val="00C45BBB"/>
    <w:rsid w:val="00C463DD"/>
    <w:rsid w:val="00C46921"/>
    <w:rsid w:val="00C479FA"/>
    <w:rsid w:val="00C57892"/>
    <w:rsid w:val="00C62ABF"/>
    <w:rsid w:val="00C70775"/>
    <w:rsid w:val="00C70809"/>
    <w:rsid w:val="00C745C3"/>
    <w:rsid w:val="00C805A7"/>
    <w:rsid w:val="00C85F2D"/>
    <w:rsid w:val="00C90FC9"/>
    <w:rsid w:val="00C9170F"/>
    <w:rsid w:val="00C9747B"/>
    <w:rsid w:val="00CA2221"/>
    <w:rsid w:val="00CA24A4"/>
    <w:rsid w:val="00CA3137"/>
    <w:rsid w:val="00CA388C"/>
    <w:rsid w:val="00CB2A92"/>
    <w:rsid w:val="00CB348D"/>
    <w:rsid w:val="00CB34BE"/>
    <w:rsid w:val="00CB6EBD"/>
    <w:rsid w:val="00CB763D"/>
    <w:rsid w:val="00CC199A"/>
    <w:rsid w:val="00CC60D5"/>
    <w:rsid w:val="00CD46F5"/>
    <w:rsid w:val="00CD6C29"/>
    <w:rsid w:val="00CE4A8F"/>
    <w:rsid w:val="00CE52ED"/>
    <w:rsid w:val="00CF071D"/>
    <w:rsid w:val="00CF116C"/>
    <w:rsid w:val="00D029DD"/>
    <w:rsid w:val="00D03E28"/>
    <w:rsid w:val="00D15B04"/>
    <w:rsid w:val="00D16B42"/>
    <w:rsid w:val="00D17B2C"/>
    <w:rsid w:val="00D2031B"/>
    <w:rsid w:val="00D23EAC"/>
    <w:rsid w:val="00D24692"/>
    <w:rsid w:val="00D25EC1"/>
    <w:rsid w:val="00D25FE2"/>
    <w:rsid w:val="00D30491"/>
    <w:rsid w:val="00D31633"/>
    <w:rsid w:val="00D37DA9"/>
    <w:rsid w:val="00D406A7"/>
    <w:rsid w:val="00D41E86"/>
    <w:rsid w:val="00D43252"/>
    <w:rsid w:val="00D44D86"/>
    <w:rsid w:val="00D50B7D"/>
    <w:rsid w:val="00D52012"/>
    <w:rsid w:val="00D53AB3"/>
    <w:rsid w:val="00D60FE0"/>
    <w:rsid w:val="00D679BB"/>
    <w:rsid w:val="00D70257"/>
    <w:rsid w:val="00D704E5"/>
    <w:rsid w:val="00D72727"/>
    <w:rsid w:val="00D731DD"/>
    <w:rsid w:val="00D754D5"/>
    <w:rsid w:val="00D853B1"/>
    <w:rsid w:val="00D978C6"/>
    <w:rsid w:val="00DA0956"/>
    <w:rsid w:val="00DA357F"/>
    <w:rsid w:val="00DA3E12"/>
    <w:rsid w:val="00DA4039"/>
    <w:rsid w:val="00DB2B9B"/>
    <w:rsid w:val="00DB66FA"/>
    <w:rsid w:val="00DC18AD"/>
    <w:rsid w:val="00DE0CB9"/>
    <w:rsid w:val="00DE5105"/>
    <w:rsid w:val="00DF1A1E"/>
    <w:rsid w:val="00DF6A82"/>
    <w:rsid w:val="00DF7CAE"/>
    <w:rsid w:val="00E02011"/>
    <w:rsid w:val="00E03BF6"/>
    <w:rsid w:val="00E06879"/>
    <w:rsid w:val="00E1773B"/>
    <w:rsid w:val="00E238B5"/>
    <w:rsid w:val="00E2482F"/>
    <w:rsid w:val="00E32B3B"/>
    <w:rsid w:val="00E423C0"/>
    <w:rsid w:val="00E4495B"/>
    <w:rsid w:val="00E44DD8"/>
    <w:rsid w:val="00E46F54"/>
    <w:rsid w:val="00E55DC3"/>
    <w:rsid w:val="00E62486"/>
    <w:rsid w:val="00E6414C"/>
    <w:rsid w:val="00E64CA7"/>
    <w:rsid w:val="00E66DA2"/>
    <w:rsid w:val="00E7260F"/>
    <w:rsid w:val="00E82C50"/>
    <w:rsid w:val="00E86772"/>
    <w:rsid w:val="00E8702D"/>
    <w:rsid w:val="00E87D55"/>
    <w:rsid w:val="00E916A9"/>
    <w:rsid w:val="00E916DE"/>
    <w:rsid w:val="00E92BCF"/>
    <w:rsid w:val="00E96630"/>
    <w:rsid w:val="00EA08A3"/>
    <w:rsid w:val="00EC22B0"/>
    <w:rsid w:val="00EC38AB"/>
    <w:rsid w:val="00EC50C2"/>
    <w:rsid w:val="00EC7076"/>
    <w:rsid w:val="00ED18DC"/>
    <w:rsid w:val="00ED6201"/>
    <w:rsid w:val="00ED66EF"/>
    <w:rsid w:val="00ED7A2A"/>
    <w:rsid w:val="00EE37E1"/>
    <w:rsid w:val="00EE4832"/>
    <w:rsid w:val="00EF0BF7"/>
    <w:rsid w:val="00EF1840"/>
    <w:rsid w:val="00EF1D7F"/>
    <w:rsid w:val="00EF4426"/>
    <w:rsid w:val="00F0137E"/>
    <w:rsid w:val="00F16629"/>
    <w:rsid w:val="00F213D6"/>
    <w:rsid w:val="00F21786"/>
    <w:rsid w:val="00F3742B"/>
    <w:rsid w:val="00F41FDB"/>
    <w:rsid w:val="00F42721"/>
    <w:rsid w:val="00F5337D"/>
    <w:rsid w:val="00F56D63"/>
    <w:rsid w:val="00F609A9"/>
    <w:rsid w:val="00F65614"/>
    <w:rsid w:val="00F66595"/>
    <w:rsid w:val="00F80C99"/>
    <w:rsid w:val="00F82654"/>
    <w:rsid w:val="00F867EC"/>
    <w:rsid w:val="00F91B2B"/>
    <w:rsid w:val="00F9573D"/>
    <w:rsid w:val="00FC03CD"/>
    <w:rsid w:val="00FC0646"/>
    <w:rsid w:val="00FC0826"/>
    <w:rsid w:val="00FC67EE"/>
    <w:rsid w:val="00FC68B7"/>
    <w:rsid w:val="00FE5799"/>
    <w:rsid w:val="00FE5DA5"/>
    <w:rsid w:val="00FE6985"/>
    <w:rsid w:val="00FF4C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B6886"/>
  <w15:chartTrackingRefBased/>
  <w15:docId w15:val="{E52CECD3-BB8F-4CCA-A6A7-2D26412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ing1Char">
    <w:name w:val="Heading 1 Char"/>
    <w:aliases w:val="Table_G Char"/>
    <w:link w:val="Heading1"/>
    <w:locked/>
    <w:rsid w:val="00517E8D"/>
    <w:rPr>
      <w:rFonts w:eastAsia="MS Mincho"/>
      <w:lang w:val="en-GB" w:eastAsia="ja-JP" w:bidi="ar-SA"/>
    </w:rPr>
  </w:style>
  <w:style w:type="table" w:styleId="TableGrid">
    <w:name w:val="Table Grid"/>
    <w:basedOn w:val="TableNormal"/>
    <w:uiPriority w:val="3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eading2Char">
    <w:name w:val="Heading 2 Char"/>
    <w:link w:val="Heading2"/>
    <w:uiPriority w:val="99"/>
    <w:locked/>
    <w:rsid w:val="00517E8D"/>
    <w:rPr>
      <w:rFonts w:eastAsia="MS Mincho"/>
      <w:lang w:val="en-GB" w:eastAsia="ja-JP" w:bidi="ar-SA"/>
    </w:rPr>
  </w:style>
  <w:style w:type="character" w:customStyle="1" w:styleId="Heading3Char">
    <w:name w:val="Heading 3 Char"/>
    <w:link w:val="Heading3"/>
    <w:semiHidden/>
    <w:locked/>
    <w:rsid w:val="00517E8D"/>
    <w:rPr>
      <w:rFonts w:eastAsia="MS Mincho"/>
      <w:lang w:val="en-GB" w:eastAsia="ja-JP" w:bidi="ar-SA"/>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FooterChar">
    <w:name w:val="Footer Char"/>
    <w:aliases w:val="3_G Char"/>
    <w:link w:val="Footer"/>
    <w:uiPriority w:val="99"/>
    <w:locked/>
    <w:rsid w:val="00517E8D"/>
    <w:rPr>
      <w:rFonts w:eastAsia="MS Mincho"/>
      <w:sz w:val="16"/>
      <w:lang w:val="en-GB" w:eastAsia="ja-JP" w:bidi="ar-SA"/>
    </w:rPr>
  </w:style>
  <w:style w:type="character" w:customStyle="1" w:styleId="HeaderChar">
    <w:name w:val="Header Char"/>
    <w:aliases w:val="6_G Char"/>
    <w:link w:val="Header"/>
    <w:uiPriority w:val="99"/>
    <w:locked/>
    <w:rsid w:val="00517E8D"/>
    <w:rPr>
      <w:rFonts w:eastAsia="MS Mincho"/>
      <w:b/>
      <w:sz w:val="18"/>
      <w:lang w:val="en-GB" w:eastAsia="ja-JP" w:bidi="ar-SA"/>
    </w:rPr>
  </w:style>
  <w:style w:type="paragraph" w:styleId="BodyText">
    <w:name w:val="Body Text"/>
    <w:basedOn w:val="Normal"/>
    <w:link w:val="BodyTextChar"/>
    <w:semiHidden/>
    <w:rsid w:val="00517E8D"/>
    <w:pPr>
      <w:suppressAutoHyphens w:val="0"/>
      <w:spacing w:line="240" w:lineRule="auto"/>
      <w:jc w:val="both"/>
    </w:pPr>
    <w:rPr>
      <w:sz w:val="24"/>
      <w:szCs w:val="24"/>
      <w:lang w:val="en-GB"/>
    </w:rPr>
  </w:style>
  <w:style w:type="character" w:customStyle="1" w:styleId="BodyTextChar">
    <w:name w:val="Body Text Char"/>
    <w:link w:val="BodyText"/>
    <w:semiHidden/>
    <w:locked/>
    <w:rsid w:val="00517E8D"/>
    <w:rPr>
      <w:sz w:val="24"/>
      <w:szCs w:val="24"/>
      <w:lang w:val="en-GB" w:eastAsia="en-US" w:bidi="ar-SA"/>
    </w:rPr>
  </w:style>
  <w:style w:type="paragraph" w:styleId="BodyTextIndent">
    <w:name w:val="Body Text Indent"/>
    <w:basedOn w:val="Normal"/>
    <w:link w:val="BodyTextIndentChar"/>
    <w:semiHidden/>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BodyTextIndentChar">
    <w:name w:val="Body Text Indent Char"/>
    <w:link w:val="BodyTextIndent"/>
    <w:semiHidden/>
    <w:locked/>
    <w:rsid w:val="00517E8D"/>
    <w:rPr>
      <w:sz w:val="22"/>
      <w:szCs w:val="22"/>
      <w:lang w:val="en-GB" w:eastAsia="nb-NO" w:bidi="ar-SA"/>
    </w:rPr>
  </w:style>
  <w:style w:type="paragraph" w:styleId="BodyTextIndent2">
    <w:name w:val="Body Text Indent 2"/>
    <w:basedOn w:val="Normal"/>
    <w:link w:val="BodyTextIndent2Char"/>
    <w:semiHidden/>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BodyTextIndent2Char">
    <w:name w:val="Body Text Indent 2 Char"/>
    <w:link w:val="BodyTextIndent2"/>
    <w:semiHidden/>
    <w:locked/>
    <w:rsid w:val="00517E8D"/>
    <w:rPr>
      <w:sz w:val="24"/>
      <w:szCs w:val="24"/>
      <w:lang w:val="en-GB" w:eastAsia="nb-NO" w:bidi="ar-SA"/>
    </w:rPr>
  </w:style>
  <w:style w:type="paragraph" w:styleId="ListParagraph">
    <w:name w:val="List Paragraph"/>
    <w:aliases w:val="Liste à puce 1"/>
    <w:basedOn w:val="Normal"/>
    <w:link w:val="ListParagraphChar"/>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qFormat/>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FootnoteTextChar">
    <w:name w:val="Footnote Text Char"/>
    <w:aliases w:val="5_G Char"/>
    <w:link w:val="FootnoteText"/>
    <w:uiPriority w:val="99"/>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BalloonText">
    <w:name w:val="Balloon Text"/>
    <w:basedOn w:val="Normal"/>
    <w:link w:val="BalloonTextChar"/>
    <w:rsid w:val="004A3646"/>
    <w:pPr>
      <w:spacing w:line="240" w:lineRule="auto"/>
    </w:pPr>
    <w:rPr>
      <w:rFonts w:ascii="Tahoma" w:hAnsi="Tahoma" w:cs="Tahoma"/>
      <w:sz w:val="16"/>
      <w:szCs w:val="16"/>
    </w:rPr>
  </w:style>
  <w:style w:type="character" w:customStyle="1" w:styleId="BalloonTextChar">
    <w:name w:val="Balloon Text Char"/>
    <w:link w:val="BalloonText"/>
    <w:rsid w:val="004A3646"/>
    <w:rPr>
      <w:rFonts w:ascii="Tahoma" w:eastAsia="Times New Roman" w:hAnsi="Tahoma" w:cs="Tahoma"/>
      <w:sz w:val="16"/>
      <w:szCs w:val="16"/>
      <w:lang w:val="fr-CH" w:eastAsia="en-US"/>
    </w:rPr>
  </w:style>
  <w:style w:type="character" w:customStyle="1" w:styleId="HChGChar">
    <w:name w:val="_ H _Ch_G Char"/>
    <w:link w:val="HChG"/>
    <w:qFormat/>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qFormat/>
    <w:rsid w:val="00951F8C"/>
    <w:rPr>
      <w:rFonts w:eastAsia="Times New Roman"/>
      <w:b/>
      <w:sz w:val="24"/>
      <w:lang w:val="fr-CH" w:eastAsia="en-US"/>
    </w:rPr>
  </w:style>
  <w:style w:type="paragraph" w:styleId="NormalWeb">
    <w:name w:val="Normal (Web)"/>
    <w:basedOn w:val="Normal"/>
    <w:uiPriority w:val="99"/>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Text">
    <w:name w:val="annotation text"/>
    <w:basedOn w:val="Normal"/>
    <w:link w:val="CommentTextChar"/>
    <w:uiPriority w:val="99"/>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TextChar">
    <w:name w:val="Comment Text Char"/>
    <w:link w:val="CommentText"/>
    <w:uiPriority w:val="99"/>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customStyle="1" w:styleId="Normaltext">
    <w:name w:val="Normaltext"/>
    <w:basedOn w:val="Normal"/>
    <w:qFormat/>
    <w:rsid w:val="006D2658"/>
    <w:pPr>
      <w:suppressAutoHyphens w:val="0"/>
      <w:spacing w:before="180" w:line="240" w:lineRule="auto"/>
      <w:ind w:left="1080"/>
      <w:jc w:val="both"/>
    </w:pPr>
    <w:rPr>
      <w:rFonts w:ascii="Arial" w:hAnsi="Arial" w:cs="Arial"/>
      <w:color w:val="000000"/>
      <w:sz w:val="18"/>
      <w:lang w:val="de-DE" w:eastAsia="zh-CN"/>
    </w:rPr>
  </w:style>
  <w:style w:type="character" w:customStyle="1" w:styleId="ListParagraphChar">
    <w:name w:val="List Paragraph Char"/>
    <w:aliases w:val="Liste à puce 1 Char"/>
    <w:basedOn w:val="DefaultParagraphFont"/>
    <w:link w:val="ListParagraph"/>
    <w:uiPriority w:val="34"/>
    <w:rsid w:val="00A50393"/>
    <w:rPr>
      <w:rFonts w:eastAsia="Times New Roman"/>
      <w:sz w:val="22"/>
      <w:szCs w:val="22"/>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78549">
      <w:bodyDiv w:val="1"/>
      <w:marLeft w:val="0"/>
      <w:marRight w:val="0"/>
      <w:marTop w:val="0"/>
      <w:marBottom w:val="0"/>
      <w:divBdr>
        <w:top w:val="none" w:sz="0" w:space="0" w:color="auto"/>
        <w:left w:val="none" w:sz="0" w:space="0" w:color="auto"/>
        <w:bottom w:val="none" w:sz="0" w:space="0" w:color="auto"/>
        <w:right w:val="none" w:sz="0" w:space="0" w:color="auto"/>
      </w:divBdr>
    </w:div>
    <w:div w:id="1214922301">
      <w:bodyDiv w:val="1"/>
      <w:marLeft w:val="0"/>
      <w:marRight w:val="0"/>
      <w:marTop w:val="0"/>
      <w:marBottom w:val="0"/>
      <w:divBdr>
        <w:top w:val="none" w:sz="0" w:space="0" w:color="auto"/>
        <w:left w:val="none" w:sz="0" w:space="0" w:color="auto"/>
        <w:bottom w:val="none" w:sz="0" w:space="0" w:color="auto"/>
        <w:right w:val="none" w:sz="0" w:space="0" w:color="auto"/>
      </w:divBdr>
    </w:div>
    <w:div w:id="1542402032">
      <w:bodyDiv w:val="1"/>
      <w:marLeft w:val="0"/>
      <w:marRight w:val="0"/>
      <w:marTop w:val="0"/>
      <w:marBottom w:val="0"/>
      <w:divBdr>
        <w:top w:val="none" w:sz="0" w:space="0" w:color="auto"/>
        <w:left w:val="none" w:sz="0" w:space="0" w:color="auto"/>
        <w:bottom w:val="none" w:sz="0" w:space="0" w:color="auto"/>
        <w:right w:val="none" w:sz="0" w:space="0" w:color="auto"/>
      </w:divBdr>
    </w:div>
    <w:div w:id="2097818270">
      <w:bodyDiv w:val="1"/>
      <w:marLeft w:val="0"/>
      <w:marRight w:val="0"/>
      <w:marTop w:val="0"/>
      <w:marBottom w:val="0"/>
      <w:divBdr>
        <w:top w:val="none" w:sz="0" w:space="0" w:color="auto"/>
        <w:left w:val="none" w:sz="0" w:space="0" w:color="auto"/>
        <w:bottom w:val="none" w:sz="0" w:space="0" w:color="auto"/>
        <w:right w:val="none" w:sz="0" w:space="0" w:color="auto"/>
      </w:divBdr>
    </w:div>
    <w:div w:id="213624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84534-D540-44B6-BA58-DF59F312A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A0ED6-1094-4C95-AAE3-A80536AC32C5}">
  <ds:schemaRefs>
    <ds:schemaRef ds:uri="http://schemas.openxmlformats.org/officeDocument/2006/bibliography"/>
  </ds:schemaRefs>
</ds:datastoreItem>
</file>

<file path=customXml/itemProps3.xml><?xml version="1.0" encoding="utf-8"?>
<ds:datastoreItem xmlns:ds="http://schemas.openxmlformats.org/officeDocument/2006/customXml" ds:itemID="{5603FCCE-75EB-4A72-90C2-4E69983BDBF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71341E4C-5C88-40FA-A61F-9E6C6BA1D4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817</Words>
  <Characters>4657</Characters>
  <Application>Microsoft Office Word</Application>
  <DocSecurity>0</DocSecurity>
  <Lines>38</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Economic Commission for Europe</vt:lpstr>
      <vt:lpstr>Economic Commission for Europe</vt:lpstr>
      <vt:lpstr>Economic Commission for Europe</vt:lpstr>
    </vt:vector>
  </TitlesOfParts>
  <Company>UNECE</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Laurence Berthet</cp:lastModifiedBy>
  <cp:revision>23</cp:revision>
  <cp:lastPrinted>2022-09-02T12:04:00Z</cp:lastPrinted>
  <dcterms:created xsi:type="dcterms:W3CDTF">2022-09-08T18:02:00Z</dcterms:created>
  <dcterms:modified xsi:type="dcterms:W3CDTF">2022-09-09T07:23:00Z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11779400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