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Economic Commission for Europe</w:t>
      </w:r>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6E9B19D4"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2D095D">
        <w:rPr>
          <w:b/>
        </w:rPr>
        <w:t>2</w:t>
      </w:r>
      <w:r w:rsidR="00E62258">
        <w:rPr>
          <w:b/>
        </w:rPr>
        <w:t xml:space="preserve"> </w:t>
      </w:r>
      <w:r w:rsidR="00896405">
        <w:rPr>
          <w:b/>
        </w:rPr>
        <w:t>September</w:t>
      </w:r>
      <w:r w:rsidR="00C30AAC">
        <w:rPr>
          <w:b/>
        </w:rPr>
        <w:t xml:space="preserve"> </w:t>
      </w:r>
      <w:r w:rsidR="00FA3269">
        <w:rPr>
          <w:b/>
        </w:rPr>
        <w:t>20</w:t>
      </w:r>
      <w:r w:rsidR="0073337B">
        <w:rPr>
          <w:b/>
        </w:rPr>
        <w:t>2</w:t>
      </w:r>
      <w:r w:rsidR="000E1168">
        <w:rPr>
          <w:b/>
        </w:rPr>
        <w:t>2</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0776CD0" w14:textId="77777777" w:rsidR="00DD6085" w:rsidRPr="000C1287" w:rsidRDefault="00097793" w:rsidP="00DD6085">
      <w:pPr>
        <w:snapToGrid w:val="0"/>
        <w:spacing w:after="0"/>
        <w:rPr>
          <w:lang w:eastAsia="fr-FR"/>
        </w:rPr>
      </w:pPr>
      <w:r w:rsidRPr="00560572">
        <w:t>Geneva</w:t>
      </w:r>
      <w:r w:rsidR="00215A1B" w:rsidRPr="00560572">
        <w:t xml:space="preserve">, </w:t>
      </w:r>
      <w:r w:rsidR="008C00E4">
        <w:t>1</w:t>
      </w:r>
      <w:r w:rsidR="00F17577">
        <w:t>2</w:t>
      </w:r>
      <w:r w:rsidRPr="00560572">
        <w:t xml:space="preserve"> </w:t>
      </w:r>
      <w:r w:rsidR="0073337B">
        <w:t xml:space="preserve">– </w:t>
      </w:r>
      <w:r w:rsidR="008C00E4">
        <w:t>1</w:t>
      </w:r>
      <w:r w:rsidR="00F17577">
        <w:t>6</w:t>
      </w:r>
      <w:r w:rsidR="0073337B">
        <w:t xml:space="preserve"> </w:t>
      </w:r>
      <w:r w:rsidR="00F17577">
        <w:t>September</w:t>
      </w:r>
      <w:r w:rsidR="0073337B">
        <w:t xml:space="preserve"> </w:t>
      </w:r>
      <w:r w:rsidR="00FA3269">
        <w:t>20</w:t>
      </w:r>
      <w:r w:rsidR="0073337B">
        <w:t>2</w:t>
      </w:r>
      <w:r w:rsidR="008C00E4">
        <w:t>2</w:t>
      </w:r>
      <w:r w:rsidR="00215A1B" w:rsidRPr="00560572">
        <w:br/>
      </w:r>
      <w:r w:rsidR="00DD6085" w:rsidRPr="000C1287">
        <w:t xml:space="preserve">Item </w:t>
      </w:r>
      <w:r w:rsidR="00DD6085">
        <w:t>11</w:t>
      </w:r>
      <w:r w:rsidR="00DD6085" w:rsidRPr="000C1287">
        <w:t xml:space="preserve"> of the provisional agenda</w:t>
      </w:r>
    </w:p>
    <w:p w14:paraId="109646A6" w14:textId="77777777" w:rsidR="00DD6085" w:rsidRPr="000C1287" w:rsidRDefault="00DD6085" w:rsidP="00DD6085">
      <w:pPr>
        <w:rPr>
          <w:b/>
        </w:rPr>
      </w:pPr>
      <w:r w:rsidRPr="009844A4">
        <w:rPr>
          <w:b/>
        </w:rPr>
        <w:t>Any other business</w:t>
      </w:r>
    </w:p>
    <w:p w14:paraId="5029006F" w14:textId="77777777" w:rsidR="00E72D79" w:rsidRPr="007C1123" w:rsidRDefault="00DD6085" w:rsidP="00E72D79">
      <w:pPr>
        <w:pStyle w:val="HChG"/>
      </w:pPr>
      <w:r>
        <w:tab/>
      </w:r>
      <w:r>
        <w:tab/>
      </w:r>
      <w:r w:rsidR="00E72D79">
        <w:t xml:space="preserve">Circular economy and </w:t>
      </w:r>
      <w:r w:rsidR="00E72D79" w:rsidRPr="003F5190">
        <w:t xml:space="preserve">sustainable </w:t>
      </w:r>
      <w:r w:rsidR="00E72D79">
        <w:t>development goals</w:t>
      </w:r>
    </w:p>
    <w:p w14:paraId="500279B1" w14:textId="77777777" w:rsidR="00E72D79" w:rsidRPr="000E7876" w:rsidRDefault="00E72D79" w:rsidP="00E72D79">
      <w:pPr>
        <w:pStyle w:val="H1G"/>
      </w:pPr>
      <w:r>
        <w:tab/>
      </w:r>
      <w:r>
        <w:tab/>
        <w:t>Note by the secretariat</w:t>
      </w:r>
    </w:p>
    <w:p w14:paraId="0A034D33" w14:textId="77777777" w:rsidR="00E72D79" w:rsidRPr="007D654E" w:rsidRDefault="00E72D79" w:rsidP="00E72D79">
      <w:pPr>
        <w:pStyle w:val="H1G"/>
        <w:rPr>
          <w:sz w:val="20"/>
        </w:rPr>
      </w:pPr>
      <w:r w:rsidRPr="007D654E">
        <w:rPr>
          <w:sz w:val="20"/>
        </w:rPr>
        <w:tab/>
        <w:t>A.</w:t>
      </w:r>
      <w:r w:rsidRPr="007D654E">
        <w:rPr>
          <w:sz w:val="20"/>
        </w:rPr>
        <w:tab/>
        <w:t>UNECE</w:t>
      </w:r>
    </w:p>
    <w:p w14:paraId="3BB56576" w14:textId="77777777" w:rsidR="00E72D79" w:rsidRDefault="00E72D79" w:rsidP="00E72D79">
      <w:pPr>
        <w:spacing w:after="120"/>
        <w:ind w:left="1134" w:right="1134"/>
        <w:jc w:val="both"/>
      </w:pPr>
      <w:r>
        <w:t>1.</w:t>
      </w:r>
      <w:r>
        <w:tab/>
        <w:t xml:space="preserve">The </w:t>
      </w:r>
      <w:r w:rsidRPr="004C1317">
        <w:t xml:space="preserve">ECE Executive Committee (EXCOM), at its session on 21 July 2021, </w:t>
      </w:r>
      <w:r>
        <w:t>requested</w:t>
      </w:r>
      <w:r w:rsidRPr="004C1317">
        <w:t xml:space="preserve"> its subsidiary bodies </w:t>
      </w:r>
      <w:r>
        <w:t xml:space="preserve">to provide inputs </w:t>
      </w:r>
      <w:r w:rsidRPr="004C1317">
        <w:t xml:space="preserve">on the development of effective and measurable solutions </w:t>
      </w:r>
      <w:r>
        <w:t>to</w:t>
      </w:r>
      <w:r w:rsidRPr="004C1317">
        <w:t xml:space="preserve"> promote a circular economy and the sustainable use of natural resources </w:t>
      </w:r>
      <w:r>
        <w:t>to</w:t>
      </w:r>
      <w:r w:rsidRPr="004C1317">
        <w:t xml:space="preserve"> facilitate the achievement of the goals of the 2030 Agenda for Sustainable Development (see </w:t>
      </w:r>
      <w:hyperlink r:id="rId11" w:history="1">
        <w:r w:rsidRPr="0070442B">
          <w:rPr>
            <w:rStyle w:val="Hyperlink"/>
            <w:color w:val="00B0F0"/>
          </w:rPr>
          <w:t>E/2021/37–E/ECE/1494</w:t>
        </w:r>
      </w:hyperlink>
      <w:r>
        <w:rPr>
          <w:rStyle w:val="Hyperlink"/>
          <w:color w:val="00B0F0"/>
        </w:rPr>
        <w:t>)</w:t>
      </w:r>
      <w:r w:rsidRPr="004C1317">
        <w:t xml:space="preserve"> and particularly decisions A (69) and B (69) in Chapter IV).</w:t>
      </w:r>
    </w:p>
    <w:p w14:paraId="390221BB" w14:textId="77777777" w:rsidR="00E72D79" w:rsidRDefault="00E72D79" w:rsidP="00E72D79">
      <w:pPr>
        <w:pStyle w:val="SingleTxtG"/>
      </w:pPr>
      <w:r>
        <w:t>2.</w:t>
      </w:r>
      <w:r>
        <w:tab/>
        <w:t xml:space="preserve">At its last session (see </w:t>
      </w:r>
      <w:hyperlink r:id="rId12" w:history="1">
        <w:r w:rsidRPr="0070442B">
          <w:rPr>
            <w:rStyle w:val="Hyperlink"/>
            <w:color w:val="00B0F0"/>
          </w:rPr>
          <w:t>ECE/TRANS/316</w:t>
        </w:r>
      </w:hyperlink>
      <w:r>
        <w:t xml:space="preserve">), the Inland Transport Committee welcomed these Commission decisions on strengthening the work of sectoral committees in the area of circular economy and invited its Working Parties to enhance and expand their work on the specific aspects of circular economy in transport, as appropriate. </w:t>
      </w:r>
    </w:p>
    <w:p w14:paraId="21D4CFD0" w14:textId="77777777" w:rsidR="00E72D79" w:rsidRPr="006133AB" w:rsidRDefault="00E72D79" w:rsidP="00E72D79">
      <w:pPr>
        <w:pStyle w:val="SingleTxtG"/>
        <w:rPr>
          <w:rFonts w:eastAsia="SimSun"/>
          <w:lang w:eastAsia="zh-CN"/>
        </w:rPr>
      </w:pPr>
      <w:r>
        <w:t>3.</w:t>
      </w:r>
      <w:r>
        <w:tab/>
        <w:t xml:space="preserve">The Inland Transport Committee also requested Working Parties to continue the implementation of the Strategy particularly for next steps included in document </w:t>
      </w:r>
      <w:hyperlink r:id="rId13" w:history="1">
        <w:r w:rsidRPr="0070442B">
          <w:rPr>
            <w:rStyle w:val="Hyperlink"/>
            <w:color w:val="00B0F0"/>
          </w:rPr>
          <w:t>ECE/TRANS/2022/3</w:t>
        </w:r>
      </w:hyperlink>
      <w:r>
        <w:t xml:space="preserve">. </w:t>
      </w:r>
      <w:r>
        <w:rPr>
          <w:rFonts w:eastAsia="SimSun"/>
          <w:lang w:eastAsia="zh-CN"/>
        </w:rPr>
        <w:t>E</w:t>
      </w:r>
      <w:r w:rsidRPr="00AD42A2">
        <w:rPr>
          <w:rFonts w:eastAsia="SimSun"/>
          <w:lang w:eastAsia="zh-CN"/>
        </w:rPr>
        <w:t>specially</w:t>
      </w:r>
      <w:r w:rsidRPr="006133AB">
        <w:rPr>
          <w:rFonts w:eastAsia="SimSun"/>
          <w:lang w:eastAsia="zh-CN"/>
        </w:rPr>
        <w:t>, the secretariat should report annually to the Committee on aspects of the work of the Joint Meeting</w:t>
      </w:r>
      <w:r>
        <w:rPr>
          <w:rFonts w:eastAsia="SimSun"/>
          <w:lang w:eastAsia="zh-CN"/>
        </w:rPr>
        <w:t xml:space="preserve"> (WP.15/AC.1)</w:t>
      </w:r>
      <w:r w:rsidRPr="006133AB">
        <w:rPr>
          <w:rFonts w:eastAsia="SimSun"/>
          <w:lang w:eastAsia="zh-CN"/>
        </w:rPr>
        <w:t xml:space="preserve"> and the Working Party</w:t>
      </w:r>
      <w:r>
        <w:rPr>
          <w:rFonts w:eastAsia="SimSun"/>
          <w:lang w:eastAsia="zh-CN"/>
        </w:rPr>
        <w:t xml:space="preserve"> </w:t>
      </w:r>
      <w:r w:rsidRPr="00E85180">
        <w:t>on the Transport of Dangerous Goods</w:t>
      </w:r>
      <w:r>
        <w:rPr>
          <w:rFonts w:eastAsia="SimSun"/>
          <w:lang w:eastAsia="zh-CN"/>
        </w:rPr>
        <w:t xml:space="preserve"> (WP.15)</w:t>
      </w:r>
      <w:r w:rsidRPr="006133AB">
        <w:rPr>
          <w:rFonts w:eastAsia="SimSun"/>
          <w:lang w:eastAsia="zh-CN"/>
        </w:rPr>
        <w:t xml:space="preserve"> related to the circular economy and green transport. </w:t>
      </w:r>
    </w:p>
    <w:p w14:paraId="7C351FF9" w14:textId="77777777" w:rsidR="00E72D79" w:rsidRDefault="00E72D79" w:rsidP="00E72D79">
      <w:pPr>
        <w:spacing w:after="120"/>
        <w:ind w:left="1134" w:right="1134"/>
        <w:jc w:val="both"/>
      </w:pPr>
      <w:r>
        <w:t>4.</w:t>
      </w:r>
      <w:r>
        <w:tab/>
        <w:t>This was discussed during the last session of WP.15</w:t>
      </w:r>
      <w:r w:rsidRPr="00E85180">
        <w:t xml:space="preserve"> </w:t>
      </w:r>
      <w:r>
        <w:t xml:space="preserve">(see report </w:t>
      </w:r>
      <w:hyperlink r:id="rId14" w:history="1">
        <w:r w:rsidRPr="0070442B">
          <w:rPr>
            <w:rStyle w:val="Hyperlink"/>
            <w:color w:val="00B0F0"/>
          </w:rPr>
          <w:t>ECE/TRANS/WP.15/258</w:t>
        </w:r>
      </w:hyperlink>
      <w:r>
        <w:t>) and the Working Party highlighted that the provisions related to the circular economy included in the ADR, such as those relating to packaging, used batteries or the transport of waste, result from harmonization with the Model Regulations and the work of the Joint Meeting.</w:t>
      </w:r>
    </w:p>
    <w:p w14:paraId="1D188341" w14:textId="77777777" w:rsidR="00E72D79" w:rsidRDefault="00E72D79" w:rsidP="00E72D79">
      <w:pPr>
        <w:spacing w:after="120"/>
        <w:ind w:left="1134" w:right="1134"/>
        <w:jc w:val="both"/>
      </w:pPr>
      <w:r>
        <w:t>5.</w:t>
      </w:r>
      <w:r>
        <w:tab/>
        <w:t>The Working Party WP.15 agreed this annual report should be presented from a multimodal perspective and that discussions should also take place in the Joint Meeting.</w:t>
      </w:r>
    </w:p>
    <w:p w14:paraId="50700863" w14:textId="77777777" w:rsidR="00E72D79" w:rsidRDefault="00E72D79" w:rsidP="00E72D79">
      <w:pPr>
        <w:spacing w:after="120"/>
        <w:ind w:left="1134" w:right="1134"/>
        <w:jc w:val="both"/>
      </w:pPr>
      <w:r>
        <w:t>6.</w:t>
      </w:r>
      <w:r>
        <w:tab/>
        <w:t>The secretariat and the bureau of WP.15 agreed to reserve some time during the next session (</w:t>
      </w:r>
      <w:r w:rsidRPr="002A3EBE">
        <w:t>8-11 November 2022</w:t>
      </w:r>
      <w:r>
        <w:t xml:space="preserve">) to hold a panel discussion on circular economy from the multimodal transport of dangerous goods’ point of view (see annotated agenda </w:t>
      </w:r>
      <w:hyperlink r:id="rId15" w:history="1">
        <w:r w:rsidRPr="0070442B">
          <w:rPr>
            <w:rStyle w:val="Hyperlink"/>
            <w:color w:val="00B0F0"/>
          </w:rPr>
          <w:t>ECE/TRANS/WP.15/259/Add.1</w:t>
        </w:r>
      </w:hyperlink>
      <w:r>
        <w:t>).</w:t>
      </w:r>
    </w:p>
    <w:p w14:paraId="74FEAB82" w14:textId="77777777" w:rsidR="00E72D79" w:rsidRDefault="00E72D79" w:rsidP="00E72D79">
      <w:pPr>
        <w:spacing w:after="120"/>
        <w:ind w:left="1134" w:right="1134"/>
        <w:jc w:val="both"/>
      </w:pPr>
      <w:r>
        <w:t>7.</w:t>
      </w:r>
      <w:r>
        <w:tab/>
        <w:t xml:space="preserve">Delegations and members of the bureau of the Joint Meeting that wish to do so are invited to present information on the subject at the next session of WP.15 and to inform the secretariat accordingly before 10 October 2022. </w:t>
      </w:r>
    </w:p>
    <w:p w14:paraId="6906897E" w14:textId="77777777" w:rsidR="00E72D79" w:rsidRDefault="00E72D79" w:rsidP="00E72D79">
      <w:pPr>
        <w:spacing w:after="120"/>
        <w:ind w:left="1134" w:right="1134"/>
        <w:jc w:val="both"/>
      </w:pPr>
      <w:r>
        <w:t>8.</w:t>
      </w:r>
      <w:r>
        <w:tab/>
        <w:t>To gather useful information for both ITC and EXCOM, the presentations could focus on:</w:t>
      </w:r>
    </w:p>
    <w:p w14:paraId="3AD59CF0" w14:textId="77777777" w:rsidR="00E72D79" w:rsidRPr="00A10DDB" w:rsidRDefault="00E72D79" w:rsidP="00E72D79">
      <w:pPr>
        <w:pStyle w:val="Bullet1G"/>
        <w:suppressAutoHyphens/>
        <w:spacing w:line="240" w:lineRule="atLeast"/>
      </w:pPr>
      <w:r w:rsidRPr="00A10DDB">
        <w:t>How to promote further circular economy approaches and the sustainable use of natural resources by mainstreaming circularity and the sustainable use of natural resources in its work programme (</w:t>
      </w:r>
      <w:r>
        <w:t xml:space="preserve">EXCOM </w:t>
      </w:r>
      <w:r w:rsidRPr="00A10DDB">
        <w:t>decision A (69)</w:t>
      </w:r>
      <w:proofErr w:type="gramStart"/>
      <w:r w:rsidRPr="00A10DDB">
        <w:t>);</w:t>
      </w:r>
      <w:proofErr w:type="gramEnd"/>
    </w:p>
    <w:p w14:paraId="2FF267D3" w14:textId="77777777" w:rsidR="00E72D79" w:rsidRPr="00A10DDB" w:rsidRDefault="00E72D79" w:rsidP="00E72D79">
      <w:pPr>
        <w:pStyle w:val="Bullet1G"/>
        <w:suppressAutoHyphens/>
        <w:spacing w:line="240" w:lineRule="atLeast"/>
      </w:pPr>
      <w:r w:rsidRPr="00A10DDB">
        <w:t xml:space="preserve">How to enhance the impact of </w:t>
      </w:r>
      <w:r>
        <w:t>RID/</w:t>
      </w:r>
      <w:r w:rsidRPr="00A10DDB">
        <w:t>ADR</w:t>
      </w:r>
      <w:r>
        <w:t>/ADN</w:t>
      </w:r>
      <w:r w:rsidRPr="00A10DDB">
        <w:t>, to foster circular and more resource-efficient approaches (</w:t>
      </w:r>
      <w:r>
        <w:t xml:space="preserve">EXCOM </w:t>
      </w:r>
      <w:r w:rsidRPr="00A10DDB">
        <w:t>decision B (69)).</w:t>
      </w:r>
    </w:p>
    <w:p w14:paraId="0185CBD1" w14:textId="77777777" w:rsidR="00E72D79" w:rsidRDefault="00E72D79" w:rsidP="00E72D79">
      <w:pPr>
        <w:spacing w:after="120"/>
        <w:ind w:left="1134" w:right="1134"/>
        <w:jc w:val="both"/>
      </w:pPr>
      <w:r>
        <w:lastRenderedPageBreak/>
        <w:t>9.</w:t>
      </w:r>
      <w:r>
        <w:tab/>
      </w:r>
      <w:r w:rsidRPr="004C1317">
        <w:t>As outlined in</w:t>
      </w:r>
      <w:r>
        <w:t xml:space="preserve"> EXCOM</w:t>
      </w:r>
      <w:r w:rsidRPr="004C1317">
        <w:t xml:space="preserve"> decision B (69) this may include options for replicating and scaling up existing approaches that facilitate broad and effective use of </w:t>
      </w:r>
      <w:r>
        <w:t>RID/</w:t>
      </w:r>
      <w:r w:rsidRPr="004C1317">
        <w:t>ADR</w:t>
      </w:r>
      <w:r>
        <w:t>/ADN</w:t>
      </w:r>
      <w:r w:rsidRPr="004C1317">
        <w:t xml:space="preserve"> and other appropriate instruments, including through capacity-building and knowledge-sharing activities. This may also include developing proposals in the programme of work, including possible collaboration across subprogrammes, for impactful and measurable solutions that promote a circular economy and the sustainable use of natural resources and that can facilitate attaining the objectives of the 2030 Agenda for Sustainable Development.</w:t>
      </w:r>
    </w:p>
    <w:p w14:paraId="04E8D351" w14:textId="77777777" w:rsidR="00E72D79" w:rsidRDefault="00E72D79" w:rsidP="00E72D79">
      <w:pPr>
        <w:spacing w:after="120"/>
        <w:ind w:left="1134" w:right="1134"/>
        <w:jc w:val="both"/>
      </w:pPr>
      <w:r>
        <w:t>10.</w:t>
      </w:r>
      <w:r>
        <w:tab/>
        <w:t>The subjects presented could include current situation, steps forward and challenges for: collect and inland transport of waste batteries for recycling; transport of dangerous waste for recycling; modal specific issues such as use of electrified vehicles for dangerous goods.</w:t>
      </w:r>
    </w:p>
    <w:p w14:paraId="72FF7B5A" w14:textId="77777777" w:rsidR="00E72D79" w:rsidRPr="007D654E" w:rsidRDefault="00E72D79" w:rsidP="00E72D79">
      <w:pPr>
        <w:pStyle w:val="H1G"/>
        <w:rPr>
          <w:sz w:val="20"/>
        </w:rPr>
      </w:pPr>
      <w:r w:rsidRPr="007D654E">
        <w:rPr>
          <w:sz w:val="20"/>
        </w:rPr>
        <w:tab/>
      </w:r>
      <w:r>
        <w:rPr>
          <w:sz w:val="20"/>
        </w:rPr>
        <w:t>B</w:t>
      </w:r>
      <w:r w:rsidRPr="007D654E">
        <w:rPr>
          <w:sz w:val="20"/>
        </w:rPr>
        <w:t>.</w:t>
      </w:r>
      <w:r w:rsidRPr="007D654E">
        <w:rPr>
          <w:sz w:val="20"/>
        </w:rPr>
        <w:tab/>
        <w:t>EC</w:t>
      </w:r>
      <w:r>
        <w:rPr>
          <w:sz w:val="20"/>
        </w:rPr>
        <w:t>OSOC</w:t>
      </w:r>
    </w:p>
    <w:p w14:paraId="4E2C287C" w14:textId="77777777" w:rsidR="00E72D79" w:rsidRDefault="00E72D79" w:rsidP="00E72D79">
      <w:pPr>
        <w:spacing w:after="120"/>
        <w:ind w:left="1134" w:right="1134"/>
        <w:jc w:val="both"/>
        <w:rPr>
          <w:rFonts w:eastAsiaTheme="minorEastAsia"/>
          <w:lang w:eastAsia="zh-CN"/>
        </w:rPr>
      </w:pPr>
      <w:r>
        <w:t>11.</w:t>
      </w:r>
      <w:r>
        <w:tab/>
        <w:t xml:space="preserve">A similar approach was done in 2021 at the </w:t>
      </w:r>
      <w:r w:rsidRPr="001358B7">
        <w:rPr>
          <w:rFonts w:eastAsia="MS Mincho"/>
        </w:rPr>
        <w:t xml:space="preserve">ECOSOC </w:t>
      </w:r>
      <w:r>
        <w:rPr>
          <w:rFonts w:eastAsia="MS Mincho"/>
        </w:rPr>
        <w:t xml:space="preserve">level with a review </w:t>
      </w:r>
      <w:r w:rsidRPr="007D5756">
        <w:rPr>
          <w:rFonts w:eastAsiaTheme="minorEastAsia"/>
          <w:lang w:eastAsia="zh-CN"/>
        </w:rPr>
        <w:t xml:space="preserve">of the implementation of General Assembly </w:t>
      </w:r>
      <w:hyperlink r:id="rId16" w:history="1">
        <w:r w:rsidRPr="006F0947">
          <w:rPr>
            <w:rStyle w:val="Hyperlink"/>
            <w:rFonts w:eastAsiaTheme="minorEastAsia"/>
            <w:b/>
            <w:bCs/>
            <w:color w:val="00B0F0"/>
            <w:lang w:eastAsia="zh-CN"/>
          </w:rPr>
          <w:t>resolution 72/305</w:t>
        </w:r>
      </w:hyperlink>
      <w:r w:rsidRPr="007D5756">
        <w:rPr>
          <w:rFonts w:eastAsiaTheme="minorEastAsia"/>
          <w:lang w:eastAsia="zh-CN"/>
        </w:rPr>
        <w:t xml:space="preserve"> on the strengthening of the Economic and Social Council</w:t>
      </w:r>
      <w:r>
        <w:rPr>
          <w:rFonts w:eastAsia="MS Mincho"/>
        </w:rPr>
        <w:t xml:space="preserve"> of its </w:t>
      </w:r>
      <w:r w:rsidRPr="001358B7">
        <w:rPr>
          <w:rFonts w:eastAsia="MS Mincho"/>
        </w:rPr>
        <w:t>subsidiary</w:t>
      </w:r>
      <w:r>
        <w:rPr>
          <w:rFonts w:eastAsia="MS Mincho"/>
        </w:rPr>
        <w:t>,</w:t>
      </w:r>
      <w:r w:rsidRPr="001358B7">
        <w:rPr>
          <w:rFonts w:eastAsia="MS Mincho"/>
        </w:rPr>
        <w:t xml:space="preserve"> </w:t>
      </w:r>
      <w:hyperlink r:id="rId17" w:history="1">
        <w:r w:rsidRPr="00AA795B">
          <w:rPr>
            <w:rStyle w:val="Hyperlink"/>
            <w:rFonts w:eastAsiaTheme="minorEastAsia"/>
            <w:b/>
            <w:bCs/>
            <w:color w:val="00B0F0"/>
            <w:lang w:eastAsia="zh-CN"/>
          </w:rPr>
          <w:t>resolution</w:t>
        </w:r>
        <w:r w:rsidRPr="00AA795B">
          <w:rPr>
            <w:rStyle w:val="Hyperlink"/>
            <w:rFonts w:eastAsiaTheme="minorEastAsia"/>
            <w:color w:val="00B0F0"/>
            <w:lang w:eastAsia="zh-CN"/>
          </w:rPr>
          <w:t xml:space="preserve"> </w:t>
        </w:r>
        <w:r w:rsidRPr="00AA795B">
          <w:rPr>
            <w:rStyle w:val="Hyperlink"/>
            <w:rFonts w:eastAsiaTheme="minorEastAsia"/>
            <w:b/>
            <w:bCs/>
            <w:color w:val="00B0F0"/>
            <w:lang w:eastAsia="zh-CN"/>
          </w:rPr>
          <w:t>75/290 B</w:t>
        </w:r>
      </w:hyperlink>
      <w:r w:rsidRPr="007D5756">
        <w:rPr>
          <w:rFonts w:eastAsiaTheme="minorEastAsia"/>
          <w:lang w:eastAsia="zh-CN"/>
        </w:rPr>
        <w:t xml:space="preserve"> on the </w:t>
      </w:r>
      <w:r>
        <w:rPr>
          <w:rFonts w:eastAsiaTheme="minorEastAsia"/>
          <w:lang w:eastAsia="zh-CN"/>
        </w:rPr>
        <w:t>r</w:t>
      </w:r>
      <w:r w:rsidRPr="007D5756">
        <w:rPr>
          <w:rFonts w:eastAsiaTheme="minorEastAsia"/>
          <w:lang w:eastAsia="zh-CN"/>
        </w:rPr>
        <w:t xml:space="preserve">eview of the implementation of GA resolutions 67/290 on the format and organizational aspects of the High-level political forum on sustainable development (HLPF) and </w:t>
      </w:r>
      <w:hyperlink r:id="rId18" w:history="1">
        <w:r>
          <w:rPr>
            <w:rStyle w:val="Hyperlink"/>
            <w:rFonts w:eastAsiaTheme="minorEastAsia"/>
            <w:b/>
            <w:bCs/>
            <w:color w:val="00B0F0"/>
            <w:lang w:eastAsia="zh-CN"/>
          </w:rPr>
          <w:t>resolution 7</w:t>
        </w:r>
        <w:r w:rsidRPr="00F05ADB">
          <w:rPr>
            <w:rStyle w:val="Hyperlink"/>
            <w:rFonts w:eastAsiaTheme="minorEastAsia"/>
            <w:b/>
            <w:bCs/>
            <w:color w:val="00B0F0"/>
            <w:lang w:eastAsia="zh-CN"/>
          </w:rPr>
          <w:t>0/299</w:t>
        </w:r>
      </w:hyperlink>
      <w:r w:rsidRPr="007D5756">
        <w:rPr>
          <w:rFonts w:eastAsiaTheme="minorEastAsia"/>
          <w:lang w:eastAsia="zh-CN"/>
        </w:rPr>
        <w:t xml:space="preserve"> on the follow-up and review of the </w:t>
      </w:r>
      <w:r>
        <w:rPr>
          <w:rFonts w:eastAsiaTheme="minorEastAsia"/>
          <w:lang w:eastAsia="zh-CN"/>
        </w:rPr>
        <w:t xml:space="preserve">United Nations </w:t>
      </w:r>
      <w:r w:rsidRPr="007D5756">
        <w:rPr>
          <w:rFonts w:eastAsiaTheme="minorEastAsia"/>
          <w:lang w:eastAsia="zh-CN"/>
        </w:rPr>
        <w:t>2030 Agenda for Sustainable Development at the global level.</w:t>
      </w:r>
    </w:p>
    <w:p w14:paraId="0F19F025" w14:textId="77777777" w:rsidR="00E72D79" w:rsidRDefault="00E72D79" w:rsidP="00E72D79">
      <w:pPr>
        <w:pStyle w:val="SingleTxtG"/>
      </w:pPr>
      <w:r>
        <w:rPr>
          <w:rFonts w:eastAsiaTheme="minorEastAsia"/>
        </w:rPr>
        <w:t>12.</w:t>
      </w:r>
      <w:r>
        <w:rPr>
          <w:rFonts w:eastAsiaTheme="minorEastAsia"/>
        </w:rPr>
        <w:tab/>
      </w:r>
      <w:r>
        <w:t>By nature, the work of the ECOSOC Committee</w:t>
      </w:r>
      <w:r>
        <w:rPr>
          <w:rFonts w:eastAsiaTheme="minorEastAsia"/>
        </w:rPr>
        <w:t xml:space="preserve"> </w:t>
      </w:r>
      <w:r w:rsidRPr="000166DF">
        <w:rPr>
          <w:rFonts w:eastAsiaTheme="minorEastAsia"/>
        </w:rPr>
        <w:t>of Experts on the Transport of Dangerous Goods</w:t>
      </w:r>
      <w:r>
        <w:rPr>
          <w:rFonts w:eastAsiaTheme="minorEastAsia"/>
        </w:rPr>
        <w:t xml:space="preserve"> (TDG) and on </w:t>
      </w:r>
      <w:r w:rsidRPr="000166DF">
        <w:rPr>
          <w:rFonts w:eastAsiaTheme="minorEastAsia"/>
        </w:rPr>
        <w:t>the Globally Harmonized System of Classification</w:t>
      </w:r>
      <w:r>
        <w:rPr>
          <w:rFonts w:eastAsiaTheme="minorEastAsia"/>
        </w:rPr>
        <w:t xml:space="preserve"> </w:t>
      </w:r>
      <w:r w:rsidRPr="000166DF">
        <w:rPr>
          <w:rFonts w:eastAsiaTheme="minorEastAsia"/>
        </w:rPr>
        <w:t>and Labelling of Chemicals</w:t>
      </w:r>
      <w:r>
        <w:rPr>
          <w:rFonts w:eastAsiaTheme="minorEastAsia"/>
        </w:rPr>
        <w:t xml:space="preserve"> (GHS) </w:t>
      </w:r>
      <w:r>
        <w:t>and its two sub-committees builds on best practices, science, data, evidence, technical expert analysis and on the interlinkages across the Sustainable Development Goals (</w:t>
      </w:r>
      <w:hyperlink r:id="rId19" w:history="1">
        <w:r w:rsidRPr="00591D0B">
          <w:rPr>
            <w:rStyle w:val="Hyperlink"/>
            <w:color w:val="00B0F0"/>
          </w:rPr>
          <w:t>SDGs</w:t>
        </w:r>
      </w:hyperlink>
      <w:r>
        <w:t xml:space="preserve">). It supports the implementation of the 2030 agenda and is aligned with SDGs and targets, in particular goals </w:t>
      </w:r>
      <w:r w:rsidRPr="00C11F2B">
        <w:rPr>
          <w:b/>
          <w:bCs/>
        </w:rPr>
        <w:t>3</w:t>
      </w:r>
      <w:r>
        <w:t xml:space="preserve"> (Ensure healthy lives and promote well-being for all at all ages), </w:t>
      </w:r>
      <w:r w:rsidRPr="00C11F2B">
        <w:rPr>
          <w:b/>
          <w:bCs/>
        </w:rPr>
        <w:t>6</w:t>
      </w:r>
      <w:r>
        <w:t xml:space="preserve"> (</w:t>
      </w:r>
      <w:r w:rsidRPr="00601912">
        <w:t>Ensure access to water and sanitation for all</w:t>
      </w:r>
      <w:r>
        <w:t xml:space="preserve">), </w:t>
      </w:r>
      <w:r w:rsidRPr="00C11F2B">
        <w:rPr>
          <w:b/>
          <w:bCs/>
        </w:rPr>
        <w:t>8</w:t>
      </w:r>
      <w:r w:rsidRPr="00BA0283">
        <w:t xml:space="preserve"> (Promote sustained, inclusive and sustainable economic growth, full and productive employment and decent work for all), </w:t>
      </w:r>
      <w:r w:rsidRPr="00C11F2B">
        <w:rPr>
          <w:b/>
          <w:bCs/>
        </w:rPr>
        <w:t>12</w:t>
      </w:r>
      <w:r w:rsidRPr="00BA0283">
        <w:t xml:space="preserve"> (Ensure sustainable consumption and production patterns</w:t>
      </w:r>
      <w:r>
        <w:t xml:space="preserve">), </w:t>
      </w:r>
      <w:r w:rsidRPr="00C11F2B">
        <w:rPr>
          <w:b/>
          <w:bCs/>
        </w:rPr>
        <w:t>13</w:t>
      </w:r>
      <w:r>
        <w:t xml:space="preserve"> (</w:t>
      </w:r>
      <w:r w:rsidRPr="00586A8C">
        <w:t>Take urgent action to combat climate change and its impacts</w:t>
      </w:r>
      <w:r>
        <w:t xml:space="preserve">) and </w:t>
      </w:r>
      <w:r w:rsidRPr="00C11F2B">
        <w:rPr>
          <w:b/>
          <w:bCs/>
        </w:rPr>
        <w:t>14</w:t>
      </w:r>
      <w:r>
        <w:t xml:space="preserve"> (</w:t>
      </w:r>
      <w:r w:rsidRPr="00A94649">
        <w:t>Conserve and sustainably use the oceans, seas and marine resources for sustainable development</w:t>
      </w:r>
      <w:r>
        <w:t>).</w:t>
      </w:r>
    </w:p>
    <w:p w14:paraId="711E7FC6" w14:textId="77777777" w:rsidR="00E72D79" w:rsidRDefault="00E72D79" w:rsidP="00E72D79">
      <w:pPr>
        <w:pStyle w:val="SingleTxtG"/>
      </w:pPr>
      <w:r>
        <w:t>13.</w:t>
      </w:r>
      <w:r>
        <w:tab/>
      </w:r>
      <w:r>
        <w:rPr>
          <w:rFonts w:eastAsiaTheme="minorEastAsia"/>
        </w:rPr>
        <w:t>During their sessions in December 2021, the TDG and GHS sub-committees already r</w:t>
      </w:r>
      <w:r>
        <w:t xml:space="preserve">eviewed their activities and contributions to the </w:t>
      </w:r>
      <w:r>
        <w:rPr>
          <w:rFonts w:eastAsiaTheme="minorEastAsia"/>
          <w:lang w:eastAsia="zh-CN"/>
        </w:rPr>
        <w:t>SDGs</w:t>
      </w:r>
      <w:r>
        <w:t xml:space="preserve"> as well as related follow-up actions. More detailed information of both sub-committees is available in informal documents </w:t>
      </w:r>
      <w:hyperlink r:id="rId20" w:history="1">
        <w:r w:rsidRPr="0076275A">
          <w:rPr>
            <w:rStyle w:val="Hyperlink"/>
            <w:color w:val="00B0F0"/>
          </w:rPr>
          <w:t>INF.31/Rev.1</w:t>
        </w:r>
      </w:hyperlink>
      <w:r>
        <w:t xml:space="preserve"> (60</w:t>
      </w:r>
      <w:r w:rsidRPr="00D629C2">
        <w:rPr>
          <w:vertAlign w:val="superscript"/>
        </w:rPr>
        <w:t>th</w:t>
      </w:r>
      <w:r>
        <w:t xml:space="preserve"> TDG </w:t>
      </w:r>
      <w:r>
        <w:rPr>
          <w:rFonts w:eastAsiaTheme="minorEastAsia"/>
        </w:rPr>
        <w:t>Sub-</w:t>
      </w:r>
      <w:proofErr w:type="spellStart"/>
      <w:r w:rsidRPr="000166DF">
        <w:rPr>
          <w:rFonts w:eastAsiaTheme="minorEastAsia"/>
        </w:rPr>
        <w:t>Committe</w:t>
      </w:r>
      <w:proofErr w:type="spellEnd"/>
      <w:r>
        <w:t xml:space="preserve">) and </w:t>
      </w:r>
      <w:hyperlink r:id="rId21" w:history="1">
        <w:r w:rsidRPr="004F204F">
          <w:rPr>
            <w:rStyle w:val="Hyperlink"/>
            <w:color w:val="00B0F0"/>
          </w:rPr>
          <w:t>INF.5</w:t>
        </w:r>
      </w:hyperlink>
      <w:r>
        <w:t xml:space="preserve"> (41</w:t>
      </w:r>
      <w:r w:rsidRPr="001220D7">
        <w:rPr>
          <w:vertAlign w:val="superscript"/>
        </w:rPr>
        <w:t>st</w:t>
      </w:r>
      <w:r>
        <w:t xml:space="preserve"> GHS </w:t>
      </w:r>
      <w:r>
        <w:rPr>
          <w:rFonts w:eastAsiaTheme="minorEastAsia"/>
        </w:rPr>
        <w:t>Sub-</w:t>
      </w:r>
      <w:r w:rsidRPr="000166DF">
        <w:rPr>
          <w:rFonts w:eastAsiaTheme="minorEastAsia"/>
        </w:rPr>
        <w:t>Committee</w:t>
      </w:r>
      <w:r>
        <w:t>).</w:t>
      </w:r>
    </w:p>
    <w:p w14:paraId="3A18C1F2" w14:textId="77777777" w:rsidR="00E72D79" w:rsidRDefault="00E72D79" w:rsidP="00E72D79">
      <w:pPr>
        <w:pStyle w:val="SingleTxtG"/>
      </w:pPr>
      <w:r>
        <w:t>14.</w:t>
      </w:r>
      <w:r>
        <w:tab/>
        <w:t xml:space="preserve">At their recent sessions in July 2022, the TDG and GHS Sub-Committees considered the ECOSOC summary recommendations in informal document </w:t>
      </w:r>
      <w:hyperlink r:id="rId22" w:history="1">
        <w:r w:rsidRPr="00D21D89">
          <w:rPr>
            <w:rStyle w:val="Hyperlink"/>
            <w:color w:val="00B0F0"/>
          </w:rPr>
          <w:t>INF.17/TDG and INF.13/GHS</w:t>
        </w:r>
      </w:hyperlink>
      <w:r>
        <w:t xml:space="preserve"> respectively and noted several contributions and suggestions on possible actions as reflected in </w:t>
      </w:r>
      <w:hyperlink r:id="rId23" w:history="1">
        <w:r w:rsidRPr="008007D1">
          <w:rPr>
            <w:rStyle w:val="Hyperlink"/>
            <w:color w:val="00B0F0"/>
          </w:rPr>
          <w:t>INF.22/GHS</w:t>
        </w:r>
      </w:hyperlink>
      <w:r w:rsidRPr="008007D1">
        <w:rPr>
          <w:color w:val="00B0F0"/>
        </w:rPr>
        <w:t xml:space="preserve"> </w:t>
      </w:r>
      <w:r>
        <w:t xml:space="preserve">and paragraph 109 of the TDG report </w:t>
      </w:r>
      <w:hyperlink r:id="rId24" w:history="1">
        <w:r w:rsidRPr="00EA760E">
          <w:rPr>
            <w:rStyle w:val="Hyperlink"/>
            <w:color w:val="00B0F0"/>
          </w:rPr>
          <w:t>ST/SG/AC.10/C.3/120</w:t>
        </w:r>
      </w:hyperlink>
      <w:r>
        <w:t xml:space="preserve"> (excerpt is </w:t>
      </w:r>
      <w:proofErr w:type="spellStart"/>
      <w:r>
        <w:t>reprocuded</w:t>
      </w:r>
      <w:proofErr w:type="spellEnd"/>
      <w:r>
        <w:t xml:space="preserve"> below).</w:t>
      </w:r>
    </w:p>
    <w:p w14:paraId="62D533DC" w14:textId="77777777" w:rsidR="00E72D79" w:rsidRPr="00D75ECE" w:rsidRDefault="00E72D79" w:rsidP="00E72D79">
      <w:pPr>
        <w:pStyle w:val="SingleTxtG"/>
        <w:rPr>
          <w:i/>
          <w:iCs/>
        </w:rPr>
      </w:pPr>
      <w:r w:rsidRPr="00D75ECE">
        <w:rPr>
          <w:i/>
          <w:iCs/>
        </w:rPr>
        <w:t>“109.</w:t>
      </w:r>
      <w:r w:rsidRPr="00D75ECE">
        <w:rPr>
          <w:i/>
          <w:iCs/>
        </w:rPr>
        <w:tab/>
        <w:t>The Sub-Committee considered informal document INF.17 during a lunchtime informal meeting on Friday, 1 July 2022 and as follows:</w:t>
      </w:r>
    </w:p>
    <w:p w14:paraId="28335BAF" w14:textId="77777777" w:rsidR="00E72D79" w:rsidRPr="00D75ECE" w:rsidRDefault="00E72D79" w:rsidP="00E72D79">
      <w:pPr>
        <w:pStyle w:val="SingleTxtG"/>
        <w:tabs>
          <w:tab w:val="left" w:pos="2268"/>
          <w:tab w:val="left" w:pos="2977"/>
        </w:tabs>
        <w:ind w:left="1701"/>
        <w:rPr>
          <w:i/>
          <w:iCs/>
        </w:rPr>
      </w:pPr>
      <w:r w:rsidRPr="00D75ECE">
        <w:rPr>
          <w:i/>
          <w:iCs/>
        </w:rPr>
        <w:t>(a)</w:t>
      </w:r>
      <w:r w:rsidRPr="00D75ECE">
        <w:rPr>
          <w:i/>
          <w:iCs/>
        </w:rPr>
        <w:tab/>
        <w:t xml:space="preserve">Delegations were invited to add in the </w:t>
      </w:r>
      <w:r w:rsidRPr="00C54C08">
        <w:rPr>
          <w:i/>
          <w:iCs/>
          <w:u w:val="single"/>
        </w:rPr>
        <w:t>justification</w:t>
      </w:r>
      <w:r w:rsidRPr="00D75ECE">
        <w:rPr>
          <w:i/>
          <w:iCs/>
        </w:rPr>
        <w:t xml:space="preserve"> part of their future proposals the interlinkage to the sustainable development goals, when </w:t>
      </w:r>
      <w:proofErr w:type="gramStart"/>
      <w:r w:rsidRPr="00D75ECE">
        <w:rPr>
          <w:i/>
          <w:iCs/>
        </w:rPr>
        <w:t>applicable;</w:t>
      </w:r>
      <w:proofErr w:type="gramEnd"/>
    </w:p>
    <w:p w14:paraId="55511D78" w14:textId="77777777" w:rsidR="00E72D79" w:rsidRPr="00D75ECE" w:rsidRDefault="00E72D79" w:rsidP="00E72D79">
      <w:pPr>
        <w:pStyle w:val="SingleTxtG"/>
        <w:tabs>
          <w:tab w:val="left" w:pos="2268"/>
          <w:tab w:val="left" w:pos="2977"/>
        </w:tabs>
        <w:ind w:left="1701"/>
        <w:rPr>
          <w:i/>
          <w:iCs/>
        </w:rPr>
      </w:pPr>
      <w:r w:rsidRPr="00D75ECE">
        <w:rPr>
          <w:i/>
          <w:iCs/>
        </w:rPr>
        <w:t>(b)</w:t>
      </w:r>
      <w:r w:rsidRPr="00D75ECE">
        <w:rPr>
          <w:i/>
          <w:iCs/>
        </w:rPr>
        <w:tab/>
        <w:t xml:space="preserve">It was recommended to add a </w:t>
      </w:r>
      <w:r w:rsidRPr="00C54C08">
        <w:rPr>
          <w:i/>
          <w:iCs/>
          <w:u w:val="single"/>
        </w:rPr>
        <w:t>specific agenda item</w:t>
      </w:r>
      <w:r w:rsidRPr="00D75ECE">
        <w:rPr>
          <w:i/>
          <w:iCs/>
        </w:rPr>
        <w:t xml:space="preserve"> on the follow-up to the </w:t>
      </w:r>
      <w:proofErr w:type="gramStart"/>
      <w:r w:rsidRPr="00D75ECE">
        <w:rPr>
          <w:i/>
          <w:iCs/>
        </w:rPr>
        <w:t>Agenda</w:t>
      </w:r>
      <w:proofErr w:type="gramEnd"/>
      <w:r w:rsidRPr="00D75ECE">
        <w:rPr>
          <w:i/>
          <w:iCs/>
        </w:rPr>
        <w:t xml:space="preserve"> 2030 to ensure regular discussions by the Sub-Committee;</w:t>
      </w:r>
    </w:p>
    <w:p w14:paraId="23E456B8" w14:textId="77777777" w:rsidR="00E72D79" w:rsidRPr="00D75ECE" w:rsidRDefault="00E72D79" w:rsidP="00E72D79">
      <w:pPr>
        <w:pStyle w:val="SingleTxtG"/>
        <w:tabs>
          <w:tab w:val="left" w:pos="2268"/>
          <w:tab w:val="left" w:pos="2977"/>
        </w:tabs>
        <w:ind w:left="1701"/>
        <w:rPr>
          <w:i/>
          <w:iCs/>
        </w:rPr>
      </w:pPr>
      <w:r w:rsidRPr="00D75ECE">
        <w:rPr>
          <w:i/>
          <w:iCs/>
        </w:rPr>
        <w:t>(c)</w:t>
      </w:r>
      <w:r w:rsidRPr="00D75ECE">
        <w:rPr>
          <w:i/>
          <w:iCs/>
        </w:rPr>
        <w:tab/>
        <w:t>It was suggested inserting a summary of the activities of the sub-committees on this subject into the draft report of the Secretary-General on the work of the Committee of Experts and its sub-</w:t>
      </w:r>
      <w:proofErr w:type="gramStart"/>
      <w:r w:rsidRPr="00D75ECE">
        <w:rPr>
          <w:i/>
          <w:iCs/>
        </w:rPr>
        <w:t>committees;</w:t>
      </w:r>
      <w:proofErr w:type="gramEnd"/>
    </w:p>
    <w:p w14:paraId="09DF8752" w14:textId="77777777" w:rsidR="00E72D79" w:rsidRPr="00D75ECE" w:rsidRDefault="00E72D79" w:rsidP="00E72D79">
      <w:pPr>
        <w:pStyle w:val="SingleTxtG"/>
        <w:tabs>
          <w:tab w:val="left" w:pos="2268"/>
          <w:tab w:val="left" w:pos="2977"/>
        </w:tabs>
        <w:ind w:left="1701"/>
        <w:rPr>
          <w:i/>
          <w:iCs/>
        </w:rPr>
      </w:pPr>
      <w:r w:rsidRPr="00D75ECE">
        <w:rPr>
          <w:i/>
          <w:iCs/>
        </w:rPr>
        <w:t>(d)</w:t>
      </w:r>
      <w:r w:rsidRPr="00D75ECE">
        <w:rPr>
          <w:i/>
          <w:iCs/>
        </w:rPr>
        <w:tab/>
        <w:t>One expert suggested to consider organising one online session per biennium, based on the experience gained in the hybrid sessions organized during the COVID-19 pandemic, and with the idea to both facilitate broader attendance and participation in the Sub-Committee’s activities according to the principle of the Agenda 2030 “Leaving no one behind” and to avoid travelling with the aim to contribute to the principle of the Agenda 2030 “Take urgent action to combat climate change and its impacts”.</w:t>
      </w:r>
    </w:p>
    <w:p w14:paraId="5F570A49" w14:textId="77777777" w:rsidR="00E72D79" w:rsidRPr="00D75ECE" w:rsidRDefault="00E72D79" w:rsidP="00E72D79">
      <w:pPr>
        <w:pStyle w:val="SingleTxtG"/>
        <w:tabs>
          <w:tab w:val="left" w:pos="2268"/>
          <w:tab w:val="left" w:pos="2977"/>
        </w:tabs>
        <w:ind w:left="1701"/>
        <w:rPr>
          <w:i/>
          <w:iCs/>
        </w:rPr>
      </w:pPr>
      <w:r w:rsidRPr="00D75ECE">
        <w:rPr>
          <w:i/>
          <w:iCs/>
        </w:rPr>
        <w:t>(e)</w:t>
      </w:r>
      <w:r w:rsidRPr="00D75ECE">
        <w:rPr>
          <w:i/>
          <w:iCs/>
        </w:rPr>
        <w:tab/>
        <w:t>To ease the access by delegates to more detailed information and background information on Agenda 2030 and the review of the work of ECOSOC subsidiary bodies, the secretariat volunteered to insert a new entry on the homepage of the Committee of Experts and its sub-committees.”</w:t>
      </w:r>
    </w:p>
    <w:p w14:paraId="293286E3" w14:textId="77777777" w:rsidR="00E72D79" w:rsidRDefault="00E72D79" w:rsidP="00E72D79">
      <w:pPr>
        <w:pStyle w:val="SingleTxtG"/>
      </w:pPr>
      <w:r>
        <w:t>15.</w:t>
      </w:r>
      <w:r>
        <w:tab/>
        <w:t>Both sub-committees agreed to coordinate their follow-up actions listed above and to come back at their next sessions with a common recommendation for further consideration.</w:t>
      </w:r>
    </w:p>
    <w:p w14:paraId="126D6951" w14:textId="77777777" w:rsidR="00E72D79" w:rsidRPr="007D654E" w:rsidRDefault="00E72D79" w:rsidP="00E72D79">
      <w:pPr>
        <w:pStyle w:val="H1G"/>
        <w:rPr>
          <w:sz w:val="20"/>
        </w:rPr>
      </w:pPr>
      <w:r w:rsidRPr="007D654E">
        <w:rPr>
          <w:sz w:val="20"/>
        </w:rPr>
        <w:tab/>
      </w:r>
      <w:r>
        <w:rPr>
          <w:sz w:val="20"/>
        </w:rPr>
        <w:t>C</w:t>
      </w:r>
      <w:r w:rsidRPr="007D654E">
        <w:rPr>
          <w:sz w:val="20"/>
        </w:rPr>
        <w:t>.</w:t>
      </w:r>
      <w:r w:rsidRPr="007D654E">
        <w:rPr>
          <w:sz w:val="20"/>
        </w:rPr>
        <w:tab/>
      </w:r>
      <w:r>
        <w:rPr>
          <w:sz w:val="20"/>
        </w:rPr>
        <w:t>Proposal</w:t>
      </w:r>
    </w:p>
    <w:p w14:paraId="0A6DFA68" w14:textId="77777777" w:rsidR="00E72D79" w:rsidRDefault="00E72D79" w:rsidP="00E72D79">
      <w:pPr>
        <w:spacing w:after="120"/>
        <w:ind w:left="1134" w:right="1134"/>
        <w:jc w:val="both"/>
        <w:rPr>
          <w:rFonts w:eastAsiaTheme="minorEastAsia"/>
          <w:lang w:eastAsia="zh-CN"/>
        </w:rPr>
      </w:pPr>
      <w:r>
        <w:t>16.</w:t>
      </w:r>
      <w:r>
        <w:tab/>
        <w:t>It is suggested that the RID/ADR/ADN Joint Meeting consider the above-mentioned high-level policy matters on the United Nations Agenda 2030, the related SDGs, circular economy including the sustainable use of natural resources and decide on similar follow-up actions, as appropriate</w:t>
      </w:r>
      <w:r w:rsidRPr="007D5756">
        <w:rPr>
          <w:rFonts w:eastAsiaTheme="minorEastAsia"/>
          <w:lang w:eastAsia="zh-CN"/>
        </w:rPr>
        <w:t>.</w:t>
      </w:r>
    </w:p>
    <w:p w14:paraId="382C212D" w14:textId="77777777" w:rsidR="00E72D79" w:rsidRPr="00E371C4" w:rsidRDefault="00E72D79" w:rsidP="00E72D79">
      <w:pPr>
        <w:spacing w:before="240"/>
        <w:jc w:val="center"/>
        <w:rPr>
          <w:u w:val="single"/>
        </w:rPr>
      </w:pPr>
      <w:r>
        <w:rPr>
          <w:u w:val="single"/>
        </w:rPr>
        <w:tab/>
      </w:r>
      <w:r>
        <w:rPr>
          <w:u w:val="single"/>
        </w:rPr>
        <w:tab/>
      </w:r>
      <w:r>
        <w:rPr>
          <w:u w:val="single"/>
        </w:rPr>
        <w:tab/>
      </w:r>
    </w:p>
    <w:sectPr w:rsidR="00E72D79" w:rsidRPr="00E371C4" w:rsidSect="00390131">
      <w:headerReference w:type="even" r:id="rId25"/>
      <w:headerReference w:type="default" r:id="rId26"/>
      <w:footerReference w:type="even" r:id="rId27"/>
      <w:footerReference w:type="default" r:id="rId28"/>
      <w:headerReference w:type="first" r:id="rId29"/>
      <w:endnotePr>
        <w:numFmt w:val="decimal"/>
      </w:endnotePr>
      <w:pgSz w:w="11907" w:h="16840" w:code="9"/>
      <w:pgMar w:top="993" w:right="1134" w:bottom="851"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667B" w14:textId="77777777" w:rsidR="00131AB2" w:rsidRDefault="00131AB2"/>
  </w:endnote>
  <w:endnote w:type="continuationSeparator" w:id="0">
    <w:p w14:paraId="08BAD062" w14:textId="77777777" w:rsidR="00131AB2" w:rsidRDefault="00131AB2"/>
  </w:endnote>
  <w:endnote w:type="continuationNotice" w:id="1">
    <w:p w14:paraId="7AD2795B" w14:textId="77777777" w:rsidR="00131AB2" w:rsidRDefault="00131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74B3" w14:textId="77777777" w:rsidR="00131AB2" w:rsidRPr="000B175B" w:rsidRDefault="00131AB2" w:rsidP="000B175B">
      <w:pPr>
        <w:tabs>
          <w:tab w:val="right" w:pos="2155"/>
        </w:tabs>
        <w:spacing w:after="80"/>
        <w:ind w:left="680"/>
        <w:rPr>
          <w:u w:val="single"/>
        </w:rPr>
      </w:pPr>
      <w:r>
        <w:rPr>
          <w:u w:val="single"/>
        </w:rPr>
        <w:tab/>
      </w:r>
    </w:p>
  </w:footnote>
  <w:footnote w:type="continuationSeparator" w:id="0">
    <w:p w14:paraId="7EDD7CEF" w14:textId="77777777" w:rsidR="00131AB2" w:rsidRPr="00FC68B7" w:rsidRDefault="00131AB2" w:rsidP="00FC68B7">
      <w:pPr>
        <w:tabs>
          <w:tab w:val="left" w:pos="2155"/>
        </w:tabs>
        <w:spacing w:after="80"/>
        <w:ind w:left="680"/>
        <w:rPr>
          <w:u w:val="single"/>
        </w:rPr>
      </w:pPr>
      <w:r>
        <w:rPr>
          <w:u w:val="single"/>
        </w:rPr>
        <w:tab/>
      </w:r>
    </w:p>
  </w:footnote>
  <w:footnote w:type="continuationNotice" w:id="1">
    <w:p w14:paraId="5D0900E5" w14:textId="77777777" w:rsidR="00131AB2" w:rsidRDefault="00131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09BC49F5" w:rsidR="002B16A1" w:rsidRPr="0009455D" w:rsidRDefault="002B16A1">
    <w:pPr>
      <w:pStyle w:val="Header"/>
      <w:rPr>
        <w:lang w:val="fr-CH"/>
      </w:rPr>
    </w:pPr>
    <w:r>
      <w:rPr>
        <w:lang w:val="fr-CH"/>
      </w:rPr>
      <w:t>INF.</w:t>
    </w:r>
    <w:r w:rsidR="003C0FDF">
      <w:rPr>
        <w:lang w:val="fr-CH"/>
      </w:rPr>
      <w:t>1</w:t>
    </w:r>
    <w:r w:rsidR="00B25550">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60CDACB8" w:rsidR="002B16A1" w:rsidRPr="00073BC9" w:rsidRDefault="002B16A1" w:rsidP="0009455D">
    <w:pPr>
      <w:pStyle w:val="Header"/>
      <w:jc w:val="right"/>
    </w:pPr>
    <w:r>
      <w:t>INF.</w:t>
    </w:r>
    <w:r w:rsidR="00B25550">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4238923E" w:rsidR="002B16A1" w:rsidRPr="00560572" w:rsidRDefault="002B16A1" w:rsidP="00E37495">
    <w:pPr>
      <w:pStyle w:val="Header"/>
      <w:pBdr>
        <w:bottom w:val="single" w:sz="4" w:space="1" w:color="auto"/>
      </w:pBdr>
      <w:jc w:val="right"/>
      <w:rPr>
        <w:sz w:val="28"/>
        <w:szCs w:val="28"/>
      </w:rPr>
    </w:pPr>
    <w:r w:rsidRPr="00560572">
      <w:rPr>
        <w:sz w:val="28"/>
        <w:szCs w:val="28"/>
      </w:rPr>
      <w:t>INF.</w:t>
    </w:r>
    <w:r w:rsidR="00980DD8">
      <w:rPr>
        <w:sz w:val="28"/>
        <w:szCs w:val="28"/>
      </w:rPr>
      <w:t>1</w:t>
    </w:r>
    <w:r w:rsidR="00145796">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7"/>
  </w:num>
  <w:num w:numId="16">
    <w:abstractNumId w:val="13"/>
  </w:num>
  <w:num w:numId="17">
    <w:abstractNumId w:val="24"/>
  </w:num>
  <w:num w:numId="18">
    <w:abstractNumId w:val="26"/>
  </w:num>
  <w:num w:numId="19">
    <w:abstractNumId w:val="23"/>
  </w:num>
  <w:num w:numId="20">
    <w:abstractNumId w:val="12"/>
  </w:num>
  <w:num w:numId="21">
    <w:abstractNumId w:val="19"/>
  </w:num>
  <w:num w:numId="22">
    <w:abstractNumId w:val="27"/>
  </w:num>
  <w:num w:numId="23">
    <w:abstractNumId w:val="18"/>
  </w:num>
  <w:num w:numId="24">
    <w:abstractNumId w:val="21"/>
  </w:num>
  <w:num w:numId="25">
    <w:abstractNumId w:val="25"/>
  </w:num>
  <w:num w:numId="26">
    <w:abstractNumId w:val="20"/>
  </w:num>
  <w:num w:numId="27">
    <w:abstractNumId w:val="15"/>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0473"/>
    <w:rsid w:val="0001140E"/>
    <w:rsid w:val="00017B0A"/>
    <w:rsid w:val="00017C14"/>
    <w:rsid w:val="000238EC"/>
    <w:rsid w:val="00027624"/>
    <w:rsid w:val="00030BF5"/>
    <w:rsid w:val="00043854"/>
    <w:rsid w:val="00050B2C"/>
    <w:rsid w:val="00050F6B"/>
    <w:rsid w:val="00054A2A"/>
    <w:rsid w:val="00056E1C"/>
    <w:rsid w:val="00057D31"/>
    <w:rsid w:val="00057F00"/>
    <w:rsid w:val="00060675"/>
    <w:rsid w:val="00061092"/>
    <w:rsid w:val="00062540"/>
    <w:rsid w:val="000678CD"/>
    <w:rsid w:val="00072C8C"/>
    <w:rsid w:val="00073BC9"/>
    <w:rsid w:val="00075498"/>
    <w:rsid w:val="00081CE0"/>
    <w:rsid w:val="00081E5B"/>
    <w:rsid w:val="00082FAE"/>
    <w:rsid w:val="000840C7"/>
    <w:rsid w:val="00084D30"/>
    <w:rsid w:val="00090320"/>
    <w:rsid w:val="00091148"/>
    <w:rsid w:val="000918D7"/>
    <w:rsid w:val="000931C0"/>
    <w:rsid w:val="0009455D"/>
    <w:rsid w:val="00097793"/>
    <w:rsid w:val="000A2E09"/>
    <w:rsid w:val="000A7DA7"/>
    <w:rsid w:val="000B175B"/>
    <w:rsid w:val="000B3049"/>
    <w:rsid w:val="000B3A0F"/>
    <w:rsid w:val="000B41FA"/>
    <w:rsid w:val="000B5B93"/>
    <w:rsid w:val="000C2A7D"/>
    <w:rsid w:val="000D13A0"/>
    <w:rsid w:val="000D5A55"/>
    <w:rsid w:val="000E0415"/>
    <w:rsid w:val="000E1168"/>
    <w:rsid w:val="000E233A"/>
    <w:rsid w:val="000E6779"/>
    <w:rsid w:val="000E7EB0"/>
    <w:rsid w:val="000F5D2C"/>
    <w:rsid w:val="000F7715"/>
    <w:rsid w:val="001022EF"/>
    <w:rsid w:val="00103E99"/>
    <w:rsid w:val="0010751E"/>
    <w:rsid w:val="00116363"/>
    <w:rsid w:val="001179A1"/>
    <w:rsid w:val="00124143"/>
    <w:rsid w:val="00124F96"/>
    <w:rsid w:val="00125674"/>
    <w:rsid w:val="001275CF"/>
    <w:rsid w:val="001316F4"/>
    <w:rsid w:val="00131AB2"/>
    <w:rsid w:val="001352C3"/>
    <w:rsid w:val="00140040"/>
    <w:rsid w:val="0014401A"/>
    <w:rsid w:val="00145796"/>
    <w:rsid w:val="00147EF3"/>
    <w:rsid w:val="00156B99"/>
    <w:rsid w:val="0015713B"/>
    <w:rsid w:val="00161037"/>
    <w:rsid w:val="00162C00"/>
    <w:rsid w:val="00166124"/>
    <w:rsid w:val="00167F20"/>
    <w:rsid w:val="0017009E"/>
    <w:rsid w:val="0017134C"/>
    <w:rsid w:val="00172600"/>
    <w:rsid w:val="001765D7"/>
    <w:rsid w:val="00176739"/>
    <w:rsid w:val="00182BED"/>
    <w:rsid w:val="00184C9E"/>
    <w:rsid w:val="00184DDA"/>
    <w:rsid w:val="00186B63"/>
    <w:rsid w:val="001874B4"/>
    <w:rsid w:val="001900CD"/>
    <w:rsid w:val="00193D85"/>
    <w:rsid w:val="0019444B"/>
    <w:rsid w:val="00197947"/>
    <w:rsid w:val="001A02D9"/>
    <w:rsid w:val="001A0452"/>
    <w:rsid w:val="001A3481"/>
    <w:rsid w:val="001A4D53"/>
    <w:rsid w:val="001A5F15"/>
    <w:rsid w:val="001A73D9"/>
    <w:rsid w:val="001B1D78"/>
    <w:rsid w:val="001B45E8"/>
    <w:rsid w:val="001B4B04"/>
    <w:rsid w:val="001B4FB7"/>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2CBC"/>
    <w:rsid w:val="00264807"/>
    <w:rsid w:val="00265888"/>
    <w:rsid w:val="002769CB"/>
    <w:rsid w:val="00280041"/>
    <w:rsid w:val="0028099F"/>
    <w:rsid w:val="002815FC"/>
    <w:rsid w:val="00290F14"/>
    <w:rsid w:val="00291C0F"/>
    <w:rsid w:val="00295F1A"/>
    <w:rsid w:val="002974E9"/>
    <w:rsid w:val="002A0338"/>
    <w:rsid w:val="002A189E"/>
    <w:rsid w:val="002A214F"/>
    <w:rsid w:val="002A6D75"/>
    <w:rsid w:val="002A7F94"/>
    <w:rsid w:val="002B109A"/>
    <w:rsid w:val="002B12DC"/>
    <w:rsid w:val="002B16A1"/>
    <w:rsid w:val="002B1765"/>
    <w:rsid w:val="002B2A16"/>
    <w:rsid w:val="002B400C"/>
    <w:rsid w:val="002B5293"/>
    <w:rsid w:val="002B53F6"/>
    <w:rsid w:val="002B5F94"/>
    <w:rsid w:val="002B6590"/>
    <w:rsid w:val="002C1973"/>
    <w:rsid w:val="002C1F41"/>
    <w:rsid w:val="002C3A37"/>
    <w:rsid w:val="002C4661"/>
    <w:rsid w:val="002C57D6"/>
    <w:rsid w:val="002C6D45"/>
    <w:rsid w:val="002D07AC"/>
    <w:rsid w:val="002D095D"/>
    <w:rsid w:val="002D15DD"/>
    <w:rsid w:val="002D1828"/>
    <w:rsid w:val="002D28D9"/>
    <w:rsid w:val="002D4CF0"/>
    <w:rsid w:val="002D6E53"/>
    <w:rsid w:val="002D743E"/>
    <w:rsid w:val="002E0C3F"/>
    <w:rsid w:val="002E2296"/>
    <w:rsid w:val="002E23C9"/>
    <w:rsid w:val="002E6DB4"/>
    <w:rsid w:val="002F024B"/>
    <w:rsid w:val="002F046D"/>
    <w:rsid w:val="002F1811"/>
    <w:rsid w:val="003005AE"/>
    <w:rsid w:val="003007E7"/>
    <w:rsid w:val="00301764"/>
    <w:rsid w:val="00302B3E"/>
    <w:rsid w:val="0030379A"/>
    <w:rsid w:val="00306B1E"/>
    <w:rsid w:val="00321665"/>
    <w:rsid w:val="003229D8"/>
    <w:rsid w:val="00323AD2"/>
    <w:rsid w:val="0032508A"/>
    <w:rsid w:val="0032737D"/>
    <w:rsid w:val="00336080"/>
    <w:rsid w:val="00336C97"/>
    <w:rsid w:val="00337D65"/>
    <w:rsid w:val="00337F88"/>
    <w:rsid w:val="00342432"/>
    <w:rsid w:val="0034444E"/>
    <w:rsid w:val="00350B59"/>
    <w:rsid w:val="00352D4B"/>
    <w:rsid w:val="00354724"/>
    <w:rsid w:val="00354CED"/>
    <w:rsid w:val="0035638C"/>
    <w:rsid w:val="003564DC"/>
    <w:rsid w:val="00363199"/>
    <w:rsid w:val="00370928"/>
    <w:rsid w:val="00373041"/>
    <w:rsid w:val="003806F0"/>
    <w:rsid w:val="00382512"/>
    <w:rsid w:val="0038499B"/>
    <w:rsid w:val="00390131"/>
    <w:rsid w:val="003A1C51"/>
    <w:rsid w:val="003A30C6"/>
    <w:rsid w:val="003A46BB"/>
    <w:rsid w:val="003A4EC7"/>
    <w:rsid w:val="003A550E"/>
    <w:rsid w:val="003A7295"/>
    <w:rsid w:val="003B115E"/>
    <w:rsid w:val="003B1F60"/>
    <w:rsid w:val="003B3A7E"/>
    <w:rsid w:val="003B4643"/>
    <w:rsid w:val="003C0FDF"/>
    <w:rsid w:val="003C2CC4"/>
    <w:rsid w:val="003C3176"/>
    <w:rsid w:val="003C7026"/>
    <w:rsid w:val="003D4B23"/>
    <w:rsid w:val="003D58A1"/>
    <w:rsid w:val="003D6C76"/>
    <w:rsid w:val="003D7D9E"/>
    <w:rsid w:val="003E278A"/>
    <w:rsid w:val="003E3D94"/>
    <w:rsid w:val="003E7875"/>
    <w:rsid w:val="003F07CB"/>
    <w:rsid w:val="003F557E"/>
    <w:rsid w:val="003F72F0"/>
    <w:rsid w:val="004019C8"/>
    <w:rsid w:val="004024E2"/>
    <w:rsid w:val="004032CF"/>
    <w:rsid w:val="004055BD"/>
    <w:rsid w:val="00411250"/>
    <w:rsid w:val="00413520"/>
    <w:rsid w:val="004139E1"/>
    <w:rsid w:val="00413DF6"/>
    <w:rsid w:val="00414F7A"/>
    <w:rsid w:val="00431D4D"/>
    <w:rsid w:val="004325CB"/>
    <w:rsid w:val="00432608"/>
    <w:rsid w:val="00433A82"/>
    <w:rsid w:val="00437F43"/>
    <w:rsid w:val="00440A07"/>
    <w:rsid w:val="00450EF8"/>
    <w:rsid w:val="00456441"/>
    <w:rsid w:val="00462880"/>
    <w:rsid w:val="0047298C"/>
    <w:rsid w:val="0047429E"/>
    <w:rsid w:val="004769ED"/>
    <w:rsid w:val="00476F24"/>
    <w:rsid w:val="0048402E"/>
    <w:rsid w:val="004909E7"/>
    <w:rsid w:val="004917A1"/>
    <w:rsid w:val="0049311D"/>
    <w:rsid w:val="00495F1B"/>
    <w:rsid w:val="004B2A91"/>
    <w:rsid w:val="004B45B0"/>
    <w:rsid w:val="004B7EA2"/>
    <w:rsid w:val="004C55B0"/>
    <w:rsid w:val="004D51F6"/>
    <w:rsid w:val="004D63B1"/>
    <w:rsid w:val="004D6D1E"/>
    <w:rsid w:val="004E4179"/>
    <w:rsid w:val="004E608F"/>
    <w:rsid w:val="004E7160"/>
    <w:rsid w:val="004F3D3A"/>
    <w:rsid w:val="004F3F8F"/>
    <w:rsid w:val="004F6BA0"/>
    <w:rsid w:val="004F789D"/>
    <w:rsid w:val="00503BEA"/>
    <w:rsid w:val="00512C18"/>
    <w:rsid w:val="00530289"/>
    <w:rsid w:val="00533616"/>
    <w:rsid w:val="00535170"/>
    <w:rsid w:val="005354B0"/>
    <w:rsid w:val="00535ABA"/>
    <w:rsid w:val="00536572"/>
    <w:rsid w:val="005371A0"/>
    <w:rsid w:val="0053768B"/>
    <w:rsid w:val="005420F2"/>
    <w:rsid w:val="00542768"/>
    <w:rsid w:val="0054285C"/>
    <w:rsid w:val="005431D2"/>
    <w:rsid w:val="005445FF"/>
    <w:rsid w:val="00546138"/>
    <w:rsid w:val="00547A88"/>
    <w:rsid w:val="0055514F"/>
    <w:rsid w:val="005566B9"/>
    <w:rsid w:val="00560572"/>
    <w:rsid w:val="00563388"/>
    <w:rsid w:val="00564BF4"/>
    <w:rsid w:val="005670DF"/>
    <w:rsid w:val="005708B5"/>
    <w:rsid w:val="00573297"/>
    <w:rsid w:val="00584173"/>
    <w:rsid w:val="005847C7"/>
    <w:rsid w:val="005850DE"/>
    <w:rsid w:val="00587C17"/>
    <w:rsid w:val="00594C13"/>
    <w:rsid w:val="00595520"/>
    <w:rsid w:val="005A0287"/>
    <w:rsid w:val="005A44B9"/>
    <w:rsid w:val="005A548A"/>
    <w:rsid w:val="005A5AE3"/>
    <w:rsid w:val="005B1BA0"/>
    <w:rsid w:val="005B3673"/>
    <w:rsid w:val="005B3BEA"/>
    <w:rsid w:val="005B3DB3"/>
    <w:rsid w:val="005C58F0"/>
    <w:rsid w:val="005C700B"/>
    <w:rsid w:val="005D15CA"/>
    <w:rsid w:val="005D1867"/>
    <w:rsid w:val="005D2C39"/>
    <w:rsid w:val="005D390C"/>
    <w:rsid w:val="005E6AAF"/>
    <w:rsid w:val="005F1112"/>
    <w:rsid w:val="005F3066"/>
    <w:rsid w:val="005F3E61"/>
    <w:rsid w:val="005F51F6"/>
    <w:rsid w:val="005F69C7"/>
    <w:rsid w:val="005F7732"/>
    <w:rsid w:val="00602982"/>
    <w:rsid w:val="00604DDD"/>
    <w:rsid w:val="006115CC"/>
    <w:rsid w:val="00611FC4"/>
    <w:rsid w:val="00613302"/>
    <w:rsid w:val="006176FB"/>
    <w:rsid w:val="00617EFC"/>
    <w:rsid w:val="0062380F"/>
    <w:rsid w:val="0062564C"/>
    <w:rsid w:val="00630FCB"/>
    <w:rsid w:val="00632F10"/>
    <w:rsid w:val="00633628"/>
    <w:rsid w:val="00633825"/>
    <w:rsid w:val="0064017F"/>
    <w:rsid w:val="00640B26"/>
    <w:rsid w:val="00642312"/>
    <w:rsid w:val="00642502"/>
    <w:rsid w:val="006470FA"/>
    <w:rsid w:val="0064748F"/>
    <w:rsid w:val="00651A29"/>
    <w:rsid w:val="00663D21"/>
    <w:rsid w:val="006643C6"/>
    <w:rsid w:val="00665356"/>
    <w:rsid w:val="00667D6B"/>
    <w:rsid w:val="00671B0D"/>
    <w:rsid w:val="006770B2"/>
    <w:rsid w:val="00682407"/>
    <w:rsid w:val="006853B3"/>
    <w:rsid w:val="006940E1"/>
    <w:rsid w:val="006A16E9"/>
    <w:rsid w:val="006A1D39"/>
    <w:rsid w:val="006A3C72"/>
    <w:rsid w:val="006A7392"/>
    <w:rsid w:val="006B03A1"/>
    <w:rsid w:val="006B67D9"/>
    <w:rsid w:val="006B6FE3"/>
    <w:rsid w:val="006C5535"/>
    <w:rsid w:val="006D0589"/>
    <w:rsid w:val="006D513E"/>
    <w:rsid w:val="006E2D41"/>
    <w:rsid w:val="006E564B"/>
    <w:rsid w:val="006E7154"/>
    <w:rsid w:val="006F0884"/>
    <w:rsid w:val="006F3F42"/>
    <w:rsid w:val="006F6CF7"/>
    <w:rsid w:val="007003CD"/>
    <w:rsid w:val="00703A6D"/>
    <w:rsid w:val="00706637"/>
    <w:rsid w:val="0070701E"/>
    <w:rsid w:val="0070702F"/>
    <w:rsid w:val="0071447C"/>
    <w:rsid w:val="00714B5C"/>
    <w:rsid w:val="00715BE5"/>
    <w:rsid w:val="0072632A"/>
    <w:rsid w:val="0073337B"/>
    <w:rsid w:val="00734AE8"/>
    <w:rsid w:val="007358E8"/>
    <w:rsid w:val="00736ECE"/>
    <w:rsid w:val="007408A0"/>
    <w:rsid w:val="00741FCD"/>
    <w:rsid w:val="0074533B"/>
    <w:rsid w:val="00753C81"/>
    <w:rsid w:val="00755BB0"/>
    <w:rsid w:val="00762EA6"/>
    <w:rsid w:val="00763B98"/>
    <w:rsid w:val="0076432E"/>
    <w:rsid w:val="007643BC"/>
    <w:rsid w:val="0076446D"/>
    <w:rsid w:val="00764F01"/>
    <w:rsid w:val="00770846"/>
    <w:rsid w:val="007810E1"/>
    <w:rsid w:val="00781D93"/>
    <w:rsid w:val="00790877"/>
    <w:rsid w:val="00791F59"/>
    <w:rsid w:val="007942D2"/>
    <w:rsid w:val="0079577B"/>
    <w:rsid w:val="007959FE"/>
    <w:rsid w:val="00795E37"/>
    <w:rsid w:val="00797B67"/>
    <w:rsid w:val="007A06A1"/>
    <w:rsid w:val="007A0CF1"/>
    <w:rsid w:val="007A38B0"/>
    <w:rsid w:val="007A57B8"/>
    <w:rsid w:val="007A6BE6"/>
    <w:rsid w:val="007A7CC0"/>
    <w:rsid w:val="007B1DF4"/>
    <w:rsid w:val="007B5DDD"/>
    <w:rsid w:val="007B614B"/>
    <w:rsid w:val="007B6A61"/>
    <w:rsid w:val="007B6BA5"/>
    <w:rsid w:val="007C21A9"/>
    <w:rsid w:val="007C2A8D"/>
    <w:rsid w:val="007C3390"/>
    <w:rsid w:val="007C42D8"/>
    <w:rsid w:val="007C4681"/>
    <w:rsid w:val="007C4F4B"/>
    <w:rsid w:val="007C68C8"/>
    <w:rsid w:val="007D5759"/>
    <w:rsid w:val="007D6D44"/>
    <w:rsid w:val="007D7362"/>
    <w:rsid w:val="007E1F70"/>
    <w:rsid w:val="007E36CB"/>
    <w:rsid w:val="007E4914"/>
    <w:rsid w:val="007F1E0D"/>
    <w:rsid w:val="007F2E11"/>
    <w:rsid w:val="007F546E"/>
    <w:rsid w:val="007F5CE2"/>
    <w:rsid w:val="007F6611"/>
    <w:rsid w:val="008018E5"/>
    <w:rsid w:val="00803623"/>
    <w:rsid w:val="00803B7F"/>
    <w:rsid w:val="00810BAC"/>
    <w:rsid w:val="008175E9"/>
    <w:rsid w:val="008203B2"/>
    <w:rsid w:val="0082405C"/>
    <w:rsid w:val="008242D7"/>
    <w:rsid w:val="00825578"/>
    <w:rsid w:val="0082577B"/>
    <w:rsid w:val="00830D15"/>
    <w:rsid w:val="00832F2B"/>
    <w:rsid w:val="0083344C"/>
    <w:rsid w:val="00834DF7"/>
    <w:rsid w:val="00841620"/>
    <w:rsid w:val="008419FE"/>
    <w:rsid w:val="00843148"/>
    <w:rsid w:val="00843945"/>
    <w:rsid w:val="00845C6F"/>
    <w:rsid w:val="008522F9"/>
    <w:rsid w:val="008558E7"/>
    <w:rsid w:val="00857A4B"/>
    <w:rsid w:val="0086054B"/>
    <w:rsid w:val="00860A49"/>
    <w:rsid w:val="00863255"/>
    <w:rsid w:val="00866893"/>
    <w:rsid w:val="00866F02"/>
    <w:rsid w:val="00867D18"/>
    <w:rsid w:val="008707F8"/>
    <w:rsid w:val="00871F9A"/>
    <w:rsid w:val="00871FD5"/>
    <w:rsid w:val="00872468"/>
    <w:rsid w:val="00875C1D"/>
    <w:rsid w:val="00876B8E"/>
    <w:rsid w:val="00877601"/>
    <w:rsid w:val="0088172E"/>
    <w:rsid w:val="00881EFA"/>
    <w:rsid w:val="00883E28"/>
    <w:rsid w:val="00887A7D"/>
    <w:rsid w:val="0089256A"/>
    <w:rsid w:val="00893916"/>
    <w:rsid w:val="00895369"/>
    <w:rsid w:val="00896405"/>
    <w:rsid w:val="008979B1"/>
    <w:rsid w:val="008A1502"/>
    <w:rsid w:val="008A57C8"/>
    <w:rsid w:val="008A5859"/>
    <w:rsid w:val="008A6792"/>
    <w:rsid w:val="008A6B25"/>
    <w:rsid w:val="008A6C4F"/>
    <w:rsid w:val="008A7787"/>
    <w:rsid w:val="008B389E"/>
    <w:rsid w:val="008B41F4"/>
    <w:rsid w:val="008B59E3"/>
    <w:rsid w:val="008B6D25"/>
    <w:rsid w:val="008C00E4"/>
    <w:rsid w:val="008C53ED"/>
    <w:rsid w:val="008C5B2D"/>
    <w:rsid w:val="008C5BCB"/>
    <w:rsid w:val="008D045E"/>
    <w:rsid w:val="008D0966"/>
    <w:rsid w:val="008D0D4F"/>
    <w:rsid w:val="008D3F25"/>
    <w:rsid w:val="008D4D82"/>
    <w:rsid w:val="008D6CA9"/>
    <w:rsid w:val="008E0E09"/>
    <w:rsid w:val="008E0E46"/>
    <w:rsid w:val="008E4437"/>
    <w:rsid w:val="008E5A5D"/>
    <w:rsid w:val="008E6B9A"/>
    <w:rsid w:val="008E7116"/>
    <w:rsid w:val="008F143B"/>
    <w:rsid w:val="008F33C4"/>
    <w:rsid w:val="008F3882"/>
    <w:rsid w:val="008F3C40"/>
    <w:rsid w:val="008F4B7C"/>
    <w:rsid w:val="008F73B3"/>
    <w:rsid w:val="00904D63"/>
    <w:rsid w:val="00906BFE"/>
    <w:rsid w:val="00914DC3"/>
    <w:rsid w:val="00915C95"/>
    <w:rsid w:val="00916B9C"/>
    <w:rsid w:val="00924CF0"/>
    <w:rsid w:val="00926CBF"/>
    <w:rsid w:val="00926E47"/>
    <w:rsid w:val="009324AE"/>
    <w:rsid w:val="00935600"/>
    <w:rsid w:val="00945B24"/>
    <w:rsid w:val="00946D3D"/>
    <w:rsid w:val="00946EAC"/>
    <w:rsid w:val="00947162"/>
    <w:rsid w:val="009479C1"/>
    <w:rsid w:val="00953163"/>
    <w:rsid w:val="00953B7B"/>
    <w:rsid w:val="00955C62"/>
    <w:rsid w:val="00955D89"/>
    <w:rsid w:val="00957AF1"/>
    <w:rsid w:val="009601FF"/>
    <w:rsid w:val="0096068B"/>
    <w:rsid w:val="00960D5D"/>
    <w:rsid w:val="009610D0"/>
    <w:rsid w:val="0096375C"/>
    <w:rsid w:val="00964551"/>
    <w:rsid w:val="00965152"/>
    <w:rsid w:val="009662E6"/>
    <w:rsid w:val="0097095E"/>
    <w:rsid w:val="00971DA2"/>
    <w:rsid w:val="00974F7C"/>
    <w:rsid w:val="00980DD8"/>
    <w:rsid w:val="00980F57"/>
    <w:rsid w:val="00982DDC"/>
    <w:rsid w:val="0098592B"/>
    <w:rsid w:val="00985AB9"/>
    <w:rsid w:val="00985FC4"/>
    <w:rsid w:val="00986DFE"/>
    <w:rsid w:val="00987FC0"/>
    <w:rsid w:val="00990766"/>
    <w:rsid w:val="00991261"/>
    <w:rsid w:val="0099198F"/>
    <w:rsid w:val="00991E96"/>
    <w:rsid w:val="00992C68"/>
    <w:rsid w:val="0099366D"/>
    <w:rsid w:val="00993737"/>
    <w:rsid w:val="0099552C"/>
    <w:rsid w:val="00995FA1"/>
    <w:rsid w:val="009964C4"/>
    <w:rsid w:val="00997C00"/>
    <w:rsid w:val="009A31EA"/>
    <w:rsid w:val="009A6B7B"/>
    <w:rsid w:val="009A723A"/>
    <w:rsid w:val="009A7B81"/>
    <w:rsid w:val="009B29EA"/>
    <w:rsid w:val="009C144C"/>
    <w:rsid w:val="009C59B9"/>
    <w:rsid w:val="009D01C0"/>
    <w:rsid w:val="009D0FD7"/>
    <w:rsid w:val="009D3BF3"/>
    <w:rsid w:val="009D6A08"/>
    <w:rsid w:val="009E0A16"/>
    <w:rsid w:val="009E3437"/>
    <w:rsid w:val="009E7970"/>
    <w:rsid w:val="009F2C95"/>
    <w:rsid w:val="009F2EAC"/>
    <w:rsid w:val="009F55EE"/>
    <w:rsid w:val="009F57E3"/>
    <w:rsid w:val="00A00D3D"/>
    <w:rsid w:val="00A07EBB"/>
    <w:rsid w:val="00A10F4F"/>
    <w:rsid w:val="00A11067"/>
    <w:rsid w:val="00A138AB"/>
    <w:rsid w:val="00A1704A"/>
    <w:rsid w:val="00A22EBB"/>
    <w:rsid w:val="00A23E9E"/>
    <w:rsid w:val="00A370D7"/>
    <w:rsid w:val="00A41BB8"/>
    <w:rsid w:val="00A425EB"/>
    <w:rsid w:val="00A433C3"/>
    <w:rsid w:val="00A4488E"/>
    <w:rsid w:val="00A45CB7"/>
    <w:rsid w:val="00A47439"/>
    <w:rsid w:val="00A72F22"/>
    <w:rsid w:val="00A733BC"/>
    <w:rsid w:val="00A7375A"/>
    <w:rsid w:val="00A748A6"/>
    <w:rsid w:val="00A749C1"/>
    <w:rsid w:val="00A76A69"/>
    <w:rsid w:val="00A77623"/>
    <w:rsid w:val="00A77D0C"/>
    <w:rsid w:val="00A80B8D"/>
    <w:rsid w:val="00A824E7"/>
    <w:rsid w:val="00A82A47"/>
    <w:rsid w:val="00A865A7"/>
    <w:rsid w:val="00A879A4"/>
    <w:rsid w:val="00A910B4"/>
    <w:rsid w:val="00A955E7"/>
    <w:rsid w:val="00A96696"/>
    <w:rsid w:val="00A976DD"/>
    <w:rsid w:val="00AA0FF8"/>
    <w:rsid w:val="00AA3567"/>
    <w:rsid w:val="00AB2CE7"/>
    <w:rsid w:val="00AB2D13"/>
    <w:rsid w:val="00AC0F2C"/>
    <w:rsid w:val="00AC24D2"/>
    <w:rsid w:val="00AC502A"/>
    <w:rsid w:val="00AC58F4"/>
    <w:rsid w:val="00AC7298"/>
    <w:rsid w:val="00AC7C33"/>
    <w:rsid w:val="00AD79E9"/>
    <w:rsid w:val="00AE2490"/>
    <w:rsid w:val="00AE622C"/>
    <w:rsid w:val="00AF3A98"/>
    <w:rsid w:val="00AF58C1"/>
    <w:rsid w:val="00B01321"/>
    <w:rsid w:val="00B03E68"/>
    <w:rsid w:val="00B05D2C"/>
    <w:rsid w:val="00B06643"/>
    <w:rsid w:val="00B1269C"/>
    <w:rsid w:val="00B15055"/>
    <w:rsid w:val="00B17FC5"/>
    <w:rsid w:val="00B2175D"/>
    <w:rsid w:val="00B23A4E"/>
    <w:rsid w:val="00B25550"/>
    <w:rsid w:val="00B27044"/>
    <w:rsid w:val="00B30179"/>
    <w:rsid w:val="00B37B15"/>
    <w:rsid w:val="00B4482F"/>
    <w:rsid w:val="00B45C02"/>
    <w:rsid w:val="00B4691D"/>
    <w:rsid w:val="00B55215"/>
    <w:rsid w:val="00B56A74"/>
    <w:rsid w:val="00B609E7"/>
    <w:rsid w:val="00B628EC"/>
    <w:rsid w:val="00B62EEE"/>
    <w:rsid w:val="00B63F27"/>
    <w:rsid w:val="00B70F5A"/>
    <w:rsid w:val="00B71791"/>
    <w:rsid w:val="00B72A1E"/>
    <w:rsid w:val="00B75E02"/>
    <w:rsid w:val="00B80493"/>
    <w:rsid w:val="00B80D50"/>
    <w:rsid w:val="00B81E12"/>
    <w:rsid w:val="00B8509D"/>
    <w:rsid w:val="00B9110C"/>
    <w:rsid w:val="00BA339B"/>
    <w:rsid w:val="00BB1D4F"/>
    <w:rsid w:val="00BB2862"/>
    <w:rsid w:val="00BB3D9E"/>
    <w:rsid w:val="00BB5263"/>
    <w:rsid w:val="00BB6C09"/>
    <w:rsid w:val="00BC1E7E"/>
    <w:rsid w:val="00BC2E45"/>
    <w:rsid w:val="00BC3E26"/>
    <w:rsid w:val="00BC4C12"/>
    <w:rsid w:val="00BC74E9"/>
    <w:rsid w:val="00BD242C"/>
    <w:rsid w:val="00BD5604"/>
    <w:rsid w:val="00BE36A9"/>
    <w:rsid w:val="00BE618E"/>
    <w:rsid w:val="00BE6AD7"/>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0BC"/>
    <w:rsid w:val="00C11B07"/>
    <w:rsid w:val="00C129D5"/>
    <w:rsid w:val="00C131B1"/>
    <w:rsid w:val="00C13F36"/>
    <w:rsid w:val="00C15DC2"/>
    <w:rsid w:val="00C225E4"/>
    <w:rsid w:val="00C250FE"/>
    <w:rsid w:val="00C300F0"/>
    <w:rsid w:val="00C30AAC"/>
    <w:rsid w:val="00C31A6C"/>
    <w:rsid w:val="00C36878"/>
    <w:rsid w:val="00C42610"/>
    <w:rsid w:val="00C443B6"/>
    <w:rsid w:val="00C44BB0"/>
    <w:rsid w:val="00C45BBB"/>
    <w:rsid w:val="00C463DD"/>
    <w:rsid w:val="00C505CD"/>
    <w:rsid w:val="00C60D93"/>
    <w:rsid w:val="00C62A7A"/>
    <w:rsid w:val="00C63842"/>
    <w:rsid w:val="00C70809"/>
    <w:rsid w:val="00C745C3"/>
    <w:rsid w:val="00C76BF5"/>
    <w:rsid w:val="00C805A7"/>
    <w:rsid w:val="00C83923"/>
    <w:rsid w:val="00C9213B"/>
    <w:rsid w:val="00C95794"/>
    <w:rsid w:val="00CA2221"/>
    <w:rsid w:val="00CA24A4"/>
    <w:rsid w:val="00CA3137"/>
    <w:rsid w:val="00CA3AF1"/>
    <w:rsid w:val="00CA41A7"/>
    <w:rsid w:val="00CA44E1"/>
    <w:rsid w:val="00CA6540"/>
    <w:rsid w:val="00CA661A"/>
    <w:rsid w:val="00CA7045"/>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166"/>
    <w:rsid w:val="00CE2428"/>
    <w:rsid w:val="00CE2D0B"/>
    <w:rsid w:val="00CE4A8F"/>
    <w:rsid w:val="00CE52ED"/>
    <w:rsid w:val="00CF071D"/>
    <w:rsid w:val="00CF102B"/>
    <w:rsid w:val="00CF116C"/>
    <w:rsid w:val="00D00745"/>
    <w:rsid w:val="00D03595"/>
    <w:rsid w:val="00D0615C"/>
    <w:rsid w:val="00D10694"/>
    <w:rsid w:val="00D1319A"/>
    <w:rsid w:val="00D15B04"/>
    <w:rsid w:val="00D2031B"/>
    <w:rsid w:val="00D22806"/>
    <w:rsid w:val="00D231B0"/>
    <w:rsid w:val="00D23EAC"/>
    <w:rsid w:val="00D25583"/>
    <w:rsid w:val="00D25EC1"/>
    <w:rsid w:val="00D25FE2"/>
    <w:rsid w:val="00D37DA9"/>
    <w:rsid w:val="00D406A7"/>
    <w:rsid w:val="00D43252"/>
    <w:rsid w:val="00D44D86"/>
    <w:rsid w:val="00D4540B"/>
    <w:rsid w:val="00D50A7A"/>
    <w:rsid w:val="00D50B7D"/>
    <w:rsid w:val="00D52012"/>
    <w:rsid w:val="00D52588"/>
    <w:rsid w:val="00D53D19"/>
    <w:rsid w:val="00D57536"/>
    <w:rsid w:val="00D61C55"/>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0AA"/>
    <w:rsid w:val="00DB0BFD"/>
    <w:rsid w:val="00DB5900"/>
    <w:rsid w:val="00DB66FA"/>
    <w:rsid w:val="00DC18AD"/>
    <w:rsid w:val="00DC1F05"/>
    <w:rsid w:val="00DC2BFF"/>
    <w:rsid w:val="00DC36B8"/>
    <w:rsid w:val="00DC5541"/>
    <w:rsid w:val="00DC584A"/>
    <w:rsid w:val="00DD3FE8"/>
    <w:rsid w:val="00DD6085"/>
    <w:rsid w:val="00DE0CB9"/>
    <w:rsid w:val="00DE178B"/>
    <w:rsid w:val="00DE5105"/>
    <w:rsid w:val="00DF1147"/>
    <w:rsid w:val="00DF1A1E"/>
    <w:rsid w:val="00DF1BE5"/>
    <w:rsid w:val="00DF4518"/>
    <w:rsid w:val="00DF45EB"/>
    <w:rsid w:val="00DF5981"/>
    <w:rsid w:val="00DF6A82"/>
    <w:rsid w:val="00DF7CAE"/>
    <w:rsid w:val="00E02011"/>
    <w:rsid w:val="00E04FFB"/>
    <w:rsid w:val="00E05AE0"/>
    <w:rsid w:val="00E05E6D"/>
    <w:rsid w:val="00E06CCB"/>
    <w:rsid w:val="00E1773B"/>
    <w:rsid w:val="00E26595"/>
    <w:rsid w:val="00E26EAD"/>
    <w:rsid w:val="00E324A0"/>
    <w:rsid w:val="00E37495"/>
    <w:rsid w:val="00E423C0"/>
    <w:rsid w:val="00E45FF4"/>
    <w:rsid w:val="00E50BC6"/>
    <w:rsid w:val="00E53624"/>
    <w:rsid w:val="00E550E7"/>
    <w:rsid w:val="00E57974"/>
    <w:rsid w:val="00E62258"/>
    <w:rsid w:val="00E62965"/>
    <w:rsid w:val="00E63E5A"/>
    <w:rsid w:val="00E6414C"/>
    <w:rsid w:val="00E672F0"/>
    <w:rsid w:val="00E70808"/>
    <w:rsid w:val="00E7260F"/>
    <w:rsid w:val="00E72D79"/>
    <w:rsid w:val="00E80AB5"/>
    <w:rsid w:val="00E813CE"/>
    <w:rsid w:val="00E82C50"/>
    <w:rsid w:val="00E86772"/>
    <w:rsid w:val="00E8702D"/>
    <w:rsid w:val="00E87C7D"/>
    <w:rsid w:val="00E916A9"/>
    <w:rsid w:val="00E916DE"/>
    <w:rsid w:val="00E92857"/>
    <w:rsid w:val="00E9388E"/>
    <w:rsid w:val="00E96630"/>
    <w:rsid w:val="00EA20BE"/>
    <w:rsid w:val="00EA586A"/>
    <w:rsid w:val="00EB38B8"/>
    <w:rsid w:val="00EB5B1B"/>
    <w:rsid w:val="00EC10B9"/>
    <w:rsid w:val="00EC1A07"/>
    <w:rsid w:val="00ED18DC"/>
    <w:rsid w:val="00ED6201"/>
    <w:rsid w:val="00ED7A2A"/>
    <w:rsid w:val="00ED7F40"/>
    <w:rsid w:val="00EE4832"/>
    <w:rsid w:val="00EF1D7F"/>
    <w:rsid w:val="00EF34D0"/>
    <w:rsid w:val="00EF4426"/>
    <w:rsid w:val="00F0060F"/>
    <w:rsid w:val="00F0137E"/>
    <w:rsid w:val="00F0148F"/>
    <w:rsid w:val="00F132D7"/>
    <w:rsid w:val="00F17577"/>
    <w:rsid w:val="00F21786"/>
    <w:rsid w:val="00F237F4"/>
    <w:rsid w:val="00F30B84"/>
    <w:rsid w:val="00F347BC"/>
    <w:rsid w:val="00F3742B"/>
    <w:rsid w:val="00F40CCF"/>
    <w:rsid w:val="00F41E7B"/>
    <w:rsid w:val="00F41FDB"/>
    <w:rsid w:val="00F42082"/>
    <w:rsid w:val="00F463C5"/>
    <w:rsid w:val="00F5337D"/>
    <w:rsid w:val="00F533BE"/>
    <w:rsid w:val="00F5390C"/>
    <w:rsid w:val="00F542ED"/>
    <w:rsid w:val="00F56D63"/>
    <w:rsid w:val="00F60127"/>
    <w:rsid w:val="00F609A9"/>
    <w:rsid w:val="00F6280E"/>
    <w:rsid w:val="00F63A40"/>
    <w:rsid w:val="00F657DB"/>
    <w:rsid w:val="00F72E74"/>
    <w:rsid w:val="00F7472D"/>
    <w:rsid w:val="00F80C99"/>
    <w:rsid w:val="00F867EC"/>
    <w:rsid w:val="00F86EE6"/>
    <w:rsid w:val="00F91B2B"/>
    <w:rsid w:val="00F96CB6"/>
    <w:rsid w:val="00FA28CC"/>
    <w:rsid w:val="00FA3135"/>
    <w:rsid w:val="00FA3269"/>
    <w:rsid w:val="00FB468B"/>
    <w:rsid w:val="00FC03CD"/>
    <w:rsid w:val="00FC0646"/>
    <w:rsid w:val="00FC0826"/>
    <w:rsid w:val="00FC161F"/>
    <w:rsid w:val="00FC2A38"/>
    <w:rsid w:val="00FC2FC6"/>
    <w:rsid w:val="00FC41B0"/>
    <w:rsid w:val="00FC55A7"/>
    <w:rsid w:val="00FC68B7"/>
    <w:rsid w:val="00FD0A90"/>
    <w:rsid w:val="00FD1D23"/>
    <w:rsid w:val="00FD1D35"/>
    <w:rsid w:val="00FD6382"/>
    <w:rsid w:val="00FD6E23"/>
    <w:rsid w:val="00FE58E6"/>
    <w:rsid w:val="00FE6985"/>
    <w:rsid w:val="00FE78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FCD2"/>
  <w15:chartTrackingRefBased/>
  <w15:docId w15:val="{188F9970-4A01-4F10-B4B8-1704B686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uiPriority w:val="99"/>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character" w:styleId="UnresolvedMention">
    <w:name w:val="Unresolved Mention"/>
    <w:basedOn w:val="DefaultParagraphFont"/>
    <w:uiPriority w:val="99"/>
    <w:semiHidden/>
    <w:unhideWhenUsed/>
    <w:rsid w:val="0017134C"/>
    <w:rPr>
      <w:color w:val="605E5C"/>
      <w:shd w:val="clear" w:color="auto" w:fill="E1DFDD"/>
    </w:rPr>
  </w:style>
  <w:style w:type="character" w:styleId="CommentReference">
    <w:name w:val="annotation reference"/>
    <w:basedOn w:val="DefaultParagraphFont"/>
    <w:rsid w:val="008A1502"/>
    <w:rPr>
      <w:sz w:val="16"/>
      <w:szCs w:val="16"/>
    </w:rPr>
  </w:style>
  <w:style w:type="paragraph" w:styleId="CommentText">
    <w:name w:val="annotation text"/>
    <w:basedOn w:val="Normal"/>
    <w:link w:val="CommentTextChar"/>
    <w:rsid w:val="008A1502"/>
  </w:style>
  <w:style w:type="character" w:customStyle="1" w:styleId="CommentTextChar">
    <w:name w:val="Comment Text Char"/>
    <w:basedOn w:val="DefaultParagraphFont"/>
    <w:link w:val="CommentText"/>
    <w:rsid w:val="008A1502"/>
    <w:rPr>
      <w:lang w:val="en-GB"/>
    </w:rPr>
  </w:style>
  <w:style w:type="paragraph" w:styleId="CommentSubject">
    <w:name w:val="annotation subject"/>
    <w:basedOn w:val="CommentText"/>
    <w:next w:val="CommentText"/>
    <w:link w:val="CommentSubjectChar"/>
    <w:semiHidden/>
    <w:unhideWhenUsed/>
    <w:rsid w:val="008A1502"/>
    <w:rPr>
      <w:b/>
      <w:bCs/>
    </w:rPr>
  </w:style>
  <w:style w:type="character" w:customStyle="1" w:styleId="CommentSubjectChar">
    <w:name w:val="Comment Subject Char"/>
    <w:basedOn w:val="CommentTextChar"/>
    <w:link w:val="CommentSubject"/>
    <w:semiHidden/>
    <w:rsid w:val="008A1502"/>
    <w:rPr>
      <w:b/>
      <w:bCs/>
      <w:lang w:val="en-GB"/>
    </w:rPr>
  </w:style>
  <w:style w:type="paragraph" w:styleId="Revision">
    <w:name w:val="Revision"/>
    <w:hidden/>
    <w:uiPriority w:val="99"/>
    <w:semiHidden/>
    <w:rsid w:val="008A150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5679">
      <w:bodyDiv w:val="1"/>
      <w:marLeft w:val="0"/>
      <w:marRight w:val="0"/>
      <w:marTop w:val="0"/>
      <w:marBottom w:val="0"/>
      <w:divBdr>
        <w:top w:val="none" w:sz="0" w:space="0" w:color="auto"/>
        <w:left w:val="none" w:sz="0" w:space="0" w:color="auto"/>
        <w:bottom w:val="none" w:sz="0" w:space="0" w:color="auto"/>
        <w:right w:val="none" w:sz="0" w:space="0" w:color="auto"/>
      </w:divBdr>
    </w:div>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1810439677">
      <w:bodyDiv w:val="1"/>
      <w:marLeft w:val="0"/>
      <w:marRight w:val="0"/>
      <w:marTop w:val="0"/>
      <w:marBottom w:val="0"/>
      <w:divBdr>
        <w:top w:val="none" w:sz="0" w:space="0" w:color="auto"/>
        <w:left w:val="none" w:sz="0" w:space="0" w:color="auto"/>
        <w:bottom w:val="none" w:sz="0" w:space="0" w:color="auto"/>
        <w:right w:val="none" w:sz="0" w:space="0" w:color="auto"/>
      </w:divBdr>
    </w:div>
    <w:div w:id="20762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dds-ny.un.org/doc/UNDOC/GEN/G21/374/76/pdf/G2137476.pdf?OpenElement" TargetMode="External"/><Relationship Id="rId18" Type="http://schemas.openxmlformats.org/officeDocument/2006/relationships/hyperlink" Target="https://documents-dds-ny.un.org/doc/UNDOC/GEN/N16/241/59/PDF/N1624159.pdf?OpenEleme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unece.org/sites/default/files/2021-11/UN-SCEGHS-41-INF05e.pdf" TargetMode="External"/><Relationship Id="rId7" Type="http://schemas.openxmlformats.org/officeDocument/2006/relationships/settings" Target="settings.xml"/><Relationship Id="rId12" Type="http://schemas.openxmlformats.org/officeDocument/2006/relationships/hyperlink" Target="https://unece.org/sites/default/files/2022-05/ECE_TRANS_316e%20new.pdf" TargetMode="External"/><Relationship Id="rId17" Type="http://schemas.openxmlformats.org/officeDocument/2006/relationships/hyperlink" Target="https://documents-dds-ny.un.org/doc/UNDOC/GEN/N21/168/00/PDF/N2116800.pdf?OpenEle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uments-dds-ny.un.org/doc/UNDOC/GEN/N18/235/35/PDF/N1823535.pdf?OpenElement" TargetMode="External"/><Relationship Id="rId20" Type="http://schemas.openxmlformats.org/officeDocument/2006/relationships/hyperlink" Target="https://unece.org/sites/default/files/2021-12/UN-SCETDG-59-INF31r1e_0.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1-05/E_ECE_1494_e_Final.pdf" TargetMode="External"/><Relationship Id="rId24" Type="http://schemas.openxmlformats.org/officeDocument/2006/relationships/hyperlink" Target="https://unece.org/sites/default/files/2022-07/ST-SG-AC.10-C.3-120.e.pdf" TargetMode="External"/><Relationship Id="rId5" Type="http://schemas.openxmlformats.org/officeDocument/2006/relationships/numbering" Target="numbering.xml"/><Relationship Id="rId15" Type="http://schemas.openxmlformats.org/officeDocument/2006/relationships/hyperlink" Target="https://unece.org/sites/default/files/2022-08/ECE-TRANS-WP15-259a1e.pdf" TargetMode="External"/><Relationship Id="rId23" Type="http://schemas.openxmlformats.org/officeDocument/2006/relationships/hyperlink" Target="https://unece.org/sites/default/files/2022-07/UN-SCEGHS-42-INF22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dgs.un.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sites/default/files/2022-06/ECE-TRANS-WP15-258e.pdf" TargetMode="External"/><Relationship Id="rId22" Type="http://schemas.openxmlformats.org/officeDocument/2006/relationships/hyperlink" Target="https://unece.org/sites/default/files/2022-06/UN-SCEGHS-42-INF13e_UN-SCETDG-60-INF17e.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2.xml><?xml version="1.0" encoding="utf-8"?>
<ds:datastoreItem xmlns:ds="http://schemas.openxmlformats.org/officeDocument/2006/customXml" ds:itemID="{6BC78E0E-7F4D-46F4-AFBB-5B9C3DB41CCD}">
  <ds:schemaRefs>
    <ds:schemaRef ds:uri="http://schemas.openxmlformats.org/officeDocument/2006/bibliography"/>
  </ds:schemaRefs>
</ds:datastoreItem>
</file>

<file path=customXml/itemProps3.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B99FB85-EACA-4D1E-904C-280FAFED9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1387</Words>
  <Characters>7911</Characters>
  <Application>Microsoft Office Word</Application>
  <DocSecurity>0</DocSecurity>
  <Lines>65</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INF</vt:lpstr>
      <vt:lpstr>INF</vt:lpstr>
      <vt:lpstr>INF</vt:lpstr>
    </vt:vector>
  </TitlesOfParts>
  <Company>UNECE</Company>
  <LinksUpToDate>false</LinksUpToDate>
  <CharactersWithSpaces>9280</CharactersWithSpaces>
  <SharedDoc>false</SharedDoc>
  <HLinks>
    <vt:vector size="24" baseType="variant">
      <vt:variant>
        <vt:i4>7733360</vt:i4>
      </vt:variant>
      <vt:variant>
        <vt:i4>3</vt:i4>
      </vt:variant>
      <vt:variant>
        <vt:i4>0</vt:i4>
      </vt:variant>
      <vt:variant>
        <vt:i4>5</vt:i4>
      </vt:variant>
      <vt:variant>
        <vt:lpwstr>https://unece.org/info/Transport/Dangerous-Goods/events/364686</vt:lpwstr>
      </vt:variant>
      <vt:variant>
        <vt:lpwstr/>
      </vt:variant>
      <vt:variant>
        <vt:i4>8323097</vt:i4>
      </vt:variant>
      <vt:variant>
        <vt:i4>0</vt:i4>
      </vt:variant>
      <vt:variant>
        <vt:i4>0</vt:i4>
      </vt:variant>
      <vt:variant>
        <vt:i4>5</vt:i4>
      </vt:variant>
      <vt:variant>
        <vt:lpwstr>https://unece.org/sites/default/files/2022-06/ECE-TRANS-WP15-AC1-165a1e_0.pdf</vt:lpwstr>
      </vt:variant>
      <vt:variant>
        <vt:lpwstr/>
      </vt:variant>
      <vt:variant>
        <vt:i4>2490489</vt:i4>
      </vt:variant>
      <vt:variant>
        <vt:i4>3</vt:i4>
      </vt:variant>
      <vt:variant>
        <vt:i4>0</vt:i4>
      </vt:variant>
      <vt:variant>
        <vt:i4>5</vt:i4>
      </vt:variant>
      <vt:variant>
        <vt:lpwstr>https://ungeneva-vc.webex.com/ungeneva-vc/j.php?MTID=m723f3ace2e49f80add71b5a98bf7fdea</vt:lpwstr>
      </vt:variant>
      <vt:variant>
        <vt:lpwstr/>
      </vt:variant>
      <vt:variant>
        <vt:i4>7929981</vt:i4>
      </vt:variant>
      <vt:variant>
        <vt:i4>0</vt:i4>
      </vt:variant>
      <vt:variant>
        <vt:i4>0</vt:i4>
      </vt:variant>
      <vt:variant>
        <vt:i4>5</vt:i4>
      </vt:variant>
      <vt:variant>
        <vt:lpwstr>https://ungeneva-vc.webex.com/ungeneva-vc/j.php?MTID=mfb62453a0a76bc5a3c28ca16885a51a6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6</cp:revision>
  <cp:lastPrinted>2019-09-06T13:58:00Z</cp:lastPrinted>
  <dcterms:created xsi:type="dcterms:W3CDTF">2022-09-05T09:26:00Z</dcterms:created>
  <dcterms:modified xsi:type="dcterms:W3CDTF">2022-09-05T09:28:00Z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