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093086" w14:textId="77777777" w:rsidTr="00387CD4">
        <w:trPr>
          <w:trHeight w:hRule="exact" w:val="851"/>
        </w:trPr>
        <w:tc>
          <w:tcPr>
            <w:tcW w:w="142" w:type="dxa"/>
            <w:tcBorders>
              <w:bottom w:val="single" w:sz="4" w:space="0" w:color="auto"/>
            </w:tcBorders>
          </w:tcPr>
          <w:p w14:paraId="4DFBB5E0" w14:textId="77777777" w:rsidR="002D5AAC" w:rsidRDefault="002D5AAC" w:rsidP="0052737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C7D287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86521E" w14:textId="336F25AE" w:rsidR="002D5AAC" w:rsidRDefault="0052737A" w:rsidP="0052737A">
            <w:pPr>
              <w:jc w:val="right"/>
            </w:pPr>
            <w:r w:rsidRPr="0052737A">
              <w:rPr>
                <w:sz w:val="40"/>
              </w:rPr>
              <w:t>ECE</w:t>
            </w:r>
            <w:r>
              <w:t>/TRANS/WP.15/2022/9</w:t>
            </w:r>
          </w:p>
        </w:tc>
      </w:tr>
      <w:tr w:rsidR="002D5AAC" w:rsidRPr="00EE28AA" w14:paraId="1DD091EA" w14:textId="77777777" w:rsidTr="00387CD4">
        <w:trPr>
          <w:trHeight w:hRule="exact" w:val="2835"/>
        </w:trPr>
        <w:tc>
          <w:tcPr>
            <w:tcW w:w="1280" w:type="dxa"/>
            <w:gridSpan w:val="2"/>
            <w:tcBorders>
              <w:top w:val="single" w:sz="4" w:space="0" w:color="auto"/>
              <w:bottom w:val="single" w:sz="12" w:space="0" w:color="auto"/>
            </w:tcBorders>
          </w:tcPr>
          <w:p w14:paraId="7F97669B" w14:textId="77777777" w:rsidR="002D5AAC" w:rsidRDefault="002E5067" w:rsidP="00387CD4">
            <w:pPr>
              <w:spacing w:before="120"/>
              <w:jc w:val="center"/>
            </w:pPr>
            <w:r>
              <w:rPr>
                <w:noProof/>
                <w:lang w:val="fr-CH" w:eastAsia="fr-CH"/>
              </w:rPr>
              <w:drawing>
                <wp:inline distT="0" distB="0" distL="0" distR="0" wp14:anchorId="32CF62DB" wp14:editId="59104A3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E48580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D43803F" w14:textId="77777777" w:rsidR="002D5AAC" w:rsidRDefault="0052737A" w:rsidP="00387CD4">
            <w:pPr>
              <w:spacing w:before="240"/>
              <w:rPr>
                <w:lang w:val="en-US"/>
              </w:rPr>
            </w:pPr>
            <w:r>
              <w:rPr>
                <w:lang w:val="en-US"/>
              </w:rPr>
              <w:t>Distr.: General</w:t>
            </w:r>
          </w:p>
          <w:p w14:paraId="63619935" w14:textId="77777777" w:rsidR="0052737A" w:rsidRDefault="0052737A" w:rsidP="0052737A">
            <w:pPr>
              <w:spacing w:line="240" w:lineRule="exact"/>
              <w:rPr>
                <w:lang w:val="en-US"/>
              </w:rPr>
            </w:pPr>
            <w:r>
              <w:rPr>
                <w:lang w:val="en-US"/>
              </w:rPr>
              <w:t>19 August 2022</w:t>
            </w:r>
          </w:p>
          <w:p w14:paraId="724022B9" w14:textId="77777777" w:rsidR="0052737A" w:rsidRDefault="0052737A" w:rsidP="0052737A">
            <w:pPr>
              <w:spacing w:line="240" w:lineRule="exact"/>
              <w:rPr>
                <w:lang w:val="en-US"/>
              </w:rPr>
            </w:pPr>
            <w:r>
              <w:rPr>
                <w:lang w:val="en-US"/>
              </w:rPr>
              <w:t>Russian</w:t>
            </w:r>
          </w:p>
          <w:p w14:paraId="6865A0A4" w14:textId="6D5CF123" w:rsidR="0052737A" w:rsidRPr="008D53B6" w:rsidRDefault="0052737A" w:rsidP="0052737A">
            <w:pPr>
              <w:spacing w:line="240" w:lineRule="exact"/>
              <w:rPr>
                <w:lang w:val="en-US"/>
              </w:rPr>
            </w:pPr>
            <w:r>
              <w:rPr>
                <w:lang w:val="en-US"/>
              </w:rPr>
              <w:t>Original: English</w:t>
            </w:r>
          </w:p>
        </w:tc>
      </w:tr>
    </w:tbl>
    <w:p w14:paraId="657A8BC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7E4AE63" w14:textId="77777777" w:rsidR="0052737A" w:rsidRPr="00980775" w:rsidRDefault="0052737A" w:rsidP="0052737A">
      <w:pPr>
        <w:spacing w:before="120"/>
        <w:rPr>
          <w:sz w:val="28"/>
          <w:szCs w:val="28"/>
        </w:rPr>
      </w:pPr>
      <w:r w:rsidRPr="00980775">
        <w:rPr>
          <w:sz w:val="28"/>
          <w:szCs w:val="28"/>
        </w:rPr>
        <w:t>Комитет по внутреннему транспорту</w:t>
      </w:r>
    </w:p>
    <w:p w14:paraId="2B02F970" w14:textId="77777777" w:rsidR="0052737A" w:rsidRPr="00980775" w:rsidRDefault="0052737A" w:rsidP="0052737A">
      <w:pPr>
        <w:spacing w:before="120"/>
        <w:rPr>
          <w:b/>
          <w:sz w:val="24"/>
          <w:szCs w:val="24"/>
        </w:rPr>
      </w:pPr>
      <w:r w:rsidRPr="00980775">
        <w:rPr>
          <w:b/>
          <w:bCs/>
          <w:sz w:val="24"/>
          <w:szCs w:val="24"/>
        </w:rPr>
        <w:t>Рабочая группа по перевозкам опасных грузов</w:t>
      </w:r>
    </w:p>
    <w:p w14:paraId="2C27FFA0" w14:textId="77777777" w:rsidR="0052737A" w:rsidRPr="008332A6" w:rsidRDefault="0052737A" w:rsidP="0052737A">
      <w:pPr>
        <w:spacing w:before="120"/>
        <w:rPr>
          <w:rFonts w:eastAsia="SimSun"/>
          <w:b/>
        </w:rPr>
      </w:pPr>
      <w:r>
        <w:rPr>
          <w:b/>
          <w:bCs/>
        </w:rPr>
        <w:t>Сто двенадцатая сессия</w:t>
      </w:r>
      <w:r>
        <w:t xml:space="preserve"> </w:t>
      </w:r>
    </w:p>
    <w:p w14:paraId="158670F9" w14:textId="77777777" w:rsidR="0052737A" w:rsidRPr="008332A6" w:rsidRDefault="0052737A" w:rsidP="0052737A">
      <w:pPr>
        <w:rPr>
          <w:rFonts w:eastAsia="SimSun"/>
        </w:rPr>
      </w:pPr>
      <w:r>
        <w:t>Женева, 8</w:t>
      </w:r>
      <w:r w:rsidRPr="0052737A">
        <w:t>–</w:t>
      </w:r>
      <w:r>
        <w:t>11 ноября 2022 года</w:t>
      </w:r>
    </w:p>
    <w:p w14:paraId="61A8BDBF" w14:textId="77777777" w:rsidR="0052737A" w:rsidRPr="008332A6" w:rsidRDefault="0052737A" w:rsidP="0052737A">
      <w:pPr>
        <w:autoSpaceDE w:val="0"/>
        <w:autoSpaceDN w:val="0"/>
        <w:adjustRightInd w:val="0"/>
      </w:pPr>
      <w:r>
        <w:t>Пункт 6 предварительной повестки дня</w:t>
      </w:r>
    </w:p>
    <w:p w14:paraId="2184388E" w14:textId="77777777" w:rsidR="0052737A" w:rsidRPr="008332A6" w:rsidRDefault="0052737A" w:rsidP="0052737A">
      <w:pPr>
        <w:rPr>
          <w:b/>
        </w:rPr>
      </w:pPr>
      <w:r>
        <w:rPr>
          <w:b/>
          <w:bCs/>
        </w:rPr>
        <w:t>Толкование ДОПОГ</w:t>
      </w:r>
    </w:p>
    <w:p w14:paraId="687A7633" w14:textId="77777777" w:rsidR="0052737A" w:rsidRPr="008332A6" w:rsidRDefault="0052737A" w:rsidP="0052737A">
      <w:pPr>
        <w:pStyle w:val="HChG"/>
      </w:pPr>
      <w:r>
        <w:tab/>
      </w:r>
      <w:r>
        <w:tab/>
      </w:r>
      <w:r>
        <w:rPr>
          <w:bCs/>
        </w:rPr>
        <w:t>Расчет массы нетто взрывчатых веществ</w:t>
      </w:r>
    </w:p>
    <w:p w14:paraId="3D1581D5" w14:textId="77777777" w:rsidR="0052737A" w:rsidRPr="008332A6" w:rsidRDefault="0052737A" w:rsidP="0052737A">
      <w:pPr>
        <w:pStyle w:val="H1G"/>
        <w:rPr>
          <w:sz w:val="20"/>
        </w:rPr>
      </w:pPr>
      <w:r>
        <w:tab/>
      </w:r>
      <w:r>
        <w:tab/>
      </w:r>
      <w:r>
        <w:rPr>
          <w:bCs/>
        </w:rPr>
        <w:t>Записка секретариата</w:t>
      </w:r>
      <w:r w:rsidRPr="0052737A">
        <w:rPr>
          <w:b w:val="0"/>
          <w:bCs/>
          <w:sz w:val="20"/>
        </w:rPr>
        <w:footnoteReference w:customMarkFollows="1" w:id="1"/>
        <w:sym w:font="Symbol" w:char="F02A"/>
      </w:r>
    </w:p>
    <w:p w14:paraId="7D229327" w14:textId="77777777" w:rsidR="0052737A" w:rsidRPr="008332A6" w:rsidRDefault="0052737A" w:rsidP="0052737A">
      <w:pPr>
        <w:pStyle w:val="HChG"/>
      </w:pPr>
      <w:r>
        <w:tab/>
      </w:r>
      <w:r>
        <w:tab/>
      </w:r>
      <w:r>
        <w:rPr>
          <w:bCs/>
        </w:rPr>
        <w:t>Введение</w:t>
      </w:r>
    </w:p>
    <w:p w14:paraId="32744A03" w14:textId="77777777" w:rsidR="0052737A" w:rsidRPr="008332A6" w:rsidRDefault="0052737A" w:rsidP="0052737A">
      <w:pPr>
        <w:pStyle w:val="SingleTxtG"/>
      </w:pPr>
      <w:r>
        <w:t>1.</w:t>
      </w:r>
      <w:r>
        <w:tab/>
        <w:t>В разделе 1.2.1 ДОПОГ «Масса нетто взрывчатых веществ» определяется как общая масса взрывчатых веществ. В пункте 2.2.1.1.1 отдельно</w:t>
      </w:r>
      <w:r w:rsidRPr="000B3DAB">
        <w:t xml:space="preserve"> </w:t>
      </w:r>
      <w:r>
        <w:t>определяются взрывчатые вещества и пиротехнические вещества.</w:t>
      </w:r>
    </w:p>
    <w:p w14:paraId="32481EE5" w14:textId="03790A64" w:rsidR="0052737A" w:rsidRPr="008332A6" w:rsidRDefault="0052737A" w:rsidP="0052737A">
      <w:pPr>
        <w:pStyle w:val="SingleTxtG"/>
      </w:pPr>
      <w:r>
        <w:t>2.</w:t>
      </w:r>
      <w:r>
        <w:tab/>
        <w:t>На своей последней сессии Рабочая группа по перевозкам опасных грузов обсудила вопрос о том, должно ли при расчете массы нетто взрывчатых веществ учитываться количество пиротехнических веществ. В ДОПОГ масса нетто взрывчатых веществ используется для расчета максимально допустимой массы нетто грузов класса</w:t>
      </w:r>
      <w:r w:rsidR="00DC4024">
        <w:t> </w:t>
      </w:r>
      <w:r>
        <w:t>1, разрешенной на транспортную единицу, в целях определения ограничений проезда через туннели и применения некоторых изъятий. Ряд делегаций подтвердили, что в этих случаях при расчете массы нетто взрывчатых веществ следует учитывать количество пиротехнических веществ.</w:t>
      </w:r>
    </w:p>
    <w:p w14:paraId="13D60DD0" w14:textId="77777777" w:rsidR="0052737A" w:rsidRPr="008332A6" w:rsidRDefault="0052737A" w:rsidP="0052737A">
      <w:pPr>
        <w:pStyle w:val="SingleTxtG"/>
      </w:pPr>
      <w:r>
        <w:t>3.</w:t>
      </w:r>
      <w:r>
        <w:tab/>
        <w:t>Рабочая группа решила, что, возможно, было бы полезно уточнить содержащееся в ДОПОГ определение массы нетто взрывчатых веществ. Было отмечено, что это определение взято из Типовых правил, и было признано необходимым обсудить его в Подкомитете экспертов по перевозке опасных грузов.</w:t>
      </w:r>
    </w:p>
    <w:p w14:paraId="15DC9724" w14:textId="77777777" w:rsidR="0052737A" w:rsidRPr="008332A6" w:rsidRDefault="0052737A" w:rsidP="0052737A">
      <w:pPr>
        <w:pStyle w:val="HChG"/>
      </w:pPr>
      <w:r>
        <w:tab/>
      </w:r>
      <w:r>
        <w:tab/>
      </w:r>
      <w:r>
        <w:rPr>
          <w:bCs/>
        </w:rPr>
        <w:t>Итоги обсуждения в Подкомитете</w:t>
      </w:r>
    </w:p>
    <w:p w14:paraId="4A9F0ADB" w14:textId="2C09C384" w:rsidR="0052737A" w:rsidRPr="008332A6" w:rsidRDefault="0052737A" w:rsidP="0052737A">
      <w:pPr>
        <w:pStyle w:val="SingleTxtG"/>
      </w:pPr>
      <w:r>
        <w:t>4.</w:t>
      </w:r>
      <w:r>
        <w:tab/>
        <w:t>Этот вопрос обсуждался в Рабочей группе по взрывчатым веществам, совещание которой состоялось в ходе шестидесятой сессии Подкомитета (Женева, 27</w:t>
      </w:r>
      <w:r w:rsidR="00DC4024">
        <w:t> </w:t>
      </w:r>
      <w:r>
        <w:t xml:space="preserve">июня </w:t>
      </w:r>
      <w:r w:rsidR="00DC4024" w:rsidRPr="00DC4024">
        <w:t>—</w:t>
      </w:r>
      <w:r>
        <w:t xml:space="preserve"> 6 июля 2022 года). Доклад Рабочей группы по взрывчатым веществам был распространен в качестве неофициального документа INF.44 указанной сессии и размещен на веб-сайте ЕЭК, URL: </w:t>
      </w:r>
      <w:hyperlink r:id="rId8" w:history="1">
        <w:r w:rsidR="00DC4024" w:rsidRPr="008A5AF7">
          <w:rPr>
            <w:rStyle w:val="Hyperlink"/>
          </w:rPr>
          <w:t>https://unece.org/info/Transport/Dangerous-Goods/events/362955</w:t>
        </w:r>
      </w:hyperlink>
      <w:r>
        <w:t xml:space="preserve">. </w:t>
      </w:r>
    </w:p>
    <w:p w14:paraId="52705809" w14:textId="77777777" w:rsidR="0052737A" w:rsidRPr="008332A6" w:rsidRDefault="0052737A" w:rsidP="0052737A">
      <w:pPr>
        <w:pStyle w:val="SingleTxtG"/>
      </w:pPr>
      <w:r>
        <w:lastRenderedPageBreak/>
        <w:t>5.</w:t>
      </w:r>
      <w:r>
        <w:tab/>
        <w:t>Рабочая группа по взрывчатым веществам решила, что</w:t>
      </w:r>
      <w:r w:rsidRPr="00614A81">
        <w:t xml:space="preserve"> </w:t>
      </w:r>
      <w:r>
        <w:t>при расчете массы нетто взрывчатых веществ должно учитываться</w:t>
      </w:r>
      <w:r w:rsidRPr="00614A81">
        <w:t xml:space="preserve"> </w:t>
      </w:r>
      <w:r>
        <w:t>количество пиротехнических веществ. Рабочая группа по взрывчатым веществам также одобрила предложение Швеции изменить определение «пиротехнического вещества» в подразделе 2.1.1.3 Типовых правил (пункт 2.2.1.1.1 в МПОГ/ДОПОГ/ВОПОГ), указав, что пиротехнические вещества являются взрывчатыми веществами (см. неофициальный документ INF.44, приложение II). Однако, отметив, что соответствующий текст также содержится в главе 2.1 СГС, Подкомитет предложил эксперту из Швеции представить это предложение (включая сопутствующие поправки к СГС, если применимо) подкомитетам по ПОГ и СГС для рассмотрения на их следующих сессиях.</w:t>
      </w:r>
    </w:p>
    <w:p w14:paraId="3AEE415D" w14:textId="77777777" w:rsidR="0052737A" w:rsidRPr="008332A6" w:rsidRDefault="0052737A" w:rsidP="0052737A">
      <w:pPr>
        <w:pStyle w:val="HChG"/>
      </w:pPr>
      <w:r>
        <w:tab/>
      </w:r>
      <w:r>
        <w:tab/>
      </w:r>
      <w:r>
        <w:rPr>
          <w:bCs/>
        </w:rPr>
        <w:t>Заключение</w:t>
      </w:r>
    </w:p>
    <w:p w14:paraId="614E5C6F" w14:textId="77777777" w:rsidR="0052737A" w:rsidRPr="008332A6" w:rsidRDefault="0052737A" w:rsidP="0052737A">
      <w:pPr>
        <w:pStyle w:val="SingleTxtG"/>
      </w:pPr>
      <w:r>
        <w:t>6.</w:t>
      </w:r>
      <w:r>
        <w:tab/>
        <w:t>Учитывая вышеизложенное и ожидая принятия дальнейших поправок к Типовым правилам и их переноса в МПОГ/ДОПОГ/ВОПОГ, Рабочая группа, возможно, пожелает подтвердить, что количество пиротехнических веществ должно учитываться при расчете массы нетто взрывчатых веществ, используемой для расчета максимально допустимой массы нетто грузов класса 1, разрешенной на транспортную единицу, в целях определения ограничений проезда через туннели и применения некоторых изъятий, предусмотренных в ДОПОГ.</w:t>
      </w:r>
    </w:p>
    <w:p w14:paraId="163CEB63" w14:textId="77777777" w:rsidR="0052737A" w:rsidRPr="008332A6" w:rsidRDefault="0052737A" w:rsidP="0052737A">
      <w:pPr>
        <w:pStyle w:val="SingleTxtG"/>
      </w:pPr>
      <w:r>
        <w:t>7.</w:t>
      </w:r>
      <w:r>
        <w:tab/>
        <w:t>До тех пор, пока в определение «пиротехнического вещества» в МПОГ/ДОПОГ/ВОПОГ</w:t>
      </w:r>
      <w:r w:rsidRPr="00CC1B5D">
        <w:t xml:space="preserve"> </w:t>
      </w:r>
      <w:r>
        <w:t>не будут внесены изменения,</w:t>
      </w:r>
      <w:r w:rsidRPr="00182D9D">
        <w:t xml:space="preserve"> </w:t>
      </w:r>
      <w:r>
        <w:t>данное толкование может быть опубликовано на специальной странице на веб-сайте ЕЭК.</w:t>
      </w:r>
    </w:p>
    <w:p w14:paraId="3A1EFF5F" w14:textId="77777777" w:rsidR="0052737A" w:rsidRPr="008332A6" w:rsidRDefault="0052737A" w:rsidP="0052737A">
      <w:pPr>
        <w:spacing w:before="240"/>
        <w:jc w:val="center"/>
        <w:rPr>
          <w:u w:val="single"/>
        </w:rPr>
      </w:pPr>
      <w:r w:rsidRPr="008332A6">
        <w:rPr>
          <w:u w:val="single"/>
        </w:rPr>
        <w:tab/>
      </w:r>
      <w:r w:rsidRPr="008332A6">
        <w:rPr>
          <w:u w:val="single"/>
        </w:rPr>
        <w:tab/>
      </w:r>
      <w:r w:rsidRPr="008332A6">
        <w:rPr>
          <w:u w:val="single"/>
        </w:rPr>
        <w:tab/>
      </w:r>
    </w:p>
    <w:sectPr w:rsidR="0052737A" w:rsidRPr="008332A6" w:rsidSect="0052737A">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BE0E" w14:textId="77777777" w:rsidR="00767F86" w:rsidRPr="00A312BC" w:rsidRDefault="00767F86" w:rsidP="00A312BC"/>
  </w:endnote>
  <w:endnote w:type="continuationSeparator" w:id="0">
    <w:p w14:paraId="08F83E42" w14:textId="77777777" w:rsidR="00767F86" w:rsidRPr="00A312BC" w:rsidRDefault="00767F8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3309" w14:textId="6B3820CA" w:rsidR="0052737A" w:rsidRPr="0052737A" w:rsidRDefault="0052737A">
    <w:pPr>
      <w:pStyle w:val="Footer"/>
    </w:pPr>
    <w:r w:rsidRPr="0052737A">
      <w:rPr>
        <w:b/>
        <w:sz w:val="18"/>
      </w:rPr>
      <w:fldChar w:fldCharType="begin"/>
    </w:r>
    <w:r w:rsidRPr="0052737A">
      <w:rPr>
        <w:b/>
        <w:sz w:val="18"/>
      </w:rPr>
      <w:instrText xml:space="preserve"> PAGE  \* MERGEFORMAT </w:instrText>
    </w:r>
    <w:r w:rsidRPr="0052737A">
      <w:rPr>
        <w:b/>
        <w:sz w:val="18"/>
      </w:rPr>
      <w:fldChar w:fldCharType="separate"/>
    </w:r>
    <w:r w:rsidRPr="0052737A">
      <w:rPr>
        <w:b/>
        <w:noProof/>
        <w:sz w:val="18"/>
      </w:rPr>
      <w:t>2</w:t>
    </w:r>
    <w:r w:rsidRPr="0052737A">
      <w:rPr>
        <w:b/>
        <w:sz w:val="18"/>
      </w:rPr>
      <w:fldChar w:fldCharType="end"/>
    </w:r>
    <w:r>
      <w:rPr>
        <w:b/>
        <w:sz w:val="18"/>
      </w:rPr>
      <w:tab/>
    </w:r>
    <w:r>
      <w:t>GE.22-12952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F83D" w14:textId="284B709F" w:rsidR="0052737A" w:rsidRPr="0052737A" w:rsidRDefault="0052737A" w:rsidP="0052737A">
    <w:pPr>
      <w:pStyle w:val="Footer"/>
      <w:tabs>
        <w:tab w:val="clear" w:pos="9639"/>
        <w:tab w:val="right" w:pos="9638"/>
      </w:tabs>
      <w:rPr>
        <w:b/>
        <w:sz w:val="18"/>
      </w:rPr>
    </w:pPr>
    <w:r>
      <w:t>GE.22-1295</w:t>
    </w:r>
    <w:r>
      <w:tab/>
    </w:r>
    <w:r w:rsidRPr="0052737A">
      <w:rPr>
        <w:b/>
        <w:sz w:val="18"/>
      </w:rPr>
      <w:fldChar w:fldCharType="begin"/>
    </w:r>
    <w:r w:rsidRPr="0052737A">
      <w:rPr>
        <w:b/>
        <w:sz w:val="18"/>
      </w:rPr>
      <w:instrText xml:space="preserve"> PAGE  \* MERGEFORMAT </w:instrText>
    </w:r>
    <w:r w:rsidRPr="0052737A">
      <w:rPr>
        <w:b/>
        <w:sz w:val="18"/>
      </w:rPr>
      <w:fldChar w:fldCharType="separate"/>
    </w:r>
    <w:r w:rsidRPr="0052737A">
      <w:rPr>
        <w:b/>
        <w:noProof/>
        <w:sz w:val="18"/>
      </w:rPr>
      <w:t>3</w:t>
    </w:r>
    <w:r w:rsidRPr="005273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F059" w14:textId="1664BE05" w:rsidR="00042B72" w:rsidRPr="0052737A" w:rsidRDefault="0052737A" w:rsidP="0052737A">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4D47F5C" wp14:editId="55E42F9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w:t>
    </w:r>
    <w:proofErr w:type="gramStart"/>
    <w:r>
      <w:t>1295</w:t>
    </w:r>
    <w:r>
      <w:rPr>
        <w:lang w:val="en-US"/>
      </w:rPr>
      <w:t>2</w:t>
    </w:r>
    <w:r>
      <w:t xml:space="preserve">  (</w:t>
    </w:r>
    <w:proofErr w:type="gramEnd"/>
    <w:r>
      <w:t>R)</w:t>
    </w:r>
    <w:r>
      <w:rPr>
        <w:noProof/>
      </w:rPr>
      <w:drawing>
        <wp:anchor distT="0" distB="0" distL="114300" distR="114300" simplePos="0" relativeHeight="251659264" behindDoc="0" locked="0" layoutInCell="1" allowOverlap="1" wp14:anchorId="555BC9A2" wp14:editId="0B34253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230822  290822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309D" w14:textId="77777777" w:rsidR="00767F86" w:rsidRPr="001075E9" w:rsidRDefault="00767F86" w:rsidP="001075E9">
      <w:pPr>
        <w:tabs>
          <w:tab w:val="right" w:pos="2155"/>
        </w:tabs>
        <w:spacing w:after="80" w:line="240" w:lineRule="auto"/>
        <w:ind w:left="680"/>
        <w:rPr>
          <w:u w:val="single"/>
        </w:rPr>
      </w:pPr>
      <w:r>
        <w:rPr>
          <w:u w:val="single"/>
        </w:rPr>
        <w:tab/>
      </w:r>
    </w:p>
  </w:footnote>
  <w:footnote w:type="continuationSeparator" w:id="0">
    <w:p w14:paraId="44E8A74B" w14:textId="77777777" w:rsidR="00767F86" w:rsidRDefault="00767F86" w:rsidP="00407B78">
      <w:pPr>
        <w:tabs>
          <w:tab w:val="right" w:pos="2155"/>
        </w:tabs>
        <w:spacing w:after="80"/>
        <w:ind w:left="680"/>
        <w:rPr>
          <w:u w:val="single"/>
        </w:rPr>
      </w:pPr>
      <w:r>
        <w:rPr>
          <w:u w:val="single"/>
        </w:rPr>
        <w:tab/>
      </w:r>
    </w:p>
  </w:footnote>
  <w:footnote w:id="1">
    <w:p w14:paraId="5237A126" w14:textId="77777777" w:rsidR="0052737A" w:rsidRDefault="0052737A" w:rsidP="0052737A">
      <w:pPr>
        <w:pStyle w:val="FootnoteText"/>
        <w:tabs>
          <w:tab w:val="left" w:pos="720"/>
        </w:tabs>
        <w:ind w:left="1418" w:right="1260" w:hanging="284"/>
        <w:jc w:val="both"/>
      </w:pPr>
      <w:r w:rsidRPr="0052737A">
        <w:rPr>
          <w:rStyle w:val="FootnoteReference"/>
          <w:sz w:val="20"/>
          <w:vertAlign w:val="baseline"/>
        </w:rPr>
        <w:sym w:font="Symbol" w:char="F02A"/>
      </w:r>
      <w:r>
        <w:tab/>
        <w:t>A/76/6 (разд. 20), п.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CB59" w14:textId="2CB849E3" w:rsidR="0052737A" w:rsidRPr="0052737A" w:rsidRDefault="00EE28AA">
    <w:pPr>
      <w:pStyle w:val="Header"/>
    </w:pPr>
    <w:r>
      <w:fldChar w:fldCharType="begin"/>
    </w:r>
    <w:r>
      <w:instrText xml:space="preserve"> TITLE  \* MERGEFORMAT </w:instrText>
    </w:r>
    <w:r>
      <w:fldChar w:fldCharType="separate"/>
    </w:r>
    <w:r w:rsidR="000C3005">
      <w:t>ECE/TRANS/WP.15/2022/9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1A52" w14:textId="10508888" w:rsidR="0052737A" w:rsidRPr="0052737A" w:rsidRDefault="00EE28AA" w:rsidP="0052737A">
    <w:pPr>
      <w:pStyle w:val="Header"/>
      <w:jc w:val="right"/>
    </w:pPr>
    <w:fldSimple w:instr=" TITLE  \* MERGEFORMAT ">
      <w:r w:rsidR="000C3005">
        <w:t>ECE/TRANS/WP.15/2022/9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54"/>
    <w:rsid w:val="00033EE1"/>
    <w:rsid w:val="00042B72"/>
    <w:rsid w:val="000558BD"/>
    <w:rsid w:val="000B57E7"/>
    <w:rsid w:val="000B6373"/>
    <w:rsid w:val="000C3005"/>
    <w:rsid w:val="000E4E5B"/>
    <w:rsid w:val="000F09DF"/>
    <w:rsid w:val="000F61B2"/>
    <w:rsid w:val="001075E9"/>
    <w:rsid w:val="0014152F"/>
    <w:rsid w:val="00155C7B"/>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7254"/>
    <w:rsid w:val="003402C2"/>
    <w:rsid w:val="00362C7F"/>
    <w:rsid w:val="00381C24"/>
    <w:rsid w:val="00387CD4"/>
    <w:rsid w:val="003958D0"/>
    <w:rsid w:val="003A0D43"/>
    <w:rsid w:val="003A48CE"/>
    <w:rsid w:val="003B00E5"/>
    <w:rsid w:val="003E0B46"/>
    <w:rsid w:val="00407B78"/>
    <w:rsid w:val="00424203"/>
    <w:rsid w:val="00452493"/>
    <w:rsid w:val="00453318"/>
    <w:rsid w:val="00454AF2"/>
    <w:rsid w:val="00454E07"/>
    <w:rsid w:val="00471412"/>
    <w:rsid w:val="00472C5C"/>
    <w:rsid w:val="00485F8A"/>
    <w:rsid w:val="004E05B7"/>
    <w:rsid w:val="0050108D"/>
    <w:rsid w:val="00513081"/>
    <w:rsid w:val="00517901"/>
    <w:rsid w:val="00526683"/>
    <w:rsid w:val="00526DB8"/>
    <w:rsid w:val="0052737A"/>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7F86"/>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C4024"/>
    <w:rsid w:val="00DD78D1"/>
    <w:rsid w:val="00DE32CD"/>
    <w:rsid w:val="00DF5767"/>
    <w:rsid w:val="00DF71B9"/>
    <w:rsid w:val="00E12C5F"/>
    <w:rsid w:val="00E73F76"/>
    <w:rsid w:val="00EA2C9F"/>
    <w:rsid w:val="00EA420E"/>
    <w:rsid w:val="00ED0BDA"/>
    <w:rsid w:val="00EE142A"/>
    <w:rsid w:val="00EE28A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66653"/>
  <w15:docId w15:val="{A064F9DD-1823-468C-BED3-69AF03C2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locked/>
    <w:rsid w:val="0052737A"/>
    <w:rPr>
      <w:lang w:val="ru-RU" w:eastAsia="en-US"/>
    </w:rPr>
  </w:style>
  <w:style w:type="paragraph" w:customStyle="1" w:styleId="ParNoG">
    <w:name w:val="_ParNo_G"/>
    <w:basedOn w:val="SingleTxtG"/>
    <w:qFormat/>
    <w:rsid w:val="0052737A"/>
    <w:pPr>
      <w:numPr>
        <w:numId w:val="22"/>
      </w:numPr>
      <w:tabs>
        <w:tab w:val="clear" w:pos="2268"/>
        <w:tab w:val="clear" w:pos="2835"/>
      </w:tabs>
      <w:suppressAutoHyphens w:val="0"/>
    </w:pPr>
    <w:rPr>
      <w:lang w:val="en-GB" w:eastAsia="fr-FR"/>
    </w:rPr>
  </w:style>
  <w:style w:type="character" w:customStyle="1" w:styleId="HChGChar">
    <w:name w:val="_ H _Ch_G Char"/>
    <w:link w:val="HChG"/>
    <w:qFormat/>
    <w:rsid w:val="0052737A"/>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info/Transport/Dangerous-Goods/events/36295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E3DACDB-10E5-47F3-BF06-685093B408A8}"/>
</file>

<file path=customXml/itemProps2.xml><?xml version="1.0" encoding="utf-8"?>
<ds:datastoreItem xmlns:ds="http://schemas.openxmlformats.org/officeDocument/2006/customXml" ds:itemID="{603D8EFC-D582-4CA9-A686-E946B09570D6}"/>
</file>

<file path=customXml/itemProps3.xml><?xml version="1.0" encoding="utf-8"?>
<ds:datastoreItem xmlns:ds="http://schemas.openxmlformats.org/officeDocument/2006/customXml" ds:itemID="{F961CCC3-3310-4624-8906-00231762DF5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2940</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ECE/TRANS/WP.15/2022/9</vt:lpstr>
      <vt:lpstr>A/</vt:lpstr>
      <vt:lpstr>A/</vt:lpstr>
    </vt:vector>
  </TitlesOfParts>
  <Company>DCM</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ECE/TRANS/WP.15/2022/9</dc:title>
  <dc:subject/>
  <dc:creator>Tatiana CHVETS</dc:creator>
  <cp:keywords/>
  <cp:lastModifiedBy>Laurence Berthet</cp:lastModifiedBy>
  <cp:revision>3</cp:revision>
  <cp:lastPrinted>2022-09-15T12:33:00Z</cp:lastPrinted>
  <dcterms:created xsi:type="dcterms:W3CDTF">2022-09-15T12:32:00Z</dcterms:created>
  <dcterms:modified xsi:type="dcterms:W3CDTF">2022-09-15T12:33:00Z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