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7C2DA8A7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D649C5"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33318" w14:paraId="74D9CA9D" w14:textId="77777777" w:rsidTr="00712AA7">
        <w:trPr>
          <w:cantSplit/>
          <w:trHeight w:hRule="exact" w:val="4264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3F56F5D5" w:rsidR="00712AA7" w:rsidRPr="00613E78" w:rsidRDefault="00712AA7" w:rsidP="00712AA7">
            <w:r w:rsidRPr="00613E78">
              <w:t xml:space="preserve">Item </w:t>
            </w:r>
            <w:r>
              <w:t>3 (</w:t>
            </w:r>
            <w:r w:rsidR="00703FB8">
              <w:t>c</w:t>
            </w:r>
            <w:r>
              <w:t>)</w:t>
            </w:r>
            <w:r w:rsidRPr="00613E78">
              <w:t xml:space="preserve"> of the provisional agenda</w:t>
            </w:r>
          </w:p>
          <w:p w14:paraId="4FE8BE95" w14:textId="16B26764" w:rsidR="00712AA7" w:rsidRPr="009D5615" w:rsidRDefault="00712AA7" w:rsidP="00712AA7">
            <w:pPr>
              <w:rPr>
                <w:b/>
              </w:rPr>
            </w:pPr>
            <w:r w:rsidRPr="009D5615">
              <w:rPr>
                <w:b/>
              </w:rPr>
              <w:t xml:space="preserve">Implementation of the European Agreement concerning the </w:t>
            </w:r>
            <w:r>
              <w:rPr>
                <w:b/>
              </w:rPr>
              <w:br/>
            </w:r>
            <w:r w:rsidRPr="009D5615">
              <w:rPr>
                <w:b/>
              </w:rPr>
              <w:t>International Carriage of</w:t>
            </w:r>
          </w:p>
          <w:p w14:paraId="2EE43A43" w14:textId="77777777" w:rsidR="00712AA7" w:rsidRPr="00613E78" w:rsidRDefault="00712AA7" w:rsidP="00712AA7">
            <w:pPr>
              <w:rPr>
                <w:b/>
              </w:rPr>
            </w:pPr>
            <w:r w:rsidRPr="009D5615">
              <w:rPr>
                <w:b/>
              </w:rPr>
              <w:t>Dangerous Goods by Inland Waterways (ADN)</w:t>
            </w:r>
            <w:r>
              <w:rPr>
                <w:b/>
              </w:rPr>
              <w:t>:</w:t>
            </w:r>
          </w:p>
          <w:p w14:paraId="74D9CA98" w14:textId="6D24CF68" w:rsidR="00133318" w:rsidRPr="00F06F0E" w:rsidRDefault="00F06F0E" w:rsidP="00EE2FC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i</w:t>
            </w:r>
            <w:r w:rsidRPr="00F06F0E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25249FEE" w:rsidR="00133318" w:rsidRDefault="00D649C5" w:rsidP="00B8064E">
            <w:pPr>
              <w:spacing w:line="240" w:lineRule="exact"/>
            </w:pPr>
            <w:r>
              <w:t>17</w:t>
            </w:r>
            <w:r w:rsidR="00133318">
              <w:t xml:space="preserve"> </w:t>
            </w:r>
            <w:r>
              <w:t>August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6A5EA21A" w14:textId="7A361CD4" w:rsidR="0003223E" w:rsidRPr="00701F90" w:rsidRDefault="0003223E" w:rsidP="0003223E">
      <w:pPr>
        <w:pStyle w:val="HCh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701F90">
        <w:rPr>
          <w:lang w:val="de-DE"/>
        </w:rPr>
        <w:t>Transport von Kohlendioxid (CO</w:t>
      </w:r>
      <w:r w:rsidRPr="00701F90">
        <w:rPr>
          <w:vertAlign w:val="subscript"/>
          <w:lang w:val="de-DE"/>
        </w:rPr>
        <w:t>2</w:t>
      </w:r>
      <w:r w:rsidRPr="00701F90">
        <w:rPr>
          <w:lang w:val="de-DE"/>
        </w:rPr>
        <w:t xml:space="preserve"> ), tiefgekühlt, flüssig</w:t>
      </w:r>
    </w:p>
    <w:p w14:paraId="4B7DAF8A" w14:textId="1CEDF542" w:rsidR="0003223E" w:rsidRDefault="0003223E" w:rsidP="000322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0E58EB">
        <w:rPr>
          <w:b/>
        </w:rPr>
        <w:t>Referenzdokumente</w:t>
      </w:r>
      <w:proofErr w:type="spellEnd"/>
      <w:r w:rsidRPr="000E58EB">
        <w:rPr>
          <w:b/>
        </w:rPr>
        <w:t>:</w:t>
      </w:r>
    </w:p>
    <w:p w14:paraId="67E783E2" w14:textId="77777777" w:rsidR="0003223E" w:rsidRPr="000E665A" w:rsidRDefault="0003223E" w:rsidP="0003223E">
      <w:pPr>
        <w:jc w:val="both"/>
        <w:rPr>
          <w:b/>
        </w:rPr>
      </w:pPr>
    </w:p>
    <w:p w14:paraId="2FC410C8" w14:textId="77777777" w:rsidR="0003223E" w:rsidRPr="002247B2" w:rsidRDefault="0003223E" w:rsidP="0003223E">
      <w:pPr>
        <w:pStyle w:val="ListParagraph"/>
        <w:numPr>
          <w:ilvl w:val="0"/>
          <w:numId w:val="21"/>
        </w:numPr>
        <w:ind w:left="1701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 w:rsidRPr="002247B2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INF.12 Bericht der informellen Arbeitsgruppe „Stoffe“, Abschnitt P., Punkt 64-66, englische Version;</w:t>
      </w:r>
    </w:p>
    <w:p w14:paraId="0FC4A5B8" w14:textId="77777777" w:rsidR="0003223E" w:rsidRPr="00701F90" w:rsidRDefault="0003223E" w:rsidP="0003223E">
      <w:pPr>
        <w:pStyle w:val="ListParagraph"/>
        <w:numPr>
          <w:ilvl w:val="0"/>
          <w:numId w:val="21"/>
        </w:numPr>
        <w:ind w:left="1701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 w:rsidRPr="00701F90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INF.6 der 39. Tagung (einschließlich der Tabelle des "Tripelpunkts“ von Kohlendioxid), Januar 2022;</w:t>
      </w: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 </w:t>
      </w:r>
    </w:p>
    <w:p w14:paraId="06164E40" w14:textId="77777777" w:rsidR="0003223E" w:rsidRPr="000E665A" w:rsidRDefault="0003223E" w:rsidP="0003223E">
      <w:pPr>
        <w:pStyle w:val="ListParagraph"/>
        <w:numPr>
          <w:ilvl w:val="0"/>
          <w:numId w:val="21"/>
        </w:numPr>
        <w:ind w:left="1701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01F90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Arbeitsdokument ECE/TRANS/WP.15/AC.2/2022/15 der 39. </w:t>
      </w:r>
      <w:proofErr w:type="spellStart"/>
      <w:r w:rsidRPr="00701F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Tagung</w:t>
      </w:r>
      <w:proofErr w:type="spellEnd"/>
      <w:r w:rsidRPr="00701F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701F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Januar</w:t>
      </w:r>
      <w:proofErr w:type="spellEnd"/>
      <w:r w:rsidRPr="00701F9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2022.</w:t>
      </w:r>
    </w:p>
    <w:p w14:paraId="20C4AEE4" w14:textId="77777777" w:rsidR="0003223E" w:rsidRDefault="0003223E" w:rsidP="0003223E">
      <w:pPr>
        <w:pStyle w:val="SingleTxtG"/>
        <w:rPr>
          <w:lang w:val="de-DE"/>
        </w:rPr>
      </w:pPr>
      <w:r w:rsidRPr="00701F90">
        <w:rPr>
          <w:lang w:val="de-DE"/>
        </w:rPr>
        <w:t>Unter Bezugnahme auf die oben genannten Dokumente, die im ADN-Sicherheitsausschuss sowie in der letzten Sitzung der informellen Arbeitsgruppe „Stoffe“ (INF.12 - Berichtspunkt 64-66) geführten Diskussionen bezüglich des Transports von Kohlendioxid möchte</w:t>
      </w:r>
      <w:r>
        <w:rPr>
          <w:lang w:val="de-DE"/>
        </w:rPr>
        <w:t>n</w:t>
      </w:r>
      <w:r w:rsidRPr="00701F90">
        <w:rPr>
          <w:lang w:val="de-DE"/>
        </w:rPr>
        <w:t xml:space="preserve"> EBU/ESO die folgenden zwei Änderungen für das ADN vorschlagen (die Anpassungen sind </w:t>
      </w:r>
      <w:r w:rsidRPr="002A691C">
        <w:rPr>
          <w:b/>
          <w:i/>
          <w:iCs/>
          <w:lang w:val="de-DE"/>
        </w:rPr>
        <w:t>fett gedruckt</w:t>
      </w:r>
      <w:r w:rsidRPr="002A691C">
        <w:rPr>
          <w:i/>
          <w:iCs/>
          <w:lang w:val="de-DE"/>
        </w:rPr>
        <w:t xml:space="preserve"> </w:t>
      </w:r>
      <w:r w:rsidRPr="002A691C">
        <w:rPr>
          <w:b/>
          <w:i/>
          <w:iCs/>
          <w:lang w:val="de-DE"/>
        </w:rPr>
        <w:t xml:space="preserve">und </w:t>
      </w:r>
      <w:r w:rsidRPr="002247B2">
        <w:rPr>
          <w:b/>
          <w:i/>
          <w:iCs/>
          <w:u w:val="single"/>
          <w:lang w:val="de-DE"/>
        </w:rPr>
        <w:t>unterstrichen</w:t>
      </w:r>
      <w:r w:rsidRPr="002247B2">
        <w:rPr>
          <w:u w:val="single"/>
          <w:lang w:val="de-DE"/>
        </w:rPr>
        <w:t>)</w:t>
      </w:r>
      <w:r w:rsidRPr="00701F90">
        <w:rPr>
          <w:lang w:val="de-DE"/>
        </w:rPr>
        <w:t>:</w:t>
      </w:r>
    </w:p>
    <w:p w14:paraId="347618CD" w14:textId="77777777" w:rsidR="0003223E" w:rsidRPr="00701F90" w:rsidRDefault="0003223E" w:rsidP="0003223E">
      <w:pPr>
        <w:pStyle w:val="SingleTxtG"/>
        <w:rPr>
          <w:lang w:val="de-DE"/>
        </w:rPr>
      </w:pPr>
    </w:p>
    <w:p w14:paraId="31A23E40" w14:textId="77777777" w:rsidR="0003223E" w:rsidRPr="002A691C" w:rsidRDefault="0003223E" w:rsidP="0003223E">
      <w:pPr>
        <w:pStyle w:val="SingleTxtG"/>
        <w:rPr>
          <w:lang w:val="de-DE"/>
        </w:rPr>
      </w:pPr>
      <w:r w:rsidRPr="002A691C">
        <w:rPr>
          <w:lang w:val="de-DE"/>
        </w:rPr>
        <w:t>1) Hinzufügen der Fußnote 42 für die Position von UN 2187 in Spalte 20, Tabelle C:</w:t>
      </w:r>
    </w:p>
    <w:tbl>
      <w:tblPr>
        <w:tblW w:w="9072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84"/>
        <w:gridCol w:w="567"/>
        <w:gridCol w:w="76"/>
        <w:gridCol w:w="350"/>
        <w:gridCol w:w="284"/>
        <w:gridCol w:w="141"/>
        <w:gridCol w:w="142"/>
        <w:gridCol w:w="142"/>
        <w:gridCol w:w="142"/>
        <w:gridCol w:w="283"/>
        <w:gridCol w:w="284"/>
        <w:gridCol w:w="567"/>
        <w:gridCol w:w="425"/>
        <w:gridCol w:w="283"/>
        <w:gridCol w:w="142"/>
        <w:gridCol w:w="566"/>
        <w:gridCol w:w="425"/>
        <w:gridCol w:w="142"/>
        <w:gridCol w:w="1417"/>
      </w:tblGrid>
      <w:tr w:rsidR="0003223E" w:rsidRPr="00731557" w14:paraId="183FC27A" w14:textId="77777777" w:rsidTr="00415A7D">
        <w:trPr>
          <w:cantSplit/>
          <w:trHeight w:val="1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E58E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2187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5D4A" w14:textId="77777777" w:rsidR="0003223E" w:rsidRPr="00996DCC" w:rsidRDefault="0003223E" w:rsidP="00415A7D">
            <w:pPr>
              <w:rPr>
                <w:bCs/>
              </w:rPr>
            </w:pPr>
            <w:r>
              <w:rPr>
                <w:bCs/>
              </w:rPr>
              <w:t>KOHLENSTOFF</w:t>
            </w:r>
            <w:r w:rsidRPr="00731557">
              <w:rPr>
                <w:bCs/>
              </w:rPr>
              <w:t xml:space="preserve">, </w:t>
            </w:r>
            <w:r>
              <w:rPr>
                <w:bCs/>
              </w:rPr>
              <w:t>TIEFGEKÜHLT,</w:t>
            </w:r>
            <w:r w:rsidRPr="00731557">
              <w:rPr>
                <w:bCs/>
              </w:rPr>
              <w:t xml:space="preserve"> </w:t>
            </w:r>
            <w:r>
              <w:rPr>
                <w:bCs/>
              </w:rPr>
              <w:t>FLÜSSIG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BE85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B79A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3A</w:t>
            </w:r>
          </w:p>
        </w:tc>
        <w:tc>
          <w:tcPr>
            <w:tcW w:w="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6D21" w14:textId="77777777" w:rsidR="0003223E" w:rsidRPr="00996DCC" w:rsidRDefault="0003223E" w:rsidP="00415A7D">
            <w:pPr>
              <w:rPr>
                <w:bCs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4907131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2.2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3559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G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7B49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532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BBA8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1CD5" w14:textId="77777777" w:rsidR="0003223E" w:rsidRPr="00996DCC" w:rsidRDefault="0003223E" w:rsidP="00415A7D">
            <w:pPr>
              <w:rPr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FA82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32FB" w14:textId="77777777" w:rsidR="0003223E" w:rsidRPr="00996DCC" w:rsidRDefault="0003223E" w:rsidP="00415A7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9449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8AD5" w14:textId="77777777" w:rsidR="0003223E" w:rsidRPr="00996DCC" w:rsidRDefault="0003223E" w:rsidP="00415A7D">
            <w:pPr>
              <w:rPr>
                <w:bCs/>
              </w:rPr>
            </w:pPr>
            <w:proofErr w:type="spellStart"/>
            <w:r>
              <w:rPr>
                <w:bCs/>
              </w:rPr>
              <w:t>ja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172C" w14:textId="77777777" w:rsidR="0003223E" w:rsidRPr="00996DCC" w:rsidRDefault="0003223E" w:rsidP="00415A7D">
            <w:pPr>
              <w:rPr>
                <w:bCs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CE53" w14:textId="77777777" w:rsidR="0003223E" w:rsidRPr="00996DCC" w:rsidRDefault="0003223E" w:rsidP="00415A7D">
            <w:pPr>
              <w:rPr>
                <w:bCs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9BD" w14:textId="77777777" w:rsidR="0003223E" w:rsidRPr="00996DCC" w:rsidRDefault="0003223E" w:rsidP="00415A7D">
            <w:pPr>
              <w:rPr>
                <w:bCs/>
              </w:rPr>
            </w:pPr>
            <w:proofErr w:type="spellStart"/>
            <w:r>
              <w:rPr>
                <w:bCs/>
              </w:rPr>
              <w:t>nein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6B5B" w14:textId="77777777" w:rsidR="0003223E" w:rsidRPr="00996DCC" w:rsidRDefault="0003223E" w:rsidP="00415A7D">
            <w:pPr>
              <w:rPr>
                <w:bCs/>
              </w:rPr>
            </w:pPr>
            <w:r>
              <w:rPr>
                <w:bCs/>
              </w:rPr>
              <w:t>PP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57C7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3F56" w14:textId="77777777" w:rsidR="0003223E" w:rsidRPr="00996DCC" w:rsidRDefault="0003223E" w:rsidP="00415A7D">
            <w:pPr>
              <w:rPr>
                <w:bCs/>
              </w:rPr>
            </w:pPr>
            <w:r w:rsidRPr="00731557">
              <w:rPr>
                <w:bCs/>
              </w:rPr>
              <w:t xml:space="preserve">31,39, </w:t>
            </w:r>
            <w:r w:rsidRPr="000E58EB">
              <w:rPr>
                <w:b/>
                <w:i/>
                <w:iCs/>
                <w:sz w:val="24"/>
                <w:szCs w:val="24"/>
                <w:u w:val="single"/>
              </w:rPr>
              <w:t>42</w:t>
            </w:r>
          </w:p>
        </w:tc>
      </w:tr>
    </w:tbl>
    <w:p w14:paraId="61147C17" w14:textId="77777777" w:rsidR="0003223E" w:rsidRPr="00731557" w:rsidRDefault="0003223E" w:rsidP="0003223E">
      <w:pPr>
        <w:rPr>
          <w:bCs/>
        </w:rPr>
      </w:pPr>
    </w:p>
    <w:p w14:paraId="69E959EA" w14:textId="77777777" w:rsidR="0003223E" w:rsidRPr="002A691C" w:rsidRDefault="0003223E" w:rsidP="0003223E">
      <w:pPr>
        <w:pStyle w:val="SingleTxtG"/>
        <w:rPr>
          <w:lang w:val="de-DE"/>
        </w:rPr>
      </w:pPr>
      <w:r w:rsidRPr="002A691C">
        <w:rPr>
          <w:lang w:val="de-DE"/>
        </w:rPr>
        <w:t>2) Hinzufügen eines zusätzlichen Satzes zur Bemerkung 42 der Tabelle C, Spalte 20:</w:t>
      </w:r>
    </w:p>
    <w:p w14:paraId="382B64DD" w14:textId="77777777" w:rsidR="0003223E" w:rsidRDefault="0003223E" w:rsidP="0003223E">
      <w:pPr>
        <w:pStyle w:val="SingleTxtG"/>
        <w:rPr>
          <w:lang w:val="de-DE"/>
        </w:rPr>
      </w:pPr>
      <w:r w:rsidRPr="00CB63EF">
        <w:rPr>
          <w:lang w:val="de-DE"/>
        </w:rPr>
        <w:t>42.</w:t>
      </w:r>
      <w:r w:rsidRPr="00CB63EF">
        <w:rPr>
          <w:lang w:val="de-DE"/>
        </w:rPr>
        <w:tab/>
      </w:r>
      <w:r>
        <w:rPr>
          <w:lang w:val="de-DE"/>
        </w:rPr>
        <w:t xml:space="preserve">Tiefgekühlt verflüssigte Gase sind so zu verladen, dass gewährleistet ist, dass in den Ladetanks, Rohrleitungen und Zubehörteilen </w:t>
      </w:r>
      <w:r w:rsidRPr="00CB63EF">
        <w:rPr>
          <w:lang w:val="de-DE"/>
        </w:rPr>
        <w:t>keine ungünstigen Temperatur</w:t>
      </w:r>
      <w:r>
        <w:rPr>
          <w:lang w:val="de-DE"/>
        </w:rPr>
        <w:t>gradienten entstehen</w:t>
      </w:r>
      <w:r w:rsidRPr="00CB63EF">
        <w:rPr>
          <w:lang w:val="de-DE"/>
        </w:rPr>
        <w:t>. Bei der</w:t>
      </w:r>
      <w:r>
        <w:rPr>
          <w:lang w:val="de-DE"/>
        </w:rPr>
        <w:t xml:space="preserve"> </w:t>
      </w:r>
      <w:r w:rsidRPr="00CB63EF">
        <w:rPr>
          <w:lang w:val="de-DE"/>
        </w:rPr>
        <w:t>(in Absatz 7.2.4.16.17 beschrieben</w:t>
      </w:r>
      <w:r>
        <w:rPr>
          <w:lang w:val="de-DE"/>
        </w:rPr>
        <w:t>en</w:t>
      </w:r>
      <w:r w:rsidRPr="00CB63EF">
        <w:rPr>
          <w:lang w:val="de-DE"/>
        </w:rPr>
        <w:t xml:space="preserve">) </w:t>
      </w:r>
      <w:r>
        <w:rPr>
          <w:lang w:val="de-DE"/>
        </w:rPr>
        <w:t xml:space="preserve">Berechnung der Haltezeit </w:t>
      </w:r>
      <w:r w:rsidRPr="00CB63EF">
        <w:rPr>
          <w:lang w:val="de-DE"/>
        </w:rPr>
        <w:t xml:space="preserve">muss sichergestellt </w:t>
      </w:r>
      <w:r>
        <w:rPr>
          <w:lang w:val="de-DE"/>
        </w:rPr>
        <w:t>sein</w:t>
      </w:r>
      <w:r w:rsidRPr="00CB63EF">
        <w:rPr>
          <w:lang w:val="de-DE"/>
        </w:rPr>
        <w:t>, dass der Füllungsgra</w:t>
      </w:r>
      <w:r>
        <w:rPr>
          <w:lang w:val="de-DE"/>
        </w:rPr>
        <w:t xml:space="preserve">d </w:t>
      </w:r>
      <w:r w:rsidRPr="00CB63EF">
        <w:rPr>
          <w:lang w:val="de-DE"/>
        </w:rPr>
        <w:t>98% nicht</w:t>
      </w:r>
      <w:r>
        <w:rPr>
          <w:lang w:val="de-DE"/>
        </w:rPr>
        <w:t xml:space="preserve"> überschreitet</w:t>
      </w:r>
      <w:r w:rsidRPr="00CB63EF">
        <w:rPr>
          <w:lang w:val="de-DE"/>
        </w:rPr>
        <w:t xml:space="preserve">, um zu verhindern, dass sich die Sicherheitsventile </w:t>
      </w:r>
      <w:r>
        <w:rPr>
          <w:lang w:val="de-DE"/>
        </w:rPr>
        <w:t xml:space="preserve">im flüssig gefüllten Zustand des Tanks </w:t>
      </w:r>
      <w:r w:rsidRPr="00CB63EF">
        <w:rPr>
          <w:lang w:val="de-DE"/>
        </w:rPr>
        <w:t>öffnen</w:t>
      </w:r>
      <w:r>
        <w:rPr>
          <w:lang w:val="de-DE"/>
        </w:rPr>
        <w:t>. Wenn in 9.3.1.24.1 b) oder c) genannte Systeme für den Transport von tiefgekühlten verflüssigten Gasen verwendet werden, ist eine Kühlanlage nicht erforderlich.</w:t>
      </w:r>
    </w:p>
    <w:p w14:paraId="73C9399D" w14:textId="77777777" w:rsidR="0003223E" w:rsidRDefault="0003223E" w:rsidP="0003223E">
      <w:pPr>
        <w:pStyle w:val="SingleTxtG"/>
        <w:rPr>
          <w:b/>
          <w:i/>
          <w:iCs/>
          <w:u w:val="single"/>
          <w:lang w:val="de-DE"/>
        </w:rPr>
      </w:pPr>
      <w:r w:rsidRPr="002247B2">
        <w:rPr>
          <w:b/>
          <w:i/>
          <w:iCs/>
          <w:u w:val="single"/>
          <w:lang w:val="de-DE"/>
        </w:rPr>
        <w:lastRenderedPageBreak/>
        <w:t>Im Falle von UN 2187 "KOHLENDIOXID, TIEFGEKÜHLT, FLÜSSIG" gilt diese Vorschrift, wenn die Möglichkeit der Sublimation vermieden wird. Daher sollte die Transporttemperatur über -41°C liegen.</w:t>
      </w:r>
    </w:p>
    <w:p w14:paraId="681B5039" w14:textId="4E7F452C" w:rsidR="00F206C2" w:rsidRPr="00C45DEF" w:rsidRDefault="00C45DEF" w:rsidP="00C45D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C45DEF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750" w14:textId="77777777" w:rsidR="00671DA8" w:rsidRDefault="00671DA8"/>
  </w:endnote>
  <w:endnote w:type="continuationSeparator" w:id="0">
    <w:p w14:paraId="00654174" w14:textId="77777777" w:rsidR="00671DA8" w:rsidRDefault="00671DA8"/>
  </w:endnote>
  <w:endnote w:type="continuationNotice" w:id="1">
    <w:p w14:paraId="7965A352" w14:textId="77777777" w:rsidR="00671DA8" w:rsidRDefault="00671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0D45" w14:textId="77777777" w:rsidR="00671DA8" w:rsidRPr="000B175B" w:rsidRDefault="00671D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6BAD31" w14:textId="77777777" w:rsidR="00671DA8" w:rsidRPr="00FC68B7" w:rsidRDefault="00671D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4418E5" w14:textId="77777777" w:rsidR="00671DA8" w:rsidRDefault="00671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71628FB5" w:rsidR="00045FBD" w:rsidRPr="00D03F3E" w:rsidRDefault="007C36C6">
    <w:pPr>
      <w:pStyle w:val="Header"/>
    </w:pPr>
    <w:r>
      <w:t>INF</w:t>
    </w:r>
    <w:r w:rsidR="00E323E7">
      <w:t>.</w:t>
    </w:r>
    <w:r w:rsidR="00045FBD">
      <w:t>1</w:t>
    </w:r>
    <w:r w:rsidR="002B792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C6029A"/>
    <w:multiLevelType w:val="hybridMultilevel"/>
    <w:tmpl w:val="15F8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548D"/>
    <w:multiLevelType w:val="hybridMultilevel"/>
    <w:tmpl w:val="C068E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2D0536"/>
    <w:multiLevelType w:val="hybridMultilevel"/>
    <w:tmpl w:val="FA2C2BB0"/>
    <w:lvl w:ilvl="0" w:tplc="5A96C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20"/>
  </w:num>
  <w:num w:numId="15">
    <w:abstractNumId w:val="22"/>
  </w:num>
  <w:num w:numId="16">
    <w:abstractNumId w:val="23"/>
  </w:num>
  <w:num w:numId="17">
    <w:abstractNumId w:val="18"/>
  </w:num>
  <w:num w:numId="18">
    <w:abstractNumId w:val="12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223E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48B3"/>
    <w:rsid w:val="000962D0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2B8"/>
    <w:rsid w:val="000C0C5D"/>
    <w:rsid w:val="000C2C03"/>
    <w:rsid w:val="000C2D2E"/>
    <w:rsid w:val="000E0415"/>
    <w:rsid w:val="000E69EB"/>
    <w:rsid w:val="000E735E"/>
    <w:rsid w:val="001003CA"/>
    <w:rsid w:val="00100C72"/>
    <w:rsid w:val="00100FD9"/>
    <w:rsid w:val="00102704"/>
    <w:rsid w:val="00103820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372C5"/>
    <w:rsid w:val="001405B1"/>
    <w:rsid w:val="00144E40"/>
    <w:rsid w:val="001468B2"/>
    <w:rsid w:val="00147248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5714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B02A7"/>
    <w:rsid w:val="002B7926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4103"/>
    <w:rsid w:val="002E7924"/>
    <w:rsid w:val="002F0713"/>
    <w:rsid w:val="002F175C"/>
    <w:rsid w:val="002F5F03"/>
    <w:rsid w:val="002F690D"/>
    <w:rsid w:val="003022CB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198A"/>
    <w:rsid w:val="003229D8"/>
    <w:rsid w:val="00326839"/>
    <w:rsid w:val="003276C4"/>
    <w:rsid w:val="003277AF"/>
    <w:rsid w:val="003279B5"/>
    <w:rsid w:val="00331664"/>
    <w:rsid w:val="0033386A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582E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33BF"/>
    <w:rsid w:val="003E6C3C"/>
    <w:rsid w:val="003F07CA"/>
    <w:rsid w:val="003F50EC"/>
    <w:rsid w:val="004007E0"/>
    <w:rsid w:val="0040640F"/>
    <w:rsid w:val="00410C89"/>
    <w:rsid w:val="00413C85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1532"/>
    <w:rsid w:val="004631C9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2AE4"/>
    <w:rsid w:val="004E77B2"/>
    <w:rsid w:val="004F0A4B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1C45"/>
    <w:rsid w:val="00524EA1"/>
    <w:rsid w:val="0052775E"/>
    <w:rsid w:val="005301B6"/>
    <w:rsid w:val="00532207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1403"/>
    <w:rsid w:val="0057287F"/>
    <w:rsid w:val="00572B32"/>
    <w:rsid w:val="00582AE7"/>
    <w:rsid w:val="00583619"/>
    <w:rsid w:val="005870D4"/>
    <w:rsid w:val="005919A2"/>
    <w:rsid w:val="00593CE9"/>
    <w:rsid w:val="005941EC"/>
    <w:rsid w:val="0059724D"/>
    <w:rsid w:val="00597777"/>
    <w:rsid w:val="005A38D0"/>
    <w:rsid w:val="005A44A6"/>
    <w:rsid w:val="005A5EC9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0878"/>
    <w:rsid w:val="0062388D"/>
    <w:rsid w:val="00632401"/>
    <w:rsid w:val="0063306C"/>
    <w:rsid w:val="00633142"/>
    <w:rsid w:val="006337B5"/>
    <w:rsid w:val="006349C5"/>
    <w:rsid w:val="0063743A"/>
    <w:rsid w:val="0064095E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1DA8"/>
    <w:rsid w:val="00676606"/>
    <w:rsid w:val="00682AAB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3FB8"/>
    <w:rsid w:val="00705894"/>
    <w:rsid w:val="00705B62"/>
    <w:rsid w:val="00706E9A"/>
    <w:rsid w:val="00710679"/>
    <w:rsid w:val="00712AA7"/>
    <w:rsid w:val="007168D4"/>
    <w:rsid w:val="00720F3B"/>
    <w:rsid w:val="00721027"/>
    <w:rsid w:val="007217C4"/>
    <w:rsid w:val="00724080"/>
    <w:rsid w:val="00725775"/>
    <w:rsid w:val="007258F6"/>
    <w:rsid w:val="0072632A"/>
    <w:rsid w:val="00727DE0"/>
    <w:rsid w:val="00727E93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3E79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B53D5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0767E"/>
    <w:rsid w:val="009106B1"/>
    <w:rsid w:val="009121CF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65857"/>
    <w:rsid w:val="00966CFA"/>
    <w:rsid w:val="00967F1F"/>
    <w:rsid w:val="009716B1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A269E"/>
    <w:rsid w:val="009A3575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28B5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351A"/>
    <w:rsid w:val="00AD78BE"/>
    <w:rsid w:val="00AE5115"/>
    <w:rsid w:val="00B02445"/>
    <w:rsid w:val="00B041E2"/>
    <w:rsid w:val="00B04D4C"/>
    <w:rsid w:val="00B110B3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6EEE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3851"/>
    <w:rsid w:val="00B9477C"/>
    <w:rsid w:val="00B94957"/>
    <w:rsid w:val="00BA062A"/>
    <w:rsid w:val="00BA6D63"/>
    <w:rsid w:val="00BA7513"/>
    <w:rsid w:val="00BB6619"/>
    <w:rsid w:val="00BC04D4"/>
    <w:rsid w:val="00BC15E4"/>
    <w:rsid w:val="00BC2BA2"/>
    <w:rsid w:val="00BC3FA0"/>
    <w:rsid w:val="00BC74E9"/>
    <w:rsid w:val="00BD26E2"/>
    <w:rsid w:val="00BD3218"/>
    <w:rsid w:val="00BD745C"/>
    <w:rsid w:val="00BE168F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5DE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419B"/>
    <w:rsid w:val="00CD4AA6"/>
    <w:rsid w:val="00CD4BB1"/>
    <w:rsid w:val="00CE01E8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2974"/>
    <w:rsid w:val="00D36D96"/>
    <w:rsid w:val="00D43252"/>
    <w:rsid w:val="00D43BB6"/>
    <w:rsid w:val="00D45BBD"/>
    <w:rsid w:val="00D47EEA"/>
    <w:rsid w:val="00D53BD6"/>
    <w:rsid w:val="00D55BAE"/>
    <w:rsid w:val="00D62D6B"/>
    <w:rsid w:val="00D649C5"/>
    <w:rsid w:val="00D64C5D"/>
    <w:rsid w:val="00D67B35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B76AB"/>
    <w:rsid w:val="00DC0D47"/>
    <w:rsid w:val="00DC2454"/>
    <w:rsid w:val="00DC2534"/>
    <w:rsid w:val="00DC2F18"/>
    <w:rsid w:val="00DC3666"/>
    <w:rsid w:val="00DC403A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10AA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E2FCD"/>
    <w:rsid w:val="00EF1D7F"/>
    <w:rsid w:val="00EF62B3"/>
    <w:rsid w:val="00F01FBE"/>
    <w:rsid w:val="00F02B6B"/>
    <w:rsid w:val="00F02BC3"/>
    <w:rsid w:val="00F06F0E"/>
    <w:rsid w:val="00F10A4D"/>
    <w:rsid w:val="00F206C2"/>
    <w:rsid w:val="00F21483"/>
    <w:rsid w:val="00F26DA8"/>
    <w:rsid w:val="00F3040C"/>
    <w:rsid w:val="00F31E5F"/>
    <w:rsid w:val="00F36CA0"/>
    <w:rsid w:val="00F46315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2BF9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A35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5</cp:revision>
  <cp:lastPrinted>2022-08-17T16:33:00Z</cp:lastPrinted>
  <dcterms:created xsi:type="dcterms:W3CDTF">2022-08-18T14:05:00Z</dcterms:created>
  <dcterms:modified xsi:type="dcterms:W3CDTF">2022-08-18T14:08:00Z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