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6B5A03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329AF05" w14:textId="77777777" w:rsidR="002D5AAC" w:rsidRDefault="002D5AAC" w:rsidP="00A42CD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12C146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316A49A" w14:textId="24C47C94" w:rsidR="002D5AAC" w:rsidRDefault="00A42CD2" w:rsidP="00A42CD2">
            <w:pPr>
              <w:jc w:val="right"/>
            </w:pPr>
            <w:r w:rsidRPr="00A42CD2">
              <w:rPr>
                <w:sz w:val="40"/>
              </w:rPr>
              <w:t>ECE</w:t>
            </w:r>
            <w:r>
              <w:t>/CEP/S/2022/7</w:t>
            </w:r>
          </w:p>
        </w:tc>
      </w:tr>
      <w:tr w:rsidR="002D5AAC" w14:paraId="5DBD02C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0CFD94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8BC6FB" wp14:editId="615D66B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CEA82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139BE75" w14:textId="77777777" w:rsidR="002D5AAC" w:rsidRDefault="00A42CD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328D610" w14:textId="77777777" w:rsidR="00A42CD2" w:rsidRDefault="00A42CD2" w:rsidP="00A42C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July 2022</w:t>
            </w:r>
          </w:p>
          <w:p w14:paraId="19F9D766" w14:textId="77777777" w:rsidR="00A42CD2" w:rsidRDefault="00A42CD2" w:rsidP="00A42C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31668BE" w14:textId="60DFE850" w:rsidR="00A42CD2" w:rsidRPr="008D53B6" w:rsidRDefault="00A42CD2" w:rsidP="00A42C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721B6F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8B6C559" w14:textId="77777777" w:rsidR="00A42CD2" w:rsidRPr="00A42CD2" w:rsidRDefault="00A42CD2" w:rsidP="00A42CD2">
      <w:pPr>
        <w:spacing w:before="120" w:line="240" w:lineRule="auto"/>
        <w:rPr>
          <w:bCs/>
          <w:sz w:val="28"/>
          <w:szCs w:val="28"/>
        </w:rPr>
      </w:pPr>
      <w:r w:rsidRPr="00A42CD2">
        <w:rPr>
          <w:sz w:val="28"/>
          <w:szCs w:val="28"/>
        </w:rPr>
        <w:t>Комитет по экологической политике</w:t>
      </w:r>
    </w:p>
    <w:p w14:paraId="06BDA41A" w14:textId="77777777" w:rsidR="00A42CD2" w:rsidRPr="00C674D0" w:rsidRDefault="00A42CD2" w:rsidP="00A42CD2">
      <w:pPr>
        <w:tabs>
          <w:tab w:val="left" w:pos="3261"/>
        </w:tabs>
        <w:spacing w:before="120"/>
        <w:rPr>
          <w:b/>
        </w:rPr>
      </w:pPr>
      <w:r>
        <w:rPr>
          <w:b/>
          <w:bCs/>
        </w:rPr>
        <w:t>Специальная сессия</w:t>
      </w:r>
    </w:p>
    <w:p w14:paraId="344D38D6" w14:textId="77777777" w:rsidR="00A42CD2" w:rsidRPr="00C674D0" w:rsidRDefault="00A42CD2" w:rsidP="00A42CD2">
      <w:r>
        <w:t>Никосия, 3–4 октября 2022 года</w:t>
      </w:r>
    </w:p>
    <w:p w14:paraId="118A36D9" w14:textId="77777777" w:rsidR="00A42CD2" w:rsidRPr="00C674D0" w:rsidRDefault="00A42CD2" w:rsidP="00A42CD2">
      <w:r>
        <w:t>Пункт 2 a) предварительной повестки дня</w:t>
      </w:r>
    </w:p>
    <w:p w14:paraId="7E66D2C8" w14:textId="05CDDF9A" w:rsidR="00A42CD2" w:rsidRPr="00C674D0" w:rsidRDefault="00A42CD2" w:rsidP="00A42CD2">
      <w:pPr>
        <w:rPr>
          <w:b/>
          <w:bCs/>
        </w:rPr>
      </w:pPr>
      <w:r>
        <w:rPr>
          <w:b/>
          <w:bCs/>
        </w:rPr>
        <w:t xml:space="preserve">Девятая Конференция министров </w:t>
      </w:r>
      <w:r>
        <w:rPr>
          <w:b/>
          <w:bCs/>
        </w:rPr>
        <w:t>«</w:t>
      </w:r>
      <w:r>
        <w:rPr>
          <w:b/>
          <w:bCs/>
        </w:rPr>
        <w:t xml:space="preserve">Окружающая среда </w:t>
      </w:r>
      <w:r w:rsidR="003E7139">
        <w:rPr>
          <w:b/>
          <w:bCs/>
        </w:rPr>
        <w:br/>
      </w:r>
      <w:r>
        <w:rPr>
          <w:b/>
          <w:bCs/>
        </w:rPr>
        <w:t>для Европы</w:t>
      </w:r>
      <w:r>
        <w:rPr>
          <w:b/>
          <w:bCs/>
        </w:rPr>
        <w:t>»</w:t>
      </w:r>
      <w:r>
        <w:rPr>
          <w:b/>
          <w:bCs/>
        </w:rPr>
        <w:t>: итоги Конференции</w:t>
      </w:r>
    </w:p>
    <w:p w14:paraId="49B14C73" w14:textId="77DD0E5F" w:rsidR="00A42CD2" w:rsidRPr="00C674D0" w:rsidRDefault="00A42CD2" w:rsidP="00A42CD2">
      <w:pPr>
        <w:pStyle w:val="HChG"/>
      </w:pPr>
      <w:r>
        <w:tab/>
      </w:r>
      <w:r w:rsidR="009C1C3D">
        <w:tab/>
      </w:r>
      <w:r>
        <w:rPr>
          <w:bCs/>
        </w:rPr>
        <w:t xml:space="preserve">Проект декларации министров девятой Конференции министров </w:t>
      </w:r>
      <w:r>
        <w:rPr>
          <w:bCs/>
        </w:rPr>
        <w:t>«</w:t>
      </w:r>
      <w:r>
        <w:rPr>
          <w:bCs/>
        </w:rPr>
        <w:t>Окружающая среда для Европы</w:t>
      </w:r>
      <w:r>
        <w:rPr>
          <w:bCs/>
        </w:rPr>
        <w:t>»</w:t>
      </w:r>
    </w:p>
    <w:p w14:paraId="31CEB31E" w14:textId="767D4F6A" w:rsidR="00A42CD2" w:rsidRDefault="00A42CD2" w:rsidP="00A42CD2">
      <w:pPr>
        <w:pStyle w:val="H1G"/>
        <w:rPr>
          <w:bCs/>
        </w:rPr>
      </w:pPr>
      <w:r>
        <w:tab/>
      </w:r>
      <w:r w:rsidR="009C1C3D">
        <w:tab/>
      </w:r>
      <w:r>
        <w:rPr>
          <w:bCs/>
        </w:rPr>
        <w:t>Записка Президиума Комитета, подготовленная при поддержке секретариата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A42CD2" w:rsidRPr="00A42CD2" w14:paraId="3415447C" w14:textId="77777777" w:rsidTr="00A42CD2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3F29725E" w14:textId="77777777" w:rsidR="00A42CD2" w:rsidRPr="00A42CD2" w:rsidRDefault="00A42CD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A42CD2">
              <w:rPr>
                <w:rFonts w:cs="Times New Roman"/>
              </w:rPr>
              <w:tab/>
            </w:r>
            <w:r w:rsidRPr="00A42CD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A42CD2" w:rsidRPr="00A42CD2" w14:paraId="71DA46E5" w14:textId="77777777" w:rsidTr="00A42CD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EF115B3" w14:textId="0E785738" w:rsidR="00A42CD2" w:rsidRPr="00A42CD2" w:rsidRDefault="00A42CD2" w:rsidP="00A42CD2">
            <w:pPr>
              <w:pStyle w:val="SingleTxtG"/>
            </w:pPr>
            <w:r>
              <w:tab/>
              <w:t xml:space="preserve">В Плане реформы процесса </w:t>
            </w:r>
            <w:r>
              <w:t>«</w:t>
            </w:r>
            <w:r>
              <w:t>Окружающая среда для Европы</w:t>
            </w:r>
            <w:r>
              <w:t>»</w:t>
            </w:r>
            <w:r>
              <w:t xml:space="preserve"> (ECE/CEP/ S/152, приложение I, и Corr.1), принятом Комитетом по экологической политике Европейской экономической комиссии на его специальной сессии, состоявшейся в Женеве 27–29 января 2009 года, и впоследствии одобренном шестьдесят третьей сессией Европейской экономической </w:t>
            </w:r>
            <w:proofErr w:type="spellStart"/>
            <w:r>
              <w:t>комиссии</w:t>
            </w:r>
            <w:r>
              <w:rPr>
                <w:vertAlign w:val="superscript"/>
              </w:rPr>
              <w:t>а</w:t>
            </w:r>
            <w:proofErr w:type="spellEnd"/>
            <w:r>
              <w:t xml:space="preserve">, Комитету поручено действовать в качестве органа, отвечающего за организацию подготовительного процесса к Конференциям министров </w:t>
            </w:r>
            <w:r>
              <w:t>«</w:t>
            </w:r>
            <w:r>
              <w:t xml:space="preserve">Окружающая среда для </w:t>
            </w:r>
            <w:proofErr w:type="spellStart"/>
            <w:r>
              <w:t>Европы</w:t>
            </w:r>
            <w:r>
              <w:t>»</w:t>
            </w:r>
            <w:r>
              <w:rPr>
                <w:vertAlign w:val="superscript"/>
              </w:rPr>
              <w:t>b</w:t>
            </w:r>
            <w:proofErr w:type="spellEnd"/>
            <w:r>
              <w:t>.</w:t>
            </w:r>
          </w:p>
        </w:tc>
      </w:tr>
      <w:tr w:rsidR="00A42CD2" w:rsidRPr="00A42CD2" w14:paraId="2AF9478D" w14:textId="77777777" w:rsidTr="00A42CD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1E0DFE0" w14:textId="639AF241" w:rsidR="00A42CD2" w:rsidRPr="00A42CD2" w:rsidRDefault="00A42CD2" w:rsidP="00A42CD2">
            <w:pPr>
              <w:pStyle w:val="SingleTxtG"/>
            </w:pPr>
            <w:r>
              <w:tab/>
              <w:t xml:space="preserve">В Плане реформы заявляется, что итоги Конференции могли бы включать согласованный итоговый документ объемом не более двух страниц о последующей деятельности и дальнейших мерах, строго ограниченных по своему охвату темами </w:t>
            </w:r>
            <w:proofErr w:type="spellStart"/>
            <w:r>
              <w:t>Конференции</w:t>
            </w:r>
            <w:r>
              <w:rPr>
                <w:vertAlign w:val="superscript"/>
              </w:rPr>
              <w:t>c</w:t>
            </w:r>
            <w:proofErr w:type="spellEnd"/>
            <w:r>
              <w:t>.</w:t>
            </w:r>
          </w:p>
        </w:tc>
      </w:tr>
      <w:tr w:rsidR="00A42CD2" w:rsidRPr="00A42CD2" w14:paraId="072DA459" w14:textId="77777777" w:rsidTr="00A42CD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E45CF46" w14:textId="3B6FDEC1" w:rsidR="00A42CD2" w:rsidRPr="00A42CD2" w:rsidRDefault="00A42CD2" w:rsidP="00A42CD2">
            <w:pPr>
              <w:pStyle w:val="SingleTxtG"/>
            </w:pPr>
            <w:r>
              <w:tab/>
              <w:t xml:space="preserve">На своей двадцать шестой сессии (Женева (в смешанном формате), 9–10 ноября 2020 года) Комитет постановил перенести девятую Конференцию министров </w:t>
            </w:r>
            <w:r>
              <w:t>«</w:t>
            </w:r>
            <w:r>
              <w:t>Окружающая среда для Европы</w:t>
            </w:r>
            <w:r>
              <w:t>»</w:t>
            </w:r>
            <w:r>
              <w:t xml:space="preserve">, включая третье Совещание высокого уровня представителей министерств образования и окружающей среды (Никосия), </w:t>
            </w:r>
            <w:r>
              <w:br/>
            </w:r>
            <w:r>
              <w:t xml:space="preserve">на 5–7 октября 2022 </w:t>
            </w:r>
            <w:proofErr w:type="spellStart"/>
            <w:r>
              <w:t>года</w:t>
            </w:r>
            <w:r>
              <w:rPr>
                <w:vertAlign w:val="superscript"/>
              </w:rPr>
              <w:t>d</w:t>
            </w:r>
            <w:proofErr w:type="spellEnd"/>
            <w:r>
              <w:t>.</w:t>
            </w:r>
          </w:p>
        </w:tc>
      </w:tr>
      <w:tr w:rsidR="00A42CD2" w:rsidRPr="00A42CD2" w14:paraId="6AB55D86" w14:textId="77777777" w:rsidTr="00A42CD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72D4D9D3" w14:textId="66427A91" w:rsidR="00A42CD2" w:rsidRPr="00A42CD2" w:rsidRDefault="00A42CD2" w:rsidP="00A42CD2">
            <w:pPr>
              <w:pStyle w:val="SingleTxtG"/>
            </w:pPr>
            <w:r>
              <w:tab/>
              <w:t xml:space="preserve">Президиум на своем виртуальном совещании 2 июня 2021 года принял к сведению предварительный список документов и материалов для девятой Конференции министров </w:t>
            </w:r>
            <w:r>
              <w:t>«</w:t>
            </w:r>
            <w:r>
              <w:t>Окружающая среда для Европы</w:t>
            </w:r>
            <w:r>
              <w:t>»</w:t>
            </w:r>
            <w:r>
              <w:t xml:space="preserve"> и просил секретариат подготовить </w:t>
            </w:r>
            <w:r>
              <w:t>«</w:t>
            </w:r>
            <w:r>
              <w:t>нулевой</w:t>
            </w:r>
            <w:r>
              <w:t>»</w:t>
            </w:r>
            <w:r>
              <w:t xml:space="preserve"> проект декларации министров и распространить его среди членов Президиума.</w:t>
            </w:r>
          </w:p>
        </w:tc>
      </w:tr>
      <w:tr w:rsidR="00A42CD2" w:rsidRPr="00A42CD2" w14:paraId="59414A48" w14:textId="77777777" w:rsidTr="00A42CD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FC5FB2A" w14:textId="2132B566" w:rsidR="00A42CD2" w:rsidRPr="00A42CD2" w:rsidRDefault="00A42CD2" w:rsidP="00A42CD2">
            <w:pPr>
              <w:pStyle w:val="SingleTxtG"/>
              <w:pageBreakBefore/>
            </w:pPr>
            <w:r>
              <w:lastRenderedPageBreak/>
              <w:tab/>
              <w:t xml:space="preserve">Президиум на своем виртуальном совещании 20 сентября 2021 года принял к сведению подготовленный секретариатом </w:t>
            </w:r>
            <w:r>
              <w:t>«</w:t>
            </w:r>
            <w:r>
              <w:t>нулевой</w:t>
            </w:r>
            <w:r>
              <w:t>»</w:t>
            </w:r>
            <w:r>
              <w:t xml:space="preserve"> проект декларации министров и согласовал дальнейшие шаги:</w:t>
            </w:r>
          </w:p>
        </w:tc>
      </w:tr>
      <w:tr w:rsidR="00A42CD2" w:rsidRPr="00A42CD2" w14:paraId="7478AB20" w14:textId="77777777" w:rsidTr="00A42CD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7C7A2708" w14:textId="77777777" w:rsidR="00A42CD2" w:rsidRPr="00C674D0" w:rsidRDefault="00A42CD2" w:rsidP="00A42CD2">
            <w:pPr>
              <w:pStyle w:val="Bullet1G"/>
              <w:numPr>
                <w:ilvl w:val="0"/>
                <w:numId w:val="22"/>
              </w:numPr>
            </w:pPr>
            <w:r>
              <w:t>члены Президиума могут представить (к 8 октября 2021 года) свои письменные замечания/предложения по проекту;</w:t>
            </w:r>
          </w:p>
          <w:p w14:paraId="072D6B43" w14:textId="5244E1AE" w:rsidR="00A42CD2" w:rsidRPr="00A42CD2" w:rsidRDefault="00A42CD2" w:rsidP="00A42CD2">
            <w:pPr>
              <w:pStyle w:val="Bullet1G"/>
              <w:numPr>
                <w:ilvl w:val="0"/>
                <w:numId w:val="22"/>
              </w:numPr>
            </w:pPr>
            <w:r>
              <w:t xml:space="preserve">на основе материалов, полученных от членов Президиума, секретариат доработает проект и представит его в качестве информационного документа двадцать седьмой сессии Комитета (Женева (в смешанном формате), </w:t>
            </w:r>
            <w:r>
              <w:br/>
            </w:r>
            <w:r>
              <w:t>3–5 ноября 2021 года).</w:t>
            </w:r>
          </w:p>
        </w:tc>
      </w:tr>
      <w:tr w:rsidR="00A42CD2" w:rsidRPr="00A42CD2" w14:paraId="7A84A61F" w14:textId="77777777" w:rsidTr="00A42CD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4AD578B5" w14:textId="0BC0A79D" w:rsidR="00A42CD2" w:rsidRPr="00A42CD2" w:rsidRDefault="00A42CD2" w:rsidP="00A42CD2">
            <w:pPr>
              <w:pStyle w:val="SingleTxtG"/>
            </w:pPr>
            <w:r>
              <w:tab/>
              <w:t>На своей двадцать седьмой сессии Комитет одобрил общие рамки и структуру предлагаемых элементов проекта декларации министров, содержащиеся в информационном документе №</w:t>
            </w:r>
            <w:r w:rsidR="004A37D5">
              <w:t> </w:t>
            </w:r>
            <w:r>
              <w:t>12</w:t>
            </w:r>
            <w:r>
              <w:rPr>
                <w:vertAlign w:val="superscript"/>
              </w:rPr>
              <w:t>e</w:t>
            </w:r>
            <w:r>
              <w:t>, и предложил Президиуму, при поддержке секретариата, продолжить разработку проекта декларации министров на основе замечаний и поправок к проекту с учетом изменений, полученных к 31 декабря 2021</w:t>
            </w:r>
            <w:r>
              <w:rPr>
                <w:lang w:val="en-US"/>
              </w:rPr>
              <w:t> </w:t>
            </w:r>
            <w:r>
              <w:t xml:space="preserve">года от членов Комитета и наблюдателей, и представить его в качестве официального документа Комитету на его специальной сессии, которая состоится в Женеве 9–12 мая 2022 </w:t>
            </w:r>
            <w:proofErr w:type="spellStart"/>
            <w:r>
              <w:t>года</w:t>
            </w:r>
            <w:r>
              <w:rPr>
                <w:vertAlign w:val="superscript"/>
              </w:rPr>
              <w:t>f</w:t>
            </w:r>
            <w:proofErr w:type="spellEnd"/>
            <w:r>
              <w:t>.</w:t>
            </w:r>
          </w:p>
        </w:tc>
      </w:tr>
      <w:tr w:rsidR="00A42CD2" w:rsidRPr="00A42CD2" w14:paraId="0C4DE2D1" w14:textId="77777777" w:rsidTr="00A42CD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EC81155" w14:textId="7AAD0341" w:rsidR="00A42CD2" w:rsidRPr="00A42CD2" w:rsidRDefault="00A42CD2" w:rsidP="00A42CD2">
            <w:pPr>
              <w:pStyle w:val="SingleTxtG"/>
            </w:pPr>
            <w:r>
              <w:tab/>
              <w:t>По состоянию на 3 февраля 2022 года замечания были получены от девяти государств-членов (Беларуси, Венгрии, Германии, Грузии, Кипра, Нидерландов, Республики Молдова, Чехии и Швеции) и совместного Президиума Конвенции об оценке воздействия на окружающую среду в трансграничном контексте и Протокола по стратегической экологической оценке.</w:t>
            </w:r>
          </w:p>
        </w:tc>
      </w:tr>
      <w:tr w:rsidR="00A42CD2" w:rsidRPr="00A42CD2" w14:paraId="7DC0708F" w14:textId="77777777" w:rsidTr="00A42CD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5802C806" w14:textId="5A62C1DC" w:rsidR="00A42CD2" w:rsidRPr="00A42CD2" w:rsidRDefault="00A42CD2" w:rsidP="00A42CD2">
            <w:pPr>
              <w:pStyle w:val="SingleTxtG"/>
            </w:pPr>
            <w:r>
              <w:tab/>
              <w:t>Президиум на своем онлайн-совещании 3 февраля 2022 года принял к сведению полученные секретариатом замечания и поправки к первому проекту декларации министров. По рекомендации Президиума секретариат обеспечил включение в проект текста всех замечаний и поправок, полученных к моменту проведения совещания Президиума. Председатель продолжил работу над текстом и подготовил второй проект декларации, который был представлен для обработки (в том числе перевода) в качестве официального документа (ECE/CEP/S/2022/4) специальной сессии Комитета.</w:t>
            </w:r>
          </w:p>
        </w:tc>
      </w:tr>
      <w:tr w:rsidR="00A42CD2" w:rsidRPr="00A42CD2" w14:paraId="52D8A233" w14:textId="77777777" w:rsidTr="00A42CD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7DDAED90" w14:textId="438FD578" w:rsidR="00A42CD2" w:rsidRPr="00A42CD2" w:rsidRDefault="00A42CD2" w:rsidP="00A42CD2">
            <w:pPr>
              <w:pStyle w:val="SingleTxtG"/>
            </w:pPr>
            <w:r>
              <w:tab/>
              <w:t>Следуя указаниям Президиума, секретариат распространил второй проект декларации среди членов Комитета и наблюдателей с целью проведения еще одного раунда представления письменных замечаний/предложений по документу к пятнице 25 марта 2022 года. В ходе этого раунда были получены замечания от Всемирной организации здравоохранения, Всемирной туристской организации, Европейского союза и его государств-членов, Норвегии, Программы Организации Объединенных Наций по окружающей среде, Российской Федерации и Европейского ЭКО-Форума. В результате очной консультации членов Президиума (Лиссабон, 11–12 апреля 2022</w:t>
            </w:r>
            <w:r>
              <w:rPr>
                <w:lang w:val="en-US"/>
              </w:rPr>
              <w:t> </w:t>
            </w:r>
            <w:r>
              <w:t>года) был подготовлен пересмотренный второй проект министерской декларации (информационный документ № 12)</w:t>
            </w:r>
            <w:r>
              <w:rPr>
                <w:vertAlign w:val="superscript"/>
              </w:rPr>
              <w:t>g</w:t>
            </w:r>
            <w:r>
              <w:t>.</w:t>
            </w:r>
          </w:p>
        </w:tc>
      </w:tr>
      <w:tr w:rsidR="00A42CD2" w:rsidRPr="00A42CD2" w14:paraId="16AF1582" w14:textId="77777777" w:rsidTr="00A42CD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97A5F83" w14:textId="78EADFF7" w:rsidR="00A42CD2" w:rsidRPr="00A42CD2" w:rsidRDefault="00A42CD2" w:rsidP="00A42CD2">
            <w:pPr>
              <w:pStyle w:val="SingleTxtG"/>
            </w:pPr>
            <w:r>
              <w:tab/>
              <w:t xml:space="preserve">На своей специальной сессии в мае 2022 года Комитет предложил своему Президиуму при поддержке секретариата продолжить разработку проекта декларации министров на основе последующих замечаний и поправок к проекту с учетом изменений, полученных к 30 июня 2022 года от членов Комитета и наблюдателей, </w:t>
            </w:r>
            <w:r w:rsidR="004A37D5">
              <w:br/>
            </w:r>
            <w:r>
              <w:t xml:space="preserve">и представить его в качестве официального документа Комитету на его специальной сессии в октябре 2022 </w:t>
            </w:r>
            <w:proofErr w:type="spellStart"/>
            <w:r>
              <w:t>года</w:t>
            </w:r>
            <w:r>
              <w:rPr>
                <w:vertAlign w:val="superscript"/>
              </w:rPr>
              <w:t>h</w:t>
            </w:r>
            <w:proofErr w:type="spellEnd"/>
            <w:r>
              <w:t>.</w:t>
            </w:r>
          </w:p>
        </w:tc>
      </w:tr>
      <w:tr w:rsidR="00A42CD2" w:rsidRPr="00A42CD2" w14:paraId="0C3F9A09" w14:textId="77777777" w:rsidTr="00A42CD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9F80E0C" w14:textId="4590E963" w:rsidR="00A42CD2" w:rsidRPr="00A42CD2" w:rsidRDefault="00A42CD2" w:rsidP="00A42CD2">
            <w:pPr>
              <w:pStyle w:val="SingleTxtG"/>
            </w:pPr>
            <w:r>
              <w:tab/>
              <w:t xml:space="preserve">По состоянию на 5 июня 2022 года замечания были получены от </w:t>
            </w:r>
            <w:bookmarkStart w:id="0" w:name="_GoBack"/>
            <w:bookmarkEnd w:id="0"/>
            <w:r w:rsidR="001706CE">
              <w:t>Армении, Всемирной организации здравоохранения, Европейского союза и его государств-членов, Регионального экологического центра для Кавказа, Соединенного Королевства Великобритании и Северной Ирландии, Украины и Швейцарии</w:t>
            </w:r>
            <w:r w:rsidR="001706CE">
              <w:t>.</w:t>
            </w:r>
          </w:p>
        </w:tc>
      </w:tr>
      <w:tr w:rsidR="00A42CD2" w:rsidRPr="00A42CD2" w14:paraId="6CE3BC50" w14:textId="77777777" w:rsidTr="00A42CD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56433F64" w14:textId="6DCF36A5" w:rsidR="00A42CD2" w:rsidRPr="00A42CD2" w:rsidRDefault="00A42CD2" w:rsidP="00A42CD2">
            <w:pPr>
              <w:pStyle w:val="SingleTxtG"/>
              <w:pageBreakBefore/>
            </w:pPr>
            <w:r>
              <w:lastRenderedPageBreak/>
              <w:tab/>
              <w:t xml:space="preserve">В соответствии с вышеуказанным мандатом Президиум на своем заседании в Лиссабоне 5 июля подготовил настоящий документ. Комитету будет предложено доработать проект декларации министров с целью его представления девятой Конференции министров </w:t>
            </w:r>
            <w:r>
              <w:t>«</w:t>
            </w:r>
            <w:r>
              <w:t>Окружающая среда для Европы</w:t>
            </w:r>
            <w:r>
              <w:t>»</w:t>
            </w:r>
            <w:r>
              <w:t xml:space="preserve"> для принятия.</w:t>
            </w:r>
          </w:p>
        </w:tc>
      </w:tr>
      <w:tr w:rsidR="00A42CD2" w:rsidRPr="00A42CD2" w14:paraId="42E7EC60" w14:textId="77777777" w:rsidTr="00A42CD2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5CECDD7D" w14:textId="72F85CED" w:rsidR="00A42CD2" w:rsidRPr="00A42CD2" w:rsidRDefault="00A42CD2" w:rsidP="004A37D5">
            <w:pPr>
              <w:pStyle w:val="ad"/>
              <w:spacing w:before="120" w:line="220" w:lineRule="atLeast"/>
              <w:ind w:firstLine="136"/>
              <w:rPr>
                <w:szCs w:val="18"/>
                <w:lang w:val="en-US"/>
              </w:rPr>
            </w:pPr>
            <w:r w:rsidRPr="00A42CD2">
              <w:rPr>
                <w:szCs w:val="18"/>
                <w:vertAlign w:val="superscript"/>
              </w:rPr>
              <w:t>a</w:t>
            </w:r>
            <w:r w:rsidRPr="00A42CD2">
              <w:rPr>
                <w:szCs w:val="18"/>
              </w:rPr>
              <w:t xml:space="preserve"> </w:t>
            </w:r>
            <w:r w:rsidRPr="00A42CD2">
              <w:rPr>
                <w:szCs w:val="18"/>
              </w:rPr>
              <w:t xml:space="preserve"> </w:t>
            </w:r>
            <w:r w:rsidRPr="00A42CD2">
              <w:rPr>
                <w:szCs w:val="18"/>
              </w:rPr>
              <w:t xml:space="preserve">E/ECE/1453, глава IV, решение A (63), п. 6. </w:t>
            </w:r>
            <w:r w:rsidRPr="00A42CD2">
              <w:rPr>
                <w:szCs w:val="18"/>
                <w:lang w:val="en-US"/>
              </w:rPr>
              <w:t xml:space="preserve">URL: </w:t>
            </w:r>
            <w:hyperlink r:id="rId8" w:history="1">
              <w:r w:rsidRPr="00A42CD2">
                <w:rPr>
                  <w:rStyle w:val="af1"/>
                  <w:szCs w:val="18"/>
                  <w:lang w:val="en-US"/>
                </w:rPr>
                <w:t>https://unece.org/info/Sessions-of-the-Commission/events/18375</w:t>
              </w:r>
            </w:hyperlink>
            <w:r w:rsidRPr="00A42CD2">
              <w:rPr>
                <w:szCs w:val="18"/>
                <w:lang w:val="en-US"/>
              </w:rPr>
              <w:t>.</w:t>
            </w:r>
          </w:p>
          <w:p w14:paraId="05F9EB37" w14:textId="2D9D0ED6" w:rsidR="00A42CD2" w:rsidRPr="00A42CD2" w:rsidRDefault="00A42CD2" w:rsidP="00A42CD2">
            <w:pPr>
              <w:pStyle w:val="ad"/>
              <w:spacing w:line="220" w:lineRule="atLeast"/>
              <w:ind w:firstLine="136"/>
              <w:rPr>
                <w:szCs w:val="18"/>
              </w:rPr>
            </w:pPr>
            <w:r w:rsidRPr="00A42CD2">
              <w:rPr>
                <w:szCs w:val="18"/>
                <w:vertAlign w:val="superscript"/>
              </w:rPr>
              <w:t>b</w:t>
            </w:r>
            <w:r w:rsidRPr="00A42CD2">
              <w:rPr>
                <w:szCs w:val="18"/>
              </w:rPr>
              <w:t xml:space="preserve"> </w:t>
            </w:r>
            <w:r w:rsidRPr="00A42CD2">
              <w:rPr>
                <w:szCs w:val="18"/>
              </w:rPr>
              <w:t xml:space="preserve"> </w:t>
            </w:r>
            <w:r w:rsidRPr="00A42CD2">
              <w:rPr>
                <w:szCs w:val="18"/>
              </w:rPr>
              <w:t>ECE/CEP/S/152, приложение, п. 12 b).</w:t>
            </w:r>
          </w:p>
          <w:p w14:paraId="5FC1588C" w14:textId="7D4EFF7B" w:rsidR="00A42CD2" w:rsidRPr="00A42CD2" w:rsidRDefault="00A42CD2" w:rsidP="00A42CD2">
            <w:pPr>
              <w:pStyle w:val="ad"/>
              <w:spacing w:line="220" w:lineRule="atLeast"/>
              <w:ind w:firstLine="136"/>
              <w:rPr>
                <w:szCs w:val="18"/>
              </w:rPr>
            </w:pPr>
            <w:proofErr w:type="gramStart"/>
            <w:r w:rsidRPr="00A42CD2">
              <w:rPr>
                <w:szCs w:val="18"/>
                <w:vertAlign w:val="superscript"/>
              </w:rPr>
              <w:t>c</w:t>
            </w:r>
            <w:proofErr w:type="gramEnd"/>
            <w:r w:rsidRPr="00A42CD2">
              <w:rPr>
                <w:szCs w:val="18"/>
                <w:vertAlign w:val="superscript"/>
              </w:rPr>
              <w:t xml:space="preserve"> </w:t>
            </w:r>
            <w:r w:rsidRPr="00A42CD2">
              <w:rPr>
                <w:szCs w:val="18"/>
                <w:vertAlign w:val="superscript"/>
              </w:rPr>
              <w:t xml:space="preserve"> </w:t>
            </w:r>
            <w:r w:rsidRPr="00A42CD2">
              <w:rPr>
                <w:szCs w:val="18"/>
              </w:rPr>
              <w:t>Там же, п. 14 с).</w:t>
            </w:r>
          </w:p>
          <w:p w14:paraId="176EDC36" w14:textId="5AAC066C" w:rsidR="00A42CD2" w:rsidRPr="00A42CD2" w:rsidRDefault="00A42CD2" w:rsidP="00A42CD2">
            <w:pPr>
              <w:pStyle w:val="ad"/>
              <w:spacing w:line="220" w:lineRule="atLeast"/>
              <w:ind w:firstLine="136"/>
              <w:rPr>
                <w:szCs w:val="18"/>
              </w:rPr>
            </w:pPr>
            <w:r w:rsidRPr="00A42CD2">
              <w:rPr>
                <w:szCs w:val="18"/>
                <w:vertAlign w:val="superscript"/>
              </w:rPr>
              <w:t>d</w:t>
            </w:r>
            <w:r w:rsidRPr="00A42CD2">
              <w:rPr>
                <w:szCs w:val="18"/>
              </w:rPr>
              <w:t xml:space="preserve"> </w:t>
            </w:r>
            <w:r w:rsidRPr="00A42CD2">
              <w:rPr>
                <w:szCs w:val="18"/>
              </w:rPr>
              <w:t xml:space="preserve"> </w:t>
            </w:r>
            <w:r w:rsidRPr="00A42CD2">
              <w:rPr>
                <w:szCs w:val="18"/>
              </w:rPr>
              <w:t>ECE/CEP/2020/2, п. 19 a).</w:t>
            </w:r>
          </w:p>
          <w:p w14:paraId="1302C5EF" w14:textId="1AC03030" w:rsidR="00A42CD2" w:rsidRPr="00A42CD2" w:rsidRDefault="00A42CD2" w:rsidP="00A42CD2">
            <w:pPr>
              <w:pStyle w:val="ad"/>
              <w:spacing w:line="220" w:lineRule="atLeast"/>
              <w:ind w:firstLine="136"/>
              <w:rPr>
                <w:szCs w:val="18"/>
                <w:lang w:val="en-US"/>
              </w:rPr>
            </w:pPr>
            <w:r w:rsidRPr="00A42CD2">
              <w:rPr>
                <w:szCs w:val="18"/>
                <w:vertAlign w:val="superscript"/>
              </w:rPr>
              <w:t>e</w:t>
            </w:r>
            <w:r w:rsidRPr="00A42CD2">
              <w:rPr>
                <w:szCs w:val="18"/>
              </w:rPr>
              <w:t xml:space="preserve"> </w:t>
            </w:r>
            <w:r w:rsidRPr="00A42CD2">
              <w:rPr>
                <w:szCs w:val="18"/>
              </w:rPr>
              <w:t xml:space="preserve"> </w:t>
            </w:r>
            <w:r w:rsidRPr="00A42CD2">
              <w:rPr>
                <w:szCs w:val="18"/>
              </w:rPr>
              <w:t xml:space="preserve">Доступно на вкладке </w:t>
            </w:r>
            <w:r w:rsidRPr="00A42CD2">
              <w:rPr>
                <w:szCs w:val="18"/>
              </w:rPr>
              <w:t>«</w:t>
            </w:r>
            <w:r w:rsidRPr="00A42CD2">
              <w:rPr>
                <w:szCs w:val="18"/>
              </w:rPr>
              <w:t>Информационные документы</w:t>
            </w:r>
            <w:r w:rsidRPr="00A42CD2">
              <w:rPr>
                <w:szCs w:val="18"/>
              </w:rPr>
              <w:t>»</w:t>
            </w:r>
            <w:r w:rsidRPr="00A42CD2">
              <w:rPr>
                <w:szCs w:val="18"/>
              </w:rPr>
              <w:t xml:space="preserve">, см. </w:t>
            </w:r>
            <w:r w:rsidRPr="00A42CD2">
              <w:rPr>
                <w:szCs w:val="18"/>
                <w:lang w:val="en-US"/>
              </w:rPr>
              <w:t xml:space="preserve">URL: </w:t>
            </w:r>
            <w:hyperlink r:id="rId9" w:history="1">
              <w:r w:rsidRPr="00A42CD2">
                <w:rPr>
                  <w:rStyle w:val="af1"/>
                  <w:szCs w:val="18"/>
                  <w:lang w:val="en-US"/>
                </w:rPr>
                <w:t>https://unece.org/environmental-policy/events/27th-session-committee-environmental-policy</w:t>
              </w:r>
            </w:hyperlink>
            <w:r w:rsidRPr="00A42CD2">
              <w:rPr>
                <w:szCs w:val="18"/>
                <w:lang w:val="en-US"/>
              </w:rPr>
              <w:t>.</w:t>
            </w:r>
          </w:p>
          <w:p w14:paraId="6C700BC8" w14:textId="133E82B3" w:rsidR="00A42CD2" w:rsidRPr="00A42CD2" w:rsidRDefault="00A42CD2" w:rsidP="00A42CD2">
            <w:pPr>
              <w:pStyle w:val="ad"/>
              <w:spacing w:line="220" w:lineRule="atLeast"/>
              <w:ind w:firstLine="136"/>
              <w:rPr>
                <w:szCs w:val="18"/>
                <w:lang w:val="en-US"/>
              </w:rPr>
            </w:pPr>
            <w:proofErr w:type="gramStart"/>
            <w:r w:rsidRPr="00A42CD2">
              <w:rPr>
                <w:szCs w:val="18"/>
                <w:vertAlign w:val="superscript"/>
                <w:lang w:val="en-US"/>
              </w:rPr>
              <w:t>f</w:t>
            </w:r>
            <w:r w:rsidRPr="00A42CD2">
              <w:rPr>
                <w:szCs w:val="18"/>
                <w:lang w:val="en-US"/>
              </w:rPr>
              <w:t xml:space="preserve"> </w:t>
            </w:r>
            <w:r w:rsidRPr="00A42CD2">
              <w:rPr>
                <w:szCs w:val="18"/>
                <w:lang w:val="en-US"/>
              </w:rPr>
              <w:t xml:space="preserve"> </w:t>
            </w:r>
            <w:r w:rsidRPr="00A42CD2">
              <w:rPr>
                <w:szCs w:val="18"/>
                <w:lang w:val="en-US"/>
              </w:rPr>
              <w:t>ECE</w:t>
            </w:r>
            <w:proofErr w:type="gramEnd"/>
            <w:r w:rsidRPr="00A42CD2">
              <w:rPr>
                <w:szCs w:val="18"/>
                <w:lang w:val="en-US"/>
              </w:rPr>
              <w:t xml:space="preserve">/CEP/2021/2, </w:t>
            </w:r>
            <w:r w:rsidRPr="00A42CD2">
              <w:rPr>
                <w:szCs w:val="18"/>
              </w:rPr>
              <w:t>п</w:t>
            </w:r>
            <w:r w:rsidRPr="00A42CD2">
              <w:rPr>
                <w:szCs w:val="18"/>
                <w:lang w:val="en-US"/>
              </w:rPr>
              <w:t>. 32 a)</w:t>
            </w:r>
            <w:r w:rsidRPr="00A42CD2">
              <w:rPr>
                <w:szCs w:val="18"/>
                <w:lang w:val="en-US"/>
              </w:rPr>
              <w:t>–</w:t>
            </w:r>
            <w:r w:rsidRPr="00A42CD2">
              <w:rPr>
                <w:szCs w:val="18"/>
                <w:lang w:val="en-US"/>
              </w:rPr>
              <w:t>b).</w:t>
            </w:r>
          </w:p>
          <w:p w14:paraId="2180ED12" w14:textId="36DC6934" w:rsidR="00A42CD2" w:rsidRPr="00A42CD2" w:rsidRDefault="00A42CD2" w:rsidP="00A42CD2">
            <w:pPr>
              <w:pStyle w:val="ad"/>
              <w:spacing w:line="220" w:lineRule="atLeast"/>
              <w:ind w:firstLine="136"/>
              <w:rPr>
                <w:szCs w:val="18"/>
                <w:lang w:val="en-US"/>
              </w:rPr>
            </w:pPr>
            <w:proofErr w:type="gramStart"/>
            <w:r w:rsidRPr="00A42CD2">
              <w:rPr>
                <w:szCs w:val="18"/>
                <w:vertAlign w:val="superscript"/>
                <w:lang w:val="en-US"/>
              </w:rPr>
              <w:t>g</w:t>
            </w:r>
            <w:r w:rsidRPr="00A42CD2">
              <w:rPr>
                <w:szCs w:val="18"/>
                <w:vertAlign w:val="superscript"/>
                <w:lang w:val="en-US"/>
              </w:rPr>
              <w:t xml:space="preserve"> </w:t>
            </w:r>
            <w:r w:rsidRPr="00A42CD2">
              <w:rPr>
                <w:szCs w:val="18"/>
                <w:lang w:val="en-US"/>
              </w:rPr>
              <w:t xml:space="preserve"> URL</w:t>
            </w:r>
            <w:proofErr w:type="gramEnd"/>
            <w:r w:rsidRPr="00A42CD2">
              <w:rPr>
                <w:szCs w:val="18"/>
                <w:lang w:val="en-US"/>
              </w:rPr>
              <w:t xml:space="preserve">: </w:t>
            </w:r>
            <w:hyperlink r:id="rId10" w:history="1">
              <w:r w:rsidRPr="00A42CD2">
                <w:rPr>
                  <w:rStyle w:val="af1"/>
                  <w:szCs w:val="18"/>
                  <w:lang w:val="en-US"/>
                </w:rPr>
                <w:t>https://unece.org/sites/default/files/2022-05/CEP-SS_Draft_Ministerial_Declaration.IP_.12.e.pdf</w:t>
              </w:r>
            </w:hyperlink>
            <w:r w:rsidRPr="00A42CD2">
              <w:rPr>
                <w:szCs w:val="18"/>
                <w:lang w:val="en-US"/>
              </w:rPr>
              <w:t>.</w:t>
            </w:r>
          </w:p>
          <w:p w14:paraId="1EC33C2A" w14:textId="6859270B" w:rsidR="00A42CD2" w:rsidRPr="00A42CD2" w:rsidRDefault="00A42CD2" w:rsidP="00A42CD2">
            <w:pPr>
              <w:pStyle w:val="SingleTxtG"/>
              <w:spacing w:line="220" w:lineRule="atLeast"/>
              <w:ind w:firstLine="136"/>
            </w:pPr>
            <w:r w:rsidRPr="00A42CD2">
              <w:rPr>
                <w:sz w:val="18"/>
                <w:szCs w:val="18"/>
                <w:vertAlign w:val="superscript"/>
              </w:rPr>
              <w:t>h</w:t>
            </w:r>
            <w:r w:rsidRPr="00A42CD2">
              <w:rPr>
                <w:sz w:val="18"/>
                <w:szCs w:val="18"/>
              </w:rPr>
              <w:t xml:space="preserve"> </w:t>
            </w:r>
            <w:r w:rsidRPr="00A42CD2">
              <w:rPr>
                <w:sz w:val="18"/>
                <w:szCs w:val="18"/>
                <w:lang w:val="en-US"/>
              </w:rPr>
              <w:t xml:space="preserve"> </w:t>
            </w:r>
            <w:r w:rsidRPr="00A42CD2">
              <w:rPr>
                <w:sz w:val="18"/>
                <w:szCs w:val="18"/>
              </w:rPr>
              <w:t>ECE/CEP/S/2022/2, п. 44.</w:t>
            </w:r>
          </w:p>
        </w:tc>
      </w:tr>
      <w:tr w:rsidR="00A42CD2" w:rsidRPr="00A42CD2" w14:paraId="44C61E6C" w14:textId="77777777" w:rsidTr="00A42CD2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5DDEBB59" w14:textId="77777777" w:rsidR="00A42CD2" w:rsidRPr="00A42CD2" w:rsidRDefault="00A42CD2" w:rsidP="00A42CD2">
            <w:pPr>
              <w:rPr>
                <w:rFonts w:cs="Times New Roman"/>
              </w:rPr>
            </w:pPr>
          </w:p>
        </w:tc>
      </w:tr>
    </w:tbl>
    <w:p w14:paraId="1E73BB07" w14:textId="77777777" w:rsidR="00A42CD2" w:rsidRDefault="00A42CD2" w:rsidP="00A42CD2"/>
    <w:p w14:paraId="58DABC21" w14:textId="77777777" w:rsidR="00A42CD2" w:rsidRDefault="00A42CD2" w:rsidP="00A42CD2">
      <w:pPr>
        <w:suppressAutoHyphens w:val="0"/>
        <w:spacing w:line="240" w:lineRule="auto"/>
      </w:pPr>
      <w:r>
        <w:br w:type="page"/>
      </w:r>
    </w:p>
    <w:p w14:paraId="5A702DDB" w14:textId="3292AB92" w:rsidR="00A42CD2" w:rsidRPr="008B7AF7" w:rsidRDefault="00A42CD2" w:rsidP="00A42CD2">
      <w:pPr>
        <w:pStyle w:val="HChG"/>
      </w:pPr>
      <w:r>
        <w:lastRenderedPageBreak/>
        <w:tab/>
      </w:r>
      <w:r>
        <w:tab/>
      </w:r>
      <w:r>
        <w:tab/>
      </w:r>
      <w:r>
        <w:rPr>
          <w:bCs/>
        </w:rPr>
        <w:t>Проект Декларации министров</w:t>
      </w:r>
      <w:r>
        <w:t xml:space="preserve"> </w:t>
      </w:r>
    </w:p>
    <w:p w14:paraId="1C9C0BAB" w14:textId="50509DFB" w:rsidR="00A42CD2" w:rsidRPr="00A07EBC" w:rsidRDefault="00A42CD2" w:rsidP="00A42CD2">
      <w:pPr>
        <w:pStyle w:val="SingleTxtG"/>
      </w:pPr>
      <w:r>
        <w:t>1.</w:t>
      </w:r>
      <w:r>
        <w:tab/>
        <w:t xml:space="preserve">Мы, министры и главы делегаций из [число] стран региона Европейской экономической комиссии (ЕЭК) Организации Объединенных Наций и представитель Европейского союза, собравшись 5–7 октября 2022 года в Никосии в рамках девятой Конференции министров </w:t>
      </w:r>
      <w:r>
        <w:t>«</w:t>
      </w:r>
      <w:r>
        <w:t>Окружающая среда для Европы</w:t>
      </w:r>
      <w:r>
        <w:t>»</w:t>
      </w:r>
      <w:r>
        <w:t xml:space="preserve">, выступаем со следующей декларацией. </w:t>
      </w:r>
    </w:p>
    <w:p w14:paraId="2978622F" w14:textId="7B745DFB" w:rsidR="00A42CD2" w:rsidRPr="00A07EBC" w:rsidRDefault="00A42CD2" w:rsidP="00A42CD2">
      <w:pPr>
        <w:pStyle w:val="SingleTxtG"/>
      </w:pPr>
      <w:r>
        <w:t>2.</w:t>
      </w:r>
      <w:r>
        <w:tab/>
        <w:t xml:space="preserve">Мы напоминаем, что процесс </w:t>
      </w:r>
      <w:r>
        <w:t>«</w:t>
      </w:r>
      <w:r>
        <w:t>Окружающая среда для Европы</w:t>
      </w:r>
      <w:r>
        <w:t>»</w:t>
      </w:r>
      <w:r>
        <w:t xml:space="preserve"> был запущен в 1991 году в замке </w:t>
      </w:r>
      <w:proofErr w:type="spellStart"/>
      <w:r>
        <w:t>Добржиш</w:t>
      </w:r>
      <w:proofErr w:type="spellEnd"/>
      <w:r>
        <w:t xml:space="preserve"> в тогдашней Чехословакии с общей целью укрепления сотрудничества по защите и улучшению окружающей среды, направленного на мир, стабильность и устойчивое развитие, признавая при этом, что сотрудничество по сближению качества окружающей среды и экологической политики в Европе представляет собой мощную интегрирующую силу и является одним из краеугольных камней строительства новой Европы. </w:t>
      </w:r>
    </w:p>
    <w:p w14:paraId="0A5B6E5C" w14:textId="12CB577C" w:rsidR="00A42CD2" w:rsidRPr="00A07EBC" w:rsidRDefault="00A42CD2" w:rsidP="00A42CD2">
      <w:pPr>
        <w:pStyle w:val="SingleTxtG"/>
      </w:pPr>
      <w:r>
        <w:t>3.</w:t>
      </w:r>
      <w:r>
        <w:tab/>
        <w:t xml:space="preserve">Мы глубоко сожалеем, что движение, намеченное в </w:t>
      </w:r>
      <w:proofErr w:type="spellStart"/>
      <w:r>
        <w:t>Добржише</w:t>
      </w:r>
      <w:proofErr w:type="spellEnd"/>
      <w:r>
        <w:t xml:space="preserve"> в целях создания более устойчивого общеевропейского региона, было резко прервано в феврале 2022</w:t>
      </w:r>
      <w:r w:rsidR="009100B2">
        <w:t> </w:t>
      </w:r>
      <w:r>
        <w:t>года. Мы напоминаем о резолюции ES-11/1 Генеральной Ассамблеи об агрессии против Украины, поддержанной 141 государством</w:t>
      </w:r>
      <w:r w:rsidR="00FF481B">
        <w:t> </w:t>
      </w:r>
      <w:r w:rsidR="009100B2">
        <w:t>—</w:t>
      </w:r>
      <w:r w:rsidR="00FF481B">
        <w:t> </w:t>
      </w:r>
      <w:r>
        <w:t>членом Организации Объединенных Наций на одиннадцатой чрезвычайной специальной сессии, состоявшейся в Нью-Йорке 28 февраля</w:t>
      </w:r>
      <w:r w:rsidR="009100B2">
        <w:t xml:space="preserve"> — </w:t>
      </w:r>
      <w:r>
        <w:t>2 марта 2022 года, в которой решительно осуждается неспровоцированное и неоправданное вторжение вооруженных сил Российской Федерации на Украину, которое нарушает международное право и Устав Организации Объединенных Наций, подрывает международную безопасность и стабильность и оказывает разрушительное воздействие на жизнь людей и окружающую среду. Мы также осуждаем участие Беларуси в этом акте агрессии против Украины. ЕЭК была создана для того, чтобы помочь разрушенной войной</w:t>
      </w:r>
      <w:r w:rsidRPr="00C431A2">
        <w:t xml:space="preserve"> </w:t>
      </w:r>
      <w:r>
        <w:t xml:space="preserve">Европе восстановиться и построить свое будущее на основе мира и </w:t>
      </w:r>
      <w:proofErr w:type="gramStart"/>
      <w:r>
        <w:t>взаимного сотрудничества</w:t>
      </w:r>
      <w:proofErr w:type="gramEnd"/>
      <w:r>
        <w:t xml:space="preserve">. Мы настаиваем на том, что мир является предпосылкой для международного сотрудничества. Мы также крайне обеспокоены тем пагубным воздействием, которое эта военная агрессия против Украины и ее народа уже оказала и будет оказывать на окружающую среду. Экологические последствия этого вторжения, скорее всего, также будут угрожать жизни и здоровью людей, как непосредственно, так и в долгосрочном плане. </w:t>
      </w:r>
    </w:p>
    <w:p w14:paraId="70A56542" w14:textId="3DA5FA83" w:rsidR="00A42CD2" w:rsidRPr="00C674D0" w:rsidRDefault="00A42CD2" w:rsidP="00A42CD2">
      <w:pPr>
        <w:pStyle w:val="SingleTxtG"/>
      </w:pPr>
      <w:r>
        <w:t>4.</w:t>
      </w:r>
      <w:r>
        <w:tab/>
        <w:t>Мы признаем необходимость оценки экологических последствий военного вторжения на Украину как для этой страны, так и для окружающего региона и подтверждаем нашу поддержку Украины в ее восстановлении, включая предоставление последующей помощи для восстановления. Мы предлагаем секретариату ЕЭК в сотрудничестве с Программой Организации Объединенных Наций по окружающей среде, Организацией экономического сотрудничества и развития и другими организациями определить приоритетность оценки наиболее неотложных экологических потребностей Украины на основе методологии Программы обзоров результативности экологической деятельности ЕЭК и выработать рекомендации по продвижению устойчивого восстановления страны.</w:t>
      </w:r>
    </w:p>
    <w:p w14:paraId="142A8AC4" w14:textId="0CAC1445" w:rsidR="00A42CD2" w:rsidRPr="00A07EBC" w:rsidRDefault="00A42CD2" w:rsidP="00A42CD2">
      <w:pPr>
        <w:pStyle w:val="SingleTxtG"/>
      </w:pPr>
      <w:r>
        <w:t>5.</w:t>
      </w:r>
      <w:r>
        <w:tab/>
        <w:t>Мы полностью признаем всю серьезность вызовов, стоящих перед нашей планетой и нашим регионом, в том числе в свете пандемии коронавирусного заболевания (COVID-19), и подчеркиваем, что для нахождения путей успешного решения этих серьезных вызовов, в частности касающихся биоразнообразия, изменения климата и общего загрязнения, требуется совместный и скоординированный ответ, который может обеспечить лишь тесное международное сотрудничество. Мы напоминаем, что мир является предпосылкой для международного сотрудничества</w:t>
      </w:r>
      <w:r w:rsidR="009100B2">
        <w:t xml:space="preserve"> — </w:t>
      </w:r>
      <w:r>
        <w:t xml:space="preserve">в том числе путем использования существующих платформ международного сотрудничества, таких как процесс </w:t>
      </w:r>
      <w:r>
        <w:t>«</w:t>
      </w:r>
      <w:r>
        <w:t>Окружающая среда для Европы</w:t>
      </w:r>
      <w:r>
        <w:t>»</w:t>
      </w:r>
      <w:r>
        <w:t xml:space="preserve">. </w:t>
      </w:r>
    </w:p>
    <w:p w14:paraId="3F1A495C" w14:textId="496E6A10" w:rsidR="00A42CD2" w:rsidRPr="00C674D0" w:rsidRDefault="00A42CD2" w:rsidP="00A42CD2">
      <w:pPr>
        <w:pStyle w:val="SingleTxtG"/>
      </w:pPr>
      <w:r>
        <w:t>6.</w:t>
      </w:r>
      <w:r>
        <w:tab/>
        <w:t xml:space="preserve">Мы вновь подтверждаем нашу приверженность делу улучшения охраны окружающей среды и содействия устойчивому развитию в регионе ЕЭК, что способствует достижению Целей в области устойчивого развития в интересах </w:t>
      </w:r>
      <w:r>
        <w:lastRenderedPageBreak/>
        <w:t>реализации Повестки дня в области устойчивого развития на период до 2030 года, в</w:t>
      </w:r>
      <w:r w:rsidR="009100B2">
        <w:t> </w:t>
      </w:r>
      <w:r>
        <w:t>том числе на основе партнерства между государственным и частным секторами. Мы</w:t>
      </w:r>
      <w:r w:rsidR="009100B2">
        <w:t> </w:t>
      </w:r>
      <w:r>
        <w:t xml:space="preserve">признаем, что экологизация экономики имеет решающее значение для достижения всех Целей в области устойчивого развития, и вновь подтверждаем наши обязательства, взятые на восьмой Конференции </w:t>
      </w:r>
      <w:r>
        <w:t>«</w:t>
      </w:r>
      <w:r>
        <w:t>Окружающая среда для Европы</w:t>
      </w:r>
      <w:r>
        <w:t>»</w:t>
      </w:r>
      <w:r>
        <w:t xml:space="preserve">, состоявшейся в Батуми, Грузия, 8–10 июня 2016 года. В этой связи развитие инфраструктуры и туризм являются одними из основных затрагиваемых секторов, </w:t>
      </w:r>
      <w:r w:rsidR="001706CE">
        <w:br/>
      </w:r>
      <w:r>
        <w:t xml:space="preserve">и поэтому крайне важно обеспечить, чтобы в этих секторах в полной мере принимались во внимание и учитывались вызывающие озабоченность экологические и социальные вопросы, а также вопросы охраны здоровья </w:t>
      </w:r>
      <w:proofErr w:type="gramStart"/>
      <w:r>
        <w:t>населения</w:t>
      </w:r>
      <w:proofErr w:type="gramEnd"/>
      <w:r>
        <w:t xml:space="preserve"> и чтобы выявлялись и смягчались риски, сопряженные с бедствиями. </w:t>
      </w:r>
    </w:p>
    <w:p w14:paraId="6E7D2530" w14:textId="40C7DDA3" w:rsidR="00A42CD2" w:rsidRPr="00C674D0" w:rsidRDefault="00A42CD2" w:rsidP="00A42CD2">
      <w:pPr>
        <w:pStyle w:val="SingleTxtG"/>
      </w:pPr>
      <w:r>
        <w:t>7.</w:t>
      </w:r>
      <w:r>
        <w:tab/>
        <w:t xml:space="preserve">Мы подтверждаем важное значение процесса </w:t>
      </w:r>
      <w:r>
        <w:t>«</w:t>
      </w:r>
      <w:r>
        <w:t>Окружающая среда для Европы</w:t>
      </w:r>
      <w:r>
        <w:t>»</w:t>
      </w:r>
      <w:r>
        <w:t xml:space="preserve"> как единственной в своем роде панъевропейской платформы для решения экологических проблем, совершенствования управления природоохранной деятельностью, поощрения экологического и </w:t>
      </w:r>
      <w:proofErr w:type="spellStart"/>
      <w:r>
        <w:t>межсекторального</w:t>
      </w:r>
      <w:proofErr w:type="spellEnd"/>
      <w:r>
        <w:t xml:space="preserve"> сотрудничества и обмена информацией между странами, а также как одной из опор устойчивого развития в регионе, благодаря чему за 31 год его существования в результате сотрудничества между всеми заинтересованными сторонами удалось добиться важных и ощутимых достижений. Он продемонстрировал, что способен стимулировать прогресс в преодолении известных проблем и содействовать принятию мер по оказанию поддержки странам в их противостоянии новым вызовам, перестраивая свою деятельность в соответствии с потребностями региона. Мы</w:t>
      </w:r>
      <w:r w:rsidR="009100B2">
        <w:t> </w:t>
      </w:r>
      <w:r>
        <w:t xml:space="preserve">считаем, что он должен играть центральную роль в инклюзивном и устойчивом восстановлении общеевропейского региона, в его </w:t>
      </w:r>
      <w:r>
        <w:t>«</w:t>
      </w:r>
      <w:r>
        <w:t>зеленом</w:t>
      </w:r>
      <w:r>
        <w:t>»</w:t>
      </w:r>
      <w:r>
        <w:t xml:space="preserve"> и справедливом переходе, а также в построении устойчивого будущего, основанного на углублении сотрудничества и наступлении мира.</w:t>
      </w:r>
    </w:p>
    <w:p w14:paraId="52088950" w14:textId="7639EEF8" w:rsidR="00A42CD2" w:rsidRPr="00A07EBC" w:rsidRDefault="00A42CD2" w:rsidP="00A42CD2">
      <w:pPr>
        <w:pStyle w:val="SingleTxtG"/>
      </w:pPr>
      <w:r>
        <w:t>8.</w:t>
      </w:r>
      <w:r>
        <w:tab/>
        <w:t xml:space="preserve">Мы признаем важную роль, которую играет устойчивая инфраструктура в процессе перехода к </w:t>
      </w:r>
      <w:r>
        <w:t>«</w:t>
      </w:r>
      <w:r>
        <w:t>зеленой</w:t>
      </w:r>
      <w:r>
        <w:t>»</w:t>
      </w:r>
      <w:r>
        <w:t xml:space="preserve"> экономике и в достижении Целей в области устойчивого развития. Мы подчеркиваем, что инвестиции в устойчивую и жизнеспособную инфраструктуру должны лежать в основе политики и обязательств в области </w:t>
      </w:r>
      <w:r>
        <w:t>«</w:t>
      </w:r>
      <w:r>
        <w:t>зеленой</w:t>
      </w:r>
      <w:r>
        <w:t>»</w:t>
      </w:r>
      <w:r>
        <w:t xml:space="preserve"> экономики, а также играть центральную роль в планах восстановления после пандемии COVID-19. Мы обращаем внимание на резолюцию</w:t>
      </w:r>
      <w:r w:rsidR="009100B2">
        <w:t> </w:t>
      </w:r>
      <w:r>
        <w:t xml:space="preserve">5/9 Ассамблеи Организации Объединенных Наций по окружающей среде Программы Организации Объединенных Наций по окружающей среде об устойчивой и жизнеспособной инфраструктуре и подтверждаем важную роль, которую процесс </w:t>
      </w:r>
      <w:r>
        <w:t>«</w:t>
      </w:r>
      <w:r>
        <w:t>Окружающая среда для Европы</w:t>
      </w:r>
      <w:r>
        <w:t>»</w:t>
      </w:r>
      <w:r>
        <w:t xml:space="preserve"> может сыграть для ее реализации. В этом контексте мы признаем, что Конвенция об оценке воздействия на окружающую среду в трансграничном контексте (Конвенция </w:t>
      </w:r>
      <w:proofErr w:type="spellStart"/>
      <w:r>
        <w:t>Эспо</w:t>
      </w:r>
      <w:proofErr w:type="spellEnd"/>
      <w:r>
        <w:t>) и Протокол по стратегической экологической оценке к ней обеспечивают основу и руководство для оценки и снижения воздействия на окружающую среду при экологизации как инфраструктуры, так и промышленности. Мы подчеркиваем важность Конвенции о доступе к информации, участии общественности в процессе принятия решений и доступе к правосудию по вопросам, касающимся окружающей среды (</w:t>
      </w:r>
      <w:proofErr w:type="spellStart"/>
      <w:r>
        <w:t>Орхусская</w:t>
      </w:r>
      <w:proofErr w:type="spellEnd"/>
      <w:r>
        <w:t xml:space="preserve"> конвенция), </w:t>
      </w:r>
      <w:r w:rsidR="009C1C3D">
        <w:br/>
      </w:r>
      <w:r>
        <w:t xml:space="preserve">и Протокола о регистрах выбросов и переноса загрязнителей к ней в данном контексте для обеспечения прозрачного, эффективного, безопасного и инклюзивного участия общественности в принятии решений. </w:t>
      </w:r>
    </w:p>
    <w:p w14:paraId="2C88AB0A" w14:textId="77777777" w:rsidR="00A42CD2" w:rsidRPr="00A07EBC" w:rsidRDefault="00A42CD2" w:rsidP="00A42CD2">
      <w:pPr>
        <w:pStyle w:val="SingleTxtG"/>
      </w:pPr>
      <w:r>
        <w:t>9.</w:t>
      </w:r>
      <w:r>
        <w:tab/>
        <w:t xml:space="preserve">Мы подтверждаем, что для планирования различных видов инфраструктуры и управления ими требуется системный, инклюзивный и устойчивый подход, как указано в Международных принципах надлежащей практики для устойчивой инфраструктуры. Новая устойчивая и жизнестойкая инфраструктура должна способствовать эффективному использованию ресурсов для снижения долгосрочного воздействия на окружающую среду. Мы изучим пути продвижения вперед для панъевропейского региона, в том числе с помощью инноваций, решений, основанных на природных принципах, и взаимодействия с частным сектором. Будущий </w:t>
      </w:r>
      <w:proofErr w:type="spellStart"/>
      <w:r>
        <w:t>общерегиональный</w:t>
      </w:r>
      <w:proofErr w:type="spellEnd"/>
      <w:r>
        <w:t xml:space="preserve"> подход к устойчивой инфраструктуре должен стать основой для общих целей, задач и критериев разработки политики, финансирования, мониторинга эффективности и тиражирования практики, наилучшим образом отвечающей внутренним и трансграничным потребностям. Мы будем поощрять действенное, </w:t>
      </w:r>
      <w:r>
        <w:lastRenderedPageBreak/>
        <w:t xml:space="preserve">безопасное и инклюзивное участие общественности в качестве важнейшей предпосылки для надлежащего управления развитием инфраструктуры и построения устойчивого будущего для нынешнего и будущих поколений, используя такие проверенные инструменты, как оценка воздействия на окружающую среду и стратегическая экологическая оценка. Мы также признаем необходимость единого понимания того, что такое устойчивая и безопасная инфраструктура и каким образом производить количественную оценку прогресса в различных странах, равно как и необходимость укрепления трансграничного сотрудничества для устранения технологических и экологических рисков и предотвращения негативного воздействия. </w:t>
      </w:r>
    </w:p>
    <w:p w14:paraId="12166478" w14:textId="375CD127" w:rsidR="00A42CD2" w:rsidRPr="00C674D0" w:rsidRDefault="00A42CD2" w:rsidP="00A42CD2">
      <w:pPr>
        <w:pStyle w:val="SingleTxtG"/>
      </w:pPr>
      <w:r>
        <w:t>10.</w:t>
      </w:r>
      <w:r>
        <w:tab/>
        <w:t xml:space="preserve">Мы также признаем, что применение принципов циркулярной экономики к устойчивому туризму посредством многостороннего сотрудничества заинтересованных сторон, использования эффективных стимулов, программ поддержки и нормативных актов имеет решающее значение для восстановления туристического сектора по принципу </w:t>
      </w:r>
      <w:r>
        <w:t>«</w:t>
      </w:r>
      <w:r>
        <w:t>лучше, чем было</w:t>
      </w:r>
      <w:r>
        <w:t>»</w:t>
      </w:r>
      <w:r>
        <w:t xml:space="preserve">, при </w:t>
      </w:r>
      <w:proofErr w:type="gramStart"/>
      <w:r>
        <w:t>том</w:t>
      </w:r>
      <w:proofErr w:type="gramEnd"/>
      <w:r>
        <w:t xml:space="preserve"> что он относится к числу секторов, наиболее пострадавших от пандемии в панъевропейском регионе. </w:t>
      </w:r>
      <w:r w:rsidR="001706CE">
        <w:br/>
      </w:r>
      <w:r>
        <w:t>Мы будем способствовать трансформации туристического сектора путем осуществления программ и проектов, ориентированных на применение циркулярных моделей в цепочке создания стоимости индустрии туризма. Кроме того, мы будем накапливать знания на основе существующих инструментов и инициатив в области циркулярной экономики с целью дальнейшего распространения и охвата соответствующих государств</w:t>
      </w:r>
      <w:r w:rsidR="001706CE">
        <w:t> — </w:t>
      </w:r>
      <w:r>
        <w:t>членов ЕЭК. Мы призываем государства-члены и другие заинтересованные стороны, способные это сделать, рассмотреть возможность присоединения и принятия обязательств в отношении действий в рамках Глобальной туристической инициативы по пластику, которая объединяет туристический сектор в плане общего видения циркулярной экономики переработки пластика и Декларации Глазго: Обязательство по проведению десятилетия борьбы с изменением климата в туризме.</w:t>
      </w:r>
    </w:p>
    <w:p w14:paraId="00190E2A" w14:textId="26034F4B" w:rsidR="00A42CD2" w:rsidRPr="00A07EBC" w:rsidRDefault="00A42CD2" w:rsidP="00A42CD2">
      <w:pPr>
        <w:pStyle w:val="SingleTxtG"/>
      </w:pPr>
      <w:r>
        <w:t>11.</w:t>
      </w:r>
      <w:r>
        <w:tab/>
        <w:t>Мы будем поддерживать усилия по сокращению использования воды и энергии и выбросов парниковых газов в сфере туризма, особенно в подсекторах с высоким уровнем воздействия (включая круизные суда, авиаперевозки и гостиничное хозяйство), а также по повышению эффективности использования других ресурсов, таких как вода. Мы также обязуемся улучшить очистку сточных вод и обращение с отходами, включая пищевые отходы и пластик, в секторе туризма, а также применять принципы циркулярной экономики во всей цепочке создания стоимости в индустрии туризма. Мы высоко ценим взятое государствами</w:t>
      </w:r>
      <w:r w:rsidR="009100B2">
        <w:t> </w:t>
      </w:r>
      <w:r>
        <w:t>—</w:t>
      </w:r>
      <w:r w:rsidR="009100B2">
        <w:t> </w:t>
      </w:r>
      <w:r>
        <w:t xml:space="preserve">членами Европейской экономической комиссии Организации Объединенных Наций на ее шестьдесят девятой сессии, состоявшейся в Женеве 20–21 апреля 2021 года, обязательство активизировать свои усилия по пропаганде основанных на циркулярной экономике подходов и устойчивого использования природных ресурсов, в частности посредством выполнения добровольных обязательств, взятых в рамках процесса </w:t>
      </w:r>
      <w:r>
        <w:t>«</w:t>
      </w:r>
      <w:r>
        <w:t>Окружающая среда для Европы</w:t>
      </w:r>
      <w:r>
        <w:t>»</w:t>
      </w:r>
      <w:r>
        <w:t xml:space="preserve">. Мы обязуемся поддерживать и поощрять выполнение этих решений путем задействования в полном объеме потенциала процесса </w:t>
      </w:r>
      <w:r>
        <w:t>«</w:t>
      </w:r>
      <w:r>
        <w:t>Окружающая среда для Европы</w:t>
      </w:r>
      <w:r>
        <w:t>»</w:t>
      </w:r>
      <w:r>
        <w:t xml:space="preserve"> и, в частности, Батумской инициативы по </w:t>
      </w:r>
      <w:r>
        <w:t>«</w:t>
      </w:r>
      <w:r>
        <w:t>зеленой</w:t>
      </w:r>
      <w:r>
        <w:t>»</w:t>
      </w:r>
      <w:r>
        <w:t xml:space="preserve"> экономике в интересах мобилизации добровольных обязательств и обмена положительным опытом, таким как пешеходный и велосипедный туризм. В более широком смысле мы будем способствовать развитию циркулярной экономики, содействовать применению подхода, основанного на жизненном цикле, и поддерживать усилия по предотвращению образования отходов в рамках процессов производства и потребления посредством ремонта, восстановления или использования для производства аналогичной продукции, а также путем задействования финансовых стимулов. </w:t>
      </w:r>
    </w:p>
    <w:p w14:paraId="5C410812" w14:textId="49D2356C" w:rsidR="00A42CD2" w:rsidRPr="00A07EBC" w:rsidRDefault="00A42CD2" w:rsidP="00A42CD2">
      <w:pPr>
        <w:pStyle w:val="SingleTxtG"/>
      </w:pPr>
      <w:r>
        <w:t>12.</w:t>
      </w:r>
      <w:r>
        <w:tab/>
        <w:t xml:space="preserve">Мы подтверждаем нашу приверженность осуществлению добровольных Панъевропейских стратегических рамок экологизации экономики, принятых на восьмой Конференции министров </w:t>
      </w:r>
      <w:r>
        <w:t>«</w:t>
      </w:r>
      <w:r>
        <w:t>Окружающая среда для Европы</w:t>
      </w:r>
      <w:r>
        <w:t>»</w:t>
      </w:r>
      <w:r>
        <w:t xml:space="preserve">. </w:t>
      </w:r>
      <w:r w:rsidR="009100B2">
        <w:br/>
      </w:r>
      <w:r>
        <w:t xml:space="preserve">Мы приветствуем позитивные сдвиги в выполнении добровольных обязательств в рамках Батумской инициативы по </w:t>
      </w:r>
      <w:r>
        <w:t>«</w:t>
      </w:r>
      <w:r>
        <w:t>зеленой</w:t>
      </w:r>
      <w:r>
        <w:t>»</w:t>
      </w:r>
      <w:r>
        <w:t xml:space="preserve"> экономике с целью введения в действие Стратегических рамок и призываем страны и другие заинтересованные стороны продолжать представлять информацию о выполнении существующих добровольных </w:t>
      </w:r>
      <w:r>
        <w:lastRenderedPageBreak/>
        <w:t xml:space="preserve">обязательств по Батумской инициативе и рассмотреть возможность взятия новых обязательств, в том числе в таких областях, как устойчивая инфраструктура и устойчивый туризм. Мы поддерживаем дальнейшие меры по поощрению осуществления Батумской инициативы посредством использования существующих платформ для обмена знаниями, таких как Партнерство по обмену знаниями </w:t>
      </w:r>
      <w:r>
        <w:t>«</w:t>
      </w:r>
      <w:r>
        <w:t>Зеленый рост</w:t>
      </w:r>
      <w:r>
        <w:t>»</w:t>
      </w:r>
      <w:r>
        <w:t xml:space="preserve"> и сеть </w:t>
      </w:r>
      <w:r>
        <w:t>«</w:t>
      </w:r>
      <w:r>
        <w:t>Одна планета</w:t>
      </w:r>
      <w:r>
        <w:t>»</w:t>
      </w:r>
      <w:r>
        <w:t>. Мы далее предлагаем ЕЭК, Организации экономического сотрудничества и развития и Программе Организации Объединенных Наций по окружающей среде в тесном сотрудничестве друг с другом и с другими соответствующими международными организациями оказывать поддержку странам в их усилиях по экологизации их экономики и достижению устойчивого развития.</w:t>
      </w:r>
    </w:p>
    <w:p w14:paraId="45DF77D3" w14:textId="330713C3" w:rsidR="00A42CD2" w:rsidRDefault="00A42CD2" w:rsidP="00A42CD2">
      <w:pPr>
        <w:pStyle w:val="SingleTxtG"/>
      </w:pPr>
      <w:r>
        <w:t>13.</w:t>
      </w:r>
      <w:r>
        <w:tab/>
        <w:t xml:space="preserve">Мы высоко оцениваем прогресс, достигнутый за последние четыре десятилетия в панъевропейском регионе в плане сокращения выбросов основных загрязняющих воздух веществ и их воздействия. Мы также отмечаем, что загрязненность воздуха как внутри, так и снаружи помещений остается одной из главных проблем в регионе и во всем мире и создает серьезную угрозу для здоровья человека и окружающей среды. Мы по-прежнему привержены делу ускорения процесса сокращения уровня загрязнения воздуха, сохранения здоровья человека, поэтапного отказа от </w:t>
      </w:r>
      <w:proofErr w:type="spellStart"/>
      <w:r>
        <w:t>гидрохлорфторуглеродов</w:t>
      </w:r>
      <w:proofErr w:type="spellEnd"/>
      <w:r>
        <w:t xml:space="preserve"> и поэтапного сокращения использования гидрофторуглеродов, включая их влияние на глобальное потепление. В этой связи мы по-прежнему привержены обеспечивать надлежащий мониторинг загрязнения воздуха, в частности приземный мониторинг, и доступ общественности к соответствующей информации. Мы также приветствуем заключительный доклад </w:t>
      </w:r>
      <w:r w:rsidR="001706CE">
        <w:br/>
      </w:r>
      <w:r>
        <w:t xml:space="preserve">об осуществлении Батумской инициативы по борьбе за чистый воздух, </w:t>
      </w:r>
      <w:r w:rsidR="001706CE">
        <w:br/>
      </w:r>
      <w:r>
        <w:t xml:space="preserve">с удовлетворением отмечая реализацию инициатив, которые были выдвинуты заинтересованными странами и другими заинтересованными сторонами и направлены на улучшение качества воздуха и защиту здоровья населения и экосистем. Мы также приветствуем тесное сотрудничество с Конвенцией ЕЭК о трансграничном загрязнении воздуха на большие расстояния, в частности создание форума для международного сотрудничества в области сокращения загрязнения воздуха в рамках Конвенции, чтобы обеспечить странам всего мира возможность сотрудничества в целях предотвращения и снижения загрязнения воздуха. Мы приветствуем изучение синергизма в плане достижения прогресса в осуществлении Батумской инициативы и возможность продолжать содействовать принятию мер по линии Батумской инициативы. </w:t>
      </w:r>
    </w:p>
    <w:p w14:paraId="2904C69A" w14:textId="77777777" w:rsidR="00A42CD2" w:rsidRPr="00C674D0" w:rsidRDefault="00A42CD2" w:rsidP="00A42CD2">
      <w:pPr>
        <w:pStyle w:val="SingleTxtG"/>
      </w:pPr>
      <w:r>
        <w:t>14.</w:t>
      </w:r>
      <w:r>
        <w:tab/>
        <w:t>Мы высоко оцениваем прогресс, достигнутый по линии многосторонних природоохранных соглашений ЕЭК, и признаем их важную роль в оказании поддержки странам в достижении Целей в области устойчивого развития. Мы даем высокую оценку ощутимым результатам, достигнутым в рамках осуществления многосторонних природоохранных соглашений ЕЭК, в части одновременно повышения эффективности охраны окружающей среды и обеспечения промышленной безопасности, а также улучшения социальных, экономических и связанных со здоровьем человека аспектов жизни людей в панъевропейском регионе и за его пределами. Мы обязуемся укреплять участие гражданского общества и частного сектора в реализации этих соглашений. Мы призываем заинтересованные страны ратифицировать и выполнять эти документы и выделять достаточные ресурсы для их осуществления.</w:t>
      </w:r>
    </w:p>
    <w:p w14:paraId="3743B978" w14:textId="07253361" w:rsidR="00A42CD2" w:rsidRPr="00C674D0" w:rsidRDefault="00A42CD2" w:rsidP="00A42CD2">
      <w:pPr>
        <w:pStyle w:val="SingleTxtG"/>
      </w:pPr>
      <w:r>
        <w:t>15.</w:t>
      </w:r>
      <w:r>
        <w:tab/>
        <w:t xml:space="preserve">Мы признаем исключительную важность доступа к различным источникам информации и надежным, актуальным, качественным данным и статистике, </w:t>
      </w:r>
      <w:r w:rsidR="007301E7">
        <w:br/>
      </w:r>
      <w:r>
        <w:t xml:space="preserve">в частности с использованием современных инструментов и методов, для реагирования как на текущие, так и на возникающие потребности и вызовы. </w:t>
      </w:r>
      <w:r w:rsidR="007301E7">
        <w:br/>
      </w:r>
      <w:r>
        <w:t>Мы подтверждаем нашу приверженность содействию партнерствам и взаимной поддержке национальных статистических управлений и соответствующих ведомств, например агентств по охране окружающей среды, для получения данных и статистики для мониторинга прогресса в области охраны окружающей среды.</w:t>
      </w:r>
    </w:p>
    <w:p w14:paraId="3C2EFAEC" w14:textId="50E514A5" w:rsidR="00A42CD2" w:rsidRPr="00A07EBC" w:rsidRDefault="00A42CD2" w:rsidP="00A42CD2">
      <w:pPr>
        <w:pStyle w:val="SingleTxtG"/>
      </w:pPr>
      <w:r>
        <w:t>16.</w:t>
      </w:r>
      <w:r>
        <w:tab/>
        <w:t xml:space="preserve">Мы признаем важность регулярных основанных на показателях экологических оценок и подтверждаем нашу приверженность проведению регулярного обзора положения в панъевропейском регионе в интересах поддержки устойчивого развития </w:t>
      </w:r>
      <w:r>
        <w:lastRenderedPageBreak/>
        <w:t xml:space="preserve">и перехода к циркулярной, </w:t>
      </w:r>
      <w:r>
        <w:t>«</w:t>
      </w:r>
      <w:r>
        <w:t>зеленой</w:t>
      </w:r>
      <w:r>
        <w:t>»</w:t>
      </w:r>
      <w:r>
        <w:t xml:space="preserve"> и устойчивой экономике. Мы принимаем к сведению основные выводы седьмой панъевропейской оценки, проведенной ЕЭК и Программой Организации Объединенных Наций по окружающей среде, и, в</w:t>
      </w:r>
      <w:r w:rsidR="009100B2">
        <w:t> </w:t>
      </w:r>
      <w:r>
        <w:t>частности, настоятельную необходимость:</w:t>
      </w:r>
    </w:p>
    <w:p w14:paraId="715D10C4" w14:textId="77777777" w:rsidR="00A42CD2" w:rsidRPr="00C674D0" w:rsidRDefault="00A42CD2" w:rsidP="00A42CD2">
      <w:pPr>
        <w:pStyle w:val="Bullet1G"/>
        <w:numPr>
          <w:ilvl w:val="0"/>
          <w:numId w:val="22"/>
        </w:numPr>
      </w:pPr>
      <w:r>
        <w:t>следовать курсу на обеспечение комплексного управления водными ресурсами, развитие сотрудничества в области трансграничных вод и комплексное управление прибрежной зоной;</w:t>
      </w:r>
    </w:p>
    <w:p w14:paraId="1A5911A9" w14:textId="77777777" w:rsidR="00A42CD2" w:rsidRPr="00C674D0" w:rsidRDefault="00A42CD2" w:rsidP="00A42CD2">
      <w:pPr>
        <w:pStyle w:val="Bullet1G"/>
        <w:numPr>
          <w:ilvl w:val="0"/>
          <w:numId w:val="22"/>
        </w:numPr>
      </w:pPr>
      <w:r>
        <w:t xml:space="preserve">учитывать вопросы сохранения биоразнообразия во всех соответствующих секторах и направлениях политики; </w:t>
      </w:r>
    </w:p>
    <w:p w14:paraId="66074DF1" w14:textId="77777777" w:rsidR="00A42CD2" w:rsidRPr="00C674D0" w:rsidRDefault="00A42CD2" w:rsidP="00A42CD2">
      <w:pPr>
        <w:pStyle w:val="Bullet1G"/>
        <w:numPr>
          <w:ilvl w:val="0"/>
          <w:numId w:val="22"/>
        </w:numPr>
      </w:pPr>
      <w:r>
        <w:t xml:space="preserve">остановить утрату биоразнообразия и, по возможности, восстановить экосистемы до здорового состояния; </w:t>
      </w:r>
    </w:p>
    <w:p w14:paraId="414616AE" w14:textId="3930C5F6" w:rsidR="00A42CD2" w:rsidRPr="00A07EBC" w:rsidRDefault="00A42CD2" w:rsidP="00A42CD2">
      <w:pPr>
        <w:pStyle w:val="Bullet1G"/>
        <w:numPr>
          <w:ilvl w:val="0"/>
          <w:numId w:val="22"/>
        </w:numPr>
      </w:pPr>
      <w:r>
        <w:t xml:space="preserve">обратить вспять процесс деградации прибрежных вод, морских экосистем и морей и активизировать усилия по достижению глобальных показателей, </w:t>
      </w:r>
      <w:r w:rsidR="007301E7">
        <w:br/>
      </w:r>
      <w:r>
        <w:t>в соответствии с которыми к 2030 году природоохранными мерами должно быть охвачено в регионе [30]</w:t>
      </w:r>
      <w:r w:rsidR="009100B2">
        <w:t> </w:t>
      </w:r>
      <w:r>
        <w:t>% районов суши, внутренних вод, прибрежных и морских районов;</w:t>
      </w:r>
    </w:p>
    <w:p w14:paraId="38E0DBEA" w14:textId="77777777" w:rsidR="00A42CD2" w:rsidRPr="00A07EBC" w:rsidRDefault="00A42CD2" w:rsidP="00A42CD2">
      <w:pPr>
        <w:pStyle w:val="Bullet1G"/>
        <w:numPr>
          <w:ilvl w:val="0"/>
          <w:numId w:val="22"/>
        </w:numPr>
      </w:pPr>
      <w:r>
        <w:t>предотвращать загрязнение воздуха, воды и почвы, чтобы планета была свободной от загрязнения;</w:t>
      </w:r>
    </w:p>
    <w:p w14:paraId="25617D85" w14:textId="77777777" w:rsidR="00A42CD2" w:rsidRPr="00C674D0" w:rsidRDefault="00A42CD2" w:rsidP="00A42CD2">
      <w:pPr>
        <w:pStyle w:val="Bullet1G"/>
        <w:numPr>
          <w:ilvl w:val="0"/>
          <w:numId w:val="22"/>
        </w:numPr>
      </w:pPr>
      <w:r>
        <w:t>продолжать последовательно сокращать отвод земель, не допускать дальнейшего ухудшения качества земель и среды обитания вследствие применения методов ведения сельского хозяйства и землепользования, неблагоприятных для сохранения биоразнообразия, и активизировать усилия по охране почв;</w:t>
      </w:r>
    </w:p>
    <w:p w14:paraId="2819252B" w14:textId="77777777" w:rsidR="00A42CD2" w:rsidRPr="00A07EBC" w:rsidRDefault="00A42CD2" w:rsidP="00A42CD2">
      <w:pPr>
        <w:pStyle w:val="Bullet1G"/>
        <w:numPr>
          <w:ilvl w:val="0"/>
          <w:numId w:val="22"/>
        </w:numPr>
      </w:pPr>
      <w:r>
        <w:t>создать ориентированное на ресурсы панъевропейское партнерство по управлению электронными отходами и дополнительно расширить доступ к надежной, подробной информации о химических веществах и отходах, с тем чтобы обеспечить рациональное обращение с ними;</w:t>
      </w:r>
    </w:p>
    <w:p w14:paraId="67B3B1E5" w14:textId="77777777" w:rsidR="00A42CD2" w:rsidRPr="00C674D0" w:rsidRDefault="00A42CD2" w:rsidP="00A42CD2">
      <w:pPr>
        <w:pStyle w:val="Bullet1G"/>
        <w:numPr>
          <w:ilvl w:val="0"/>
          <w:numId w:val="22"/>
        </w:numPr>
      </w:pPr>
      <w:r>
        <w:t>направить дополнительные ресурсы на обеспечение институционального и технического потенциала, необходимого для планирования, проектирования, выполнения, функционирования и прекращения эксплуатации устойчивых инфраструктурных проектов;</w:t>
      </w:r>
    </w:p>
    <w:p w14:paraId="73BC7EC5" w14:textId="77777777" w:rsidR="00A42CD2" w:rsidRPr="00C674D0" w:rsidRDefault="00A42CD2" w:rsidP="00A42CD2">
      <w:pPr>
        <w:pStyle w:val="Bullet1G"/>
        <w:numPr>
          <w:ilvl w:val="0"/>
          <w:numId w:val="22"/>
        </w:numPr>
      </w:pPr>
      <w:r>
        <w:t>разработать и внедрить соответствующие общие панъевропейские методы и системы мониторинга и управления информацией, использовать пересмотренное Руководство ЕЭК по применению экологических показателей и принять показатели для охвата важных новых тем, связанных с разработкой политики, в том числе с целью улучшения наличия качественных данных для показателей Целей в области устойчивого развития;</w:t>
      </w:r>
    </w:p>
    <w:p w14:paraId="215850F1" w14:textId="77777777" w:rsidR="00A42CD2" w:rsidRPr="00C674D0" w:rsidRDefault="00A42CD2" w:rsidP="00A42CD2">
      <w:pPr>
        <w:pStyle w:val="Bullet1G"/>
        <w:numPr>
          <w:ilvl w:val="0"/>
          <w:numId w:val="22"/>
        </w:numPr>
      </w:pPr>
      <w:r>
        <w:t>отобрать ключевые показатели воздействия туризма для включения в статистические базы данных ЕЭК.</w:t>
      </w:r>
    </w:p>
    <w:p w14:paraId="5425ED50" w14:textId="77777777" w:rsidR="00A42CD2" w:rsidRPr="00A07EBC" w:rsidRDefault="00A42CD2" w:rsidP="00A42CD2">
      <w:pPr>
        <w:pStyle w:val="SingleTxtG"/>
      </w:pPr>
      <w:r>
        <w:t>17.</w:t>
      </w:r>
      <w:r>
        <w:tab/>
        <w:t>Мы подтверждаем важность дальнейшего укрепления и расширения масштабов образования в интересах устойчивого развития в целях совершенствования систем управления природоохранной деятельностью, укрепления экологической демократии и расширения прав и возможностей учащихся всех возрастов путем наделения их знаниями, навыками, ценностями и установками для решения взаимосвязанных глобальных проблем, с которыми мы сталкиваемся, включая изменение климата, деградацию окружающей среды, утрату биоразнообразия, загрязнение, нищету и неравенство.</w:t>
      </w:r>
    </w:p>
    <w:p w14:paraId="4E0E0601" w14:textId="1F275146" w:rsidR="00A42CD2" w:rsidRPr="00A07EBC" w:rsidRDefault="00A42CD2" w:rsidP="00A42CD2">
      <w:pPr>
        <w:pStyle w:val="SingleTxtG"/>
      </w:pPr>
      <w:r>
        <w:t>18.</w:t>
      </w:r>
      <w:r>
        <w:tab/>
        <w:t xml:space="preserve">Мы высоко оцениваем Программу обзоров результативности экологической деятельности ЕЭК, которая за более чем четверть века своего существования зарекомендовала себя как эффективный и практичный инструмент политики, </w:t>
      </w:r>
      <w:r w:rsidR="007301E7">
        <w:br/>
      </w:r>
      <w:r>
        <w:t xml:space="preserve">и признаем роль, которую она играет в оказании поддержки деятельности по осуществлению и мониторингу достижения Целей в области устойчивого развития в панъевропейском регионе. Мы одобряем четвертый цикл обзоров результативности </w:t>
      </w:r>
      <w:r>
        <w:lastRenderedPageBreak/>
        <w:t xml:space="preserve">экологической деятельности, предлагаем ЕЭК провести его и призываем страны извлечь пользу из Программы обзоров результативности экологической деятельности путем проведения дальнейших обзоров и рассмотрения возможности разработки </w:t>
      </w:r>
      <w:r>
        <w:t>«</w:t>
      </w:r>
      <w:r>
        <w:t>дорожных карт</w:t>
      </w:r>
      <w:r>
        <w:t>»</w:t>
      </w:r>
      <w:r>
        <w:t xml:space="preserve"> для выполнения рекомендаций.</w:t>
      </w:r>
    </w:p>
    <w:p w14:paraId="0B093C71" w14:textId="1C71B7C0" w:rsidR="00A42CD2" w:rsidRPr="00A07EBC" w:rsidRDefault="00A42CD2" w:rsidP="00A42CD2">
      <w:pPr>
        <w:pStyle w:val="SingleTxtG"/>
      </w:pPr>
      <w:r>
        <w:t>19.</w:t>
      </w:r>
      <w:r>
        <w:tab/>
        <w:t>Мы также высоко оцениваем повсеместное создание Общей системы экологической информации в регионе для поддержки регулярного процесса экологической оценки. Мы предлагаем странам продолжить свои усилия по внедрению всех основных компонентов Общей системы экологической информации</w:t>
      </w:r>
      <w:r w:rsidR="009100B2">
        <w:t xml:space="preserve"> — </w:t>
      </w:r>
      <w:r>
        <w:t>в плане содержания, инфраструктуры и сотрудничества</w:t>
      </w:r>
      <w:r w:rsidR="009100B2">
        <w:t xml:space="preserve"> — </w:t>
      </w:r>
      <w:r>
        <w:t>и устранить любые остающиеся пробелы. Мы также рекомендуем странам передать экологическую информацию в общественное пользование [на основе принципов FAIR (удобство поиска</w:t>
      </w:r>
      <w:r w:rsidR="009100B2">
        <w:t xml:space="preserve"> — </w:t>
      </w:r>
      <w:r>
        <w:t>доступность</w:t>
      </w:r>
      <w:r w:rsidR="009100B2">
        <w:t xml:space="preserve"> — </w:t>
      </w:r>
      <w:r>
        <w:t>функциональная совместимость</w:t>
      </w:r>
      <w:r w:rsidR="009100B2">
        <w:t xml:space="preserve"> — </w:t>
      </w:r>
      <w:r>
        <w:t>возможность повторного использования данных)</w:t>
      </w:r>
      <w:r w:rsidRPr="0052081B">
        <w:t>]</w:t>
      </w:r>
      <w:r>
        <w:t>, [удобство поиска, доступность, функциональная совместимость и возможность повторного использования данных], сделать ее обнаруживаемой и доступной, а также поощрять повторное использование данных, сбор знаний местного населения и коренных народов, гражданской науки и краудсорсинговых данных. Мы также призываем страны при развитии цифровизации систем экологической информации, опирающихся на открытые данные, большие данные и современные цифровые технологии, повышать доступность данных, прозрачность и вовлечение общественности в процесс принятия решений.</w:t>
      </w:r>
    </w:p>
    <w:p w14:paraId="7C6079FD" w14:textId="1FA3E548" w:rsidR="00A42CD2" w:rsidRPr="00C674D0" w:rsidRDefault="00A42CD2" w:rsidP="00A42CD2">
      <w:pPr>
        <w:pStyle w:val="SingleTxtG"/>
      </w:pPr>
      <w:r>
        <w:t>20.</w:t>
      </w:r>
      <w:r>
        <w:tab/>
        <w:t xml:space="preserve">Мы приветствуем работу Целевой группы по </w:t>
      </w:r>
      <w:r>
        <w:t>«</w:t>
      </w:r>
      <w:r>
        <w:t>зеленой</w:t>
      </w:r>
      <w:r>
        <w:t>»</w:t>
      </w:r>
      <w:r>
        <w:t xml:space="preserve"> экономике и охране окружающей среды и предлагаем Организации экономического сотрудничества и развития продолжать свою деятельность в сотрудничестве с соответствующими партнерами.</w:t>
      </w:r>
    </w:p>
    <w:p w14:paraId="1C34CEEE" w14:textId="779677AA" w:rsidR="00A42CD2" w:rsidRPr="00A07EBC" w:rsidRDefault="00A42CD2" w:rsidP="00A42CD2">
      <w:pPr>
        <w:pStyle w:val="SingleTxtG"/>
      </w:pPr>
      <w:r>
        <w:t>21.</w:t>
      </w:r>
      <w:r>
        <w:tab/>
        <w:t>Мы признаем роль региональных инициатив в плане оказания поддержки Повестки дня в области устойчивого развития на период до 2030 года и важный вклад системы Организации Объединенных Наций, многосторонних банков развития и других международных, региональных и межгосударственных организаций. Мы</w:t>
      </w:r>
      <w:r w:rsidR="009100B2">
        <w:t> </w:t>
      </w:r>
      <w:r>
        <w:t xml:space="preserve">признаем взаимосвязь между здоровьем человека и состоянием окружающей среды и по-прежнему привержены сотрудничеству со Всемирной организацией здравоохранения и сектором здравоохранения. Мы предлагаем региональным экологическим центрам регулярно отчитываться перед Комитетом по экологической политике о своей деятельности. </w:t>
      </w:r>
    </w:p>
    <w:p w14:paraId="30F34938" w14:textId="40A9539F" w:rsidR="00A42CD2" w:rsidRPr="00A07EBC" w:rsidRDefault="00A42CD2" w:rsidP="00A42CD2">
      <w:pPr>
        <w:pStyle w:val="SingleTxtG"/>
      </w:pPr>
      <w:r>
        <w:t>22.</w:t>
      </w:r>
      <w:r>
        <w:tab/>
        <w:t xml:space="preserve">Мы подтверждаем исключительно важную роль, которую играет участие гражданского общества в повышении эффективности процесса принятия решений в интересах улучшения состояния окружающей среды и содействия устойчивому развитию, и обязуемся продолжать развивать партнерские отношения с организациями гражданского общества, а также создавать необходимые условия для их деятельности, включая эффективный доступ к экологической информации, участие и доступ к правосудию в вопросах окружающей среды. Мы приветствуем также вклад Европейского Эко-Форума в процесс </w:t>
      </w:r>
      <w:r>
        <w:t>«</w:t>
      </w:r>
      <w:r>
        <w:t>Окружающая среда для Европы</w:t>
      </w:r>
      <w:r>
        <w:t>»</w:t>
      </w:r>
      <w:r>
        <w:t>.</w:t>
      </w:r>
    </w:p>
    <w:p w14:paraId="004CAB23" w14:textId="77777777" w:rsidR="00A42CD2" w:rsidRPr="00C674D0" w:rsidRDefault="00A42CD2" w:rsidP="00A42CD2">
      <w:pPr>
        <w:pStyle w:val="SingleTxtG"/>
      </w:pPr>
      <w:r>
        <w:t>23.</w:t>
      </w:r>
      <w:r>
        <w:tab/>
        <w:t>Мы предлагаем Комитету по экологической политике провести в 2025 году среднесрочный обзор с целью оценки прогресса в реализации основных итогов настоящей Конференции.</w:t>
      </w:r>
    </w:p>
    <w:p w14:paraId="184DFD43" w14:textId="4F1C59C0" w:rsidR="00A42CD2" w:rsidRPr="00C674D0" w:rsidRDefault="00A42CD2" w:rsidP="00A42CD2">
      <w:pPr>
        <w:pStyle w:val="SingleTxtG"/>
      </w:pPr>
      <w:r>
        <w:t>24.</w:t>
      </w:r>
      <w:r>
        <w:tab/>
        <w:t xml:space="preserve">Мы принимаем решение провести десятую Конференцию министров </w:t>
      </w:r>
      <w:r>
        <w:t>«</w:t>
      </w:r>
      <w:r>
        <w:t>Окружающая среда для Европы</w:t>
      </w:r>
      <w:r>
        <w:t>»</w:t>
      </w:r>
      <w:r>
        <w:t xml:space="preserve"> через пять лет, с тем чтобы оценить прогресс в нашей совместной работе и определить новые направления деятельности, </w:t>
      </w:r>
      <w:r w:rsidR="007301E7">
        <w:br/>
      </w:r>
      <w:r>
        <w:t xml:space="preserve">и предлагаем правительствам, желающим принять ее в своих странах, заявить о своей заинтересованности. </w:t>
      </w:r>
    </w:p>
    <w:p w14:paraId="02F9B8E1" w14:textId="7D96D38A" w:rsidR="00A42CD2" w:rsidRDefault="00A42CD2" w:rsidP="00A42CD2">
      <w:pPr>
        <w:pStyle w:val="SingleTxtG"/>
      </w:pPr>
      <w:r>
        <w:t>25.</w:t>
      </w:r>
      <w:r>
        <w:tab/>
        <w:t>Мы выражаем признательность правительству Кипра за проведение настоящей Конференции и принятие исключительных и весьма решительных мер для того, чтобы пандемия не повлияла на организацию этого мероприятия, и хотели бы поблагодарить правительство и народ Кипра за оказанное теплое гостеприимство.</w:t>
      </w:r>
    </w:p>
    <w:p w14:paraId="1E3E4E38" w14:textId="574B8233" w:rsidR="009100B2" w:rsidRPr="009100B2" w:rsidRDefault="009100B2" w:rsidP="009100B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100B2" w:rsidRPr="009100B2" w:rsidSect="00A42CD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E668" w14:textId="77777777" w:rsidR="00C036D4" w:rsidRPr="00A312BC" w:rsidRDefault="00C036D4" w:rsidP="00A312BC"/>
  </w:endnote>
  <w:endnote w:type="continuationSeparator" w:id="0">
    <w:p w14:paraId="6031BA00" w14:textId="77777777" w:rsidR="00C036D4" w:rsidRPr="00A312BC" w:rsidRDefault="00C036D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3A48" w14:textId="14455812" w:rsidR="00A42CD2" w:rsidRPr="00A42CD2" w:rsidRDefault="00A42CD2">
    <w:pPr>
      <w:pStyle w:val="a8"/>
    </w:pPr>
    <w:r w:rsidRPr="00A42CD2">
      <w:rPr>
        <w:b/>
        <w:sz w:val="18"/>
      </w:rPr>
      <w:fldChar w:fldCharType="begin"/>
    </w:r>
    <w:r w:rsidRPr="00A42CD2">
      <w:rPr>
        <w:b/>
        <w:sz w:val="18"/>
      </w:rPr>
      <w:instrText xml:space="preserve"> PAGE  \* MERGEFORMAT </w:instrText>
    </w:r>
    <w:r w:rsidRPr="00A42CD2">
      <w:rPr>
        <w:b/>
        <w:sz w:val="18"/>
      </w:rPr>
      <w:fldChar w:fldCharType="separate"/>
    </w:r>
    <w:r w:rsidRPr="00A42CD2">
      <w:rPr>
        <w:b/>
        <w:noProof/>
        <w:sz w:val="18"/>
      </w:rPr>
      <w:t>2</w:t>
    </w:r>
    <w:r w:rsidRPr="00A42CD2">
      <w:rPr>
        <w:b/>
        <w:sz w:val="18"/>
      </w:rPr>
      <w:fldChar w:fldCharType="end"/>
    </w:r>
    <w:r>
      <w:rPr>
        <w:b/>
        <w:sz w:val="18"/>
      </w:rPr>
      <w:tab/>
    </w:r>
    <w:r>
      <w:t>GE.22-11529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A069" w14:textId="7CF6AFEF" w:rsidR="00A42CD2" w:rsidRPr="00A42CD2" w:rsidRDefault="00A42CD2" w:rsidP="00A42CD2">
    <w:pPr>
      <w:pStyle w:val="a8"/>
      <w:tabs>
        <w:tab w:val="clear" w:pos="9639"/>
        <w:tab w:val="right" w:pos="9638"/>
      </w:tabs>
      <w:rPr>
        <w:b/>
        <w:sz w:val="18"/>
      </w:rPr>
    </w:pPr>
    <w:r>
      <w:t>GE.22-11529</w:t>
    </w:r>
    <w:r>
      <w:tab/>
    </w:r>
    <w:r w:rsidRPr="00A42CD2">
      <w:rPr>
        <w:b/>
        <w:sz w:val="18"/>
      </w:rPr>
      <w:fldChar w:fldCharType="begin"/>
    </w:r>
    <w:r w:rsidRPr="00A42CD2">
      <w:rPr>
        <w:b/>
        <w:sz w:val="18"/>
      </w:rPr>
      <w:instrText xml:space="preserve"> PAGE  \* MERGEFORMAT </w:instrText>
    </w:r>
    <w:r w:rsidRPr="00A42CD2">
      <w:rPr>
        <w:b/>
        <w:sz w:val="18"/>
      </w:rPr>
      <w:fldChar w:fldCharType="separate"/>
    </w:r>
    <w:r w:rsidRPr="00A42CD2">
      <w:rPr>
        <w:b/>
        <w:noProof/>
        <w:sz w:val="18"/>
      </w:rPr>
      <w:t>3</w:t>
    </w:r>
    <w:r w:rsidRPr="00A42C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E7BE" w14:textId="374E12F3" w:rsidR="00042B72" w:rsidRPr="00013916" w:rsidRDefault="00A42CD2" w:rsidP="00A42CD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00C68F5" wp14:editId="2A0E15C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22-11529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20B16F0" wp14:editId="050A163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916">
      <w:t xml:space="preserve">   </w:t>
    </w:r>
    <w:r w:rsidR="00013916">
      <w:rPr>
        <w:lang w:val="en-US"/>
      </w:rPr>
      <w:t>280722   040822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85E0" w14:textId="77777777" w:rsidR="00C036D4" w:rsidRPr="001075E9" w:rsidRDefault="00C036D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BA1962" w14:textId="77777777" w:rsidR="00C036D4" w:rsidRDefault="00C036D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9F00" w14:textId="63B762AF" w:rsidR="00A42CD2" w:rsidRPr="00A42CD2" w:rsidRDefault="00A42CD2">
    <w:pPr>
      <w:pStyle w:val="a5"/>
    </w:pPr>
    <w:fldSimple w:instr=" TITLE  \* MERGEFORMAT ">
      <w:r w:rsidR="00CC06AC">
        <w:t>ECE/CEP/S/2022/7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71E3" w14:textId="1339D8E1" w:rsidR="00A42CD2" w:rsidRPr="00A42CD2" w:rsidRDefault="00A42CD2" w:rsidP="00A42CD2">
    <w:pPr>
      <w:pStyle w:val="a5"/>
      <w:jc w:val="right"/>
    </w:pPr>
    <w:fldSimple w:instr=" TITLE  \* MERGEFORMAT ">
      <w:r w:rsidR="00CC06AC">
        <w:t>ECE/CEP/S/2022/7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H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D4"/>
    <w:rsid w:val="0001391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06CE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7139"/>
    <w:rsid w:val="00407B78"/>
    <w:rsid w:val="00424203"/>
    <w:rsid w:val="00452493"/>
    <w:rsid w:val="00453318"/>
    <w:rsid w:val="00454AF2"/>
    <w:rsid w:val="00454E07"/>
    <w:rsid w:val="00472C5C"/>
    <w:rsid w:val="00485F8A"/>
    <w:rsid w:val="004A37D5"/>
    <w:rsid w:val="004E05B7"/>
    <w:rsid w:val="0050108D"/>
    <w:rsid w:val="00513081"/>
    <w:rsid w:val="00517901"/>
    <w:rsid w:val="00526683"/>
    <w:rsid w:val="00526DB8"/>
    <w:rsid w:val="0055124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01E7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00B2"/>
    <w:rsid w:val="00911BE4"/>
    <w:rsid w:val="00951972"/>
    <w:rsid w:val="009608F3"/>
    <w:rsid w:val="00963242"/>
    <w:rsid w:val="009A24AC"/>
    <w:rsid w:val="009C1C3D"/>
    <w:rsid w:val="009C59D7"/>
    <w:rsid w:val="009C6FE6"/>
    <w:rsid w:val="009D7E7D"/>
    <w:rsid w:val="00A14DA8"/>
    <w:rsid w:val="00A312BC"/>
    <w:rsid w:val="00A42CD2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36D4"/>
    <w:rsid w:val="00C106D6"/>
    <w:rsid w:val="00C119AE"/>
    <w:rsid w:val="00C60F0C"/>
    <w:rsid w:val="00C71E84"/>
    <w:rsid w:val="00C805C9"/>
    <w:rsid w:val="00C92939"/>
    <w:rsid w:val="00CA1679"/>
    <w:rsid w:val="00CB151C"/>
    <w:rsid w:val="00CC06A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7DB621"/>
  <w15:docId w15:val="{3F9DA62B-6DCA-41A5-8B87-B4F0E21C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A42CD2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A42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info/Sessions-of-the-Commission/events/1837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unece.org/sites/default/files/2022-05/CEP-SS_Draft_Ministerial_Declaration.IP_.12.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ece.org/environmental-policy/events/27th-session-committee-environmental-policy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9</Pages>
  <Words>3601</Words>
  <Characters>25987</Characters>
  <Application>Microsoft Office Word</Application>
  <DocSecurity>0</DocSecurity>
  <Lines>2362</Lines>
  <Paragraphs>986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ECE/CEP/S/2022/7</vt:lpstr>
      <vt:lpstr>A/</vt:lpstr>
      <vt:lpstr>A/</vt:lpstr>
    </vt:vector>
  </TitlesOfParts>
  <Company>DCM</Company>
  <LinksUpToDate>false</LinksUpToDate>
  <CharactersWithSpaces>28602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ECE/CEP/S/2022/7</dc:title>
  <dc:subject/>
  <dc:creator>Larisa MAYKOVSKAYA</dc:creator>
  <cp:keywords/>
  <cp:lastModifiedBy>Larisa MAYKOVSKAYA</cp:lastModifiedBy>
  <cp:revision>3</cp:revision>
  <cp:lastPrinted>2022-08-04T13:53:00Z</cp:lastPrinted>
  <dcterms:created xsi:type="dcterms:W3CDTF">2022-08-04T13:53:00Z</dcterms:created>
  <dcterms:modified xsi:type="dcterms:W3CDTF">2022-08-04T13:54:00Z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