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121C2F28" w:rsidR="00B56E9C" w:rsidRPr="00B042C8" w:rsidRDefault="00CD57D2" w:rsidP="009F652C">
            <w:pPr>
              <w:suppressAutoHyphens w:val="0"/>
              <w:spacing w:after="20"/>
              <w:jc w:val="right"/>
              <w:rPr>
                <w:b/>
                <w:sz w:val="24"/>
                <w:szCs w:val="24"/>
              </w:rPr>
            </w:pPr>
            <w:r w:rsidRPr="00B042C8">
              <w:rPr>
                <w:b/>
                <w:sz w:val="24"/>
                <w:szCs w:val="24"/>
              </w:rPr>
              <w:t>INF.</w:t>
            </w:r>
            <w:r w:rsidR="00AD409C">
              <w:rPr>
                <w:b/>
                <w:sz w:val="24"/>
                <w:szCs w:val="24"/>
              </w:rPr>
              <w:t>6</w:t>
            </w:r>
          </w:p>
        </w:tc>
      </w:tr>
    </w:tbl>
    <w:p w14:paraId="48559710" w14:textId="77777777" w:rsidR="00EC106A" w:rsidRPr="004B1892" w:rsidRDefault="00EC106A">
      <w:pPr>
        <w:spacing w:before="120"/>
        <w:rPr>
          <w:b/>
          <w:sz w:val="28"/>
          <w:szCs w:val="28"/>
        </w:rPr>
      </w:pPr>
      <w:r w:rsidRPr="004B1892">
        <w:rPr>
          <w:b/>
          <w:sz w:val="28"/>
          <w:szCs w:val="28"/>
        </w:rPr>
        <w:t>Economic Commission for Europe</w:t>
      </w:r>
    </w:p>
    <w:p w14:paraId="16911975" w14:textId="77777777" w:rsidR="00EC106A" w:rsidRPr="004B1892" w:rsidRDefault="00EC106A">
      <w:pPr>
        <w:spacing w:before="120"/>
        <w:rPr>
          <w:sz w:val="28"/>
          <w:szCs w:val="28"/>
        </w:rPr>
      </w:pPr>
      <w:r w:rsidRPr="004B1892">
        <w:rPr>
          <w:sz w:val="28"/>
          <w:szCs w:val="28"/>
        </w:rPr>
        <w:t>Inland Transport Committee</w:t>
      </w:r>
    </w:p>
    <w:p w14:paraId="578A4C68" w14:textId="77777777" w:rsidR="00EC106A" w:rsidRPr="004B1892" w:rsidRDefault="00EC106A" w:rsidP="00EC106A">
      <w:pPr>
        <w:spacing w:before="120" w:after="120"/>
        <w:rPr>
          <w:b/>
          <w:sz w:val="24"/>
          <w:szCs w:val="24"/>
        </w:rPr>
      </w:pPr>
      <w:r w:rsidRPr="004B1892">
        <w:rPr>
          <w:b/>
          <w:sz w:val="24"/>
          <w:szCs w:val="24"/>
        </w:rPr>
        <w:t>Working Party on the Transport of Dangerous Goods</w:t>
      </w:r>
    </w:p>
    <w:p w14:paraId="6FA226BE" w14:textId="77777777" w:rsidR="009D2A5B" w:rsidRPr="004B1892" w:rsidRDefault="009D2A5B" w:rsidP="009D2A5B">
      <w:pPr>
        <w:rPr>
          <w:b/>
        </w:rPr>
      </w:pPr>
      <w:r w:rsidRPr="004B1892">
        <w:rPr>
          <w:b/>
        </w:rPr>
        <w:t>Joint Meeting of the RID Committee of Experts and the</w:t>
      </w:r>
    </w:p>
    <w:p w14:paraId="3AB5359E" w14:textId="4A80A465" w:rsidR="009D2A5B" w:rsidRPr="004B1892" w:rsidRDefault="009D2A5B" w:rsidP="009D2A5B">
      <w:pPr>
        <w:rPr>
          <w:b/>
        </w:rPr>
      </w:pPr>
      <w:r w:rsidRPr="004B1892">
        <w:rPr>
          <w:b/>
        </w:rPr>
        <w:t>Working Party on the Transport of Dangerous Goods</w:t>
      </w:r>
      <w:r w:rsidR="000A3752" w:rsidRPr="004B1892">
        <w:rPr>
          <w:b/>
        </w:rPr>
        <w:tab/>
      </w:r>
      <w:r w:rsidR="000A3752" w:rsidRPr="004B1892">
        <w:rPr>
          <w:b/>
        </w:rPr>
        <w:tab/>
      </w:r>
      <w:r w:rsidR="000A3752" w:rsidRPr="004B1892">
        <w:rPr>
          <w:b/>
        </w:rPr>
        <w:tab/>
      </w:r>
      <w:r w:rsidR="000A3752" w:rsidRPr="004B1892">
        <w:rPr>
          <w:b/>
        </w:rPr>
        <w:tab/>
      </w:r>
      <w:r w:rsidR="000A3752" w:rsidRPr="004B1892">
        <w:rPr>
          <w:b/>
        </w:rPr>
        <w:tab/>
      </w:r>
      <w:r w:rsidR="00507993" w:rsidRPr="004B1892">
        <w:rPr>
          <w:b/>
        </w:rPr>
        <w:tab/>
      </w:r>
      <w:r w:rsidR="002925FF" w:rsidRPr="004B1892">
        <w:rPr>
          <w:b/>
        </w:rPr>
        <w:t>2</w:t>
      </w:r>
      <w:r w:rsidR="00F955F8">
        <w:rPr>
          <w:b/>
        </w:rPr>
        <w:t>6</w:t>
      </w:r>
      <w:r w:rsidR="002925FF" w:rsidRPr="004B1892">
        <w:rPr>
          <w:b/>
        </w:rPr>
        <w:t xml:space="preserve"> August</w:t>
      </w:r>
      <w:r w:rsidR="009F652C" w:rsidRPr="004B1892">
        <w:rPr>
          <w:b/>
        </w:rPr>
        <w:t xml:space="preserve"> </w:t>
      </w:r>
      <w:r w:rsidR="00CE4B11" w:rsidRPr="004B1892">
        <w:rPr>
          <w:b/>
        </w:rPr>
        <w:t>20</w:t>
      </w:r>
      <w:r w:rsidR="002925FF" w:rsidRPr="004B1892">
        <w:rPr>
          <w:b/>
        </w:rPr>
        <w:t>22</w:t>
      </w:r>
    </w:p>
    <w:p w14:paraId="54D6CC22" w14:textId="05D84A68" w:rsidR="009D2A5B" w:rsidRPr="004B1892" w:rsidRDefault="002925FF" w:rsidP="00BB7CD1">
      <w:r w:rsidRPr="004B1892">
        <w:t>Geneva</w:t>
      </w:r>
      <w:r w:rsidR="00BB7CD1" w:rsidRPr="004B1892">
        <w:t xml:space="preserve">, </w:t>
      </w:r>
      <w:r w:rsidR="00C548AF" w:rsidRPr="004B1892">
        <w:t>1</w:t>
      </w:r>
      <w:r w:rsidRPr="004B1892">
        <w:t>2</w:t>
      </w:r>
      <w:r w:rsidR="000943A1" w:rsidRPr="004B1892">
        <w:t>-</w:t>
      </w:r>
      <w:r w:rsidRPr="004B1892">
        <w:t>16 September</w:t>
      </w:r>
      <w:r w:rsidR="00A47249" w:rsidRPr="004B1892">
        <w:t xml:space="preserve"> </w:t>
      </w:r>
      <w:r w:rsidR="00BB7CD1" w:rsidRPr="004B1892">
        <w:t>20</w:t>
      </w:r>
      <w:r w:rsidRPr="004B1892">
        <w:t>22</w:t>
      </w:r>
    </w:p>
    <w:p w14:paraId="4F62171B" w14:textId="2A747E71" w:rsidR="00AE4840" w:rsidRPr="004B1892" w:rsidRDefault="00AE4840" w:rsidP="00AE4840">
      <w:r w:rsidRPr="004B1892">
        <w:t xml:space="preserve">Item </w:t>
      </w:r>
      <w:r w:rsidR="00A70684" w:rsidRPr="004B1892">
        <w:t xml:space="preserve">2 </w:t>
      </w:r>
      <w:r w:rsidRPr="004B1892">
        <w:t>of the provisional agenda</w:t>
      </w:r>
    </w:p>
    <w:p w14:paraId="011D5016" w14:textId="38B1F810" w:rsidR="00BB7CD1" w:rsidRPr="004B1892" w:rsidRDefault="00A70684" w:rsidP="00AE4840">
      <w:pPr>
        <w:rPr>
          <w:b/>
        </w:rPr>
      </w:pPr>
      <w:r w:rsidRPr="004B1892">
        <w:rPr>
          <w:b/>
        </w:rPr>
        <w:t>Tanks</w:t>
      </w:r>
    </w:p>
    <w:p w14:paraId="5C961755" w14:textId="12DD7754" w:rsidR="009646C2" w:rsidRPr="004B1892" w:rsidRDefault="009646C2" w:rsidP="002925FF">
      <w:pPr>
        <w:pStyle w:val="HChG"/>
        <w:rPr>
          <w:lang w:val="en-GB"/>
        </w:rPr>
      </w:pPr>
      <w:r w:rsidRPr="004B1892">
        <w:rPr>
          <w:lang w:val="en-GB"/>
        </w:rPr>
        <w:tab/>
      </w:r>
      <w:r w:rsidRPr="004B1892">
        <w:rPr>
          <w:lang w:val="en-GB"/>
        </w:rPr>
        <w:tab/>
      </w:r>
      <w:r w:rsidR="00767D5D" w:rsidRPr="004B1892">
        <w:rPr>
          <w:lang w:val="en-GB"/>
        </w:rPr>
        <w:t xml:space="preserve">Reflection on </w:t>
      </w:r>
      <w:r w:rsidR="002925FF" w:rsidRPr="004B1892">
        <w:rPr>
          <w:lang w:val="en-GB"/>
        </w:rPr>
        <w:t>document ECE/TRANS/WP.15/AC.1/2022/21</w:t>
      </w:r>
      <w:r w:rsidR="00767D5D" w:rsidRPr="004B1892">
        <w:rPr>
          <w:lang w:val="en-GB"/>
        </w:rPr>
        <w:t xml:space="preserve">: </w:t>
      </w:r>
      <w:r w:rsidR="002925FF" w:rsidRPr="004B1892">
        <w:rPr>
          <w:lang w:val="en-GB"/>
        </w:rPr>
        <w:t>Calculation of the shell thickness for tanks with code P22DH (UN No. 1017 CHLORINE; UN No. 1076 PHOSGENE)</w:t>
      </w:r>
    </w:p>
    <w:p w14:paraId="050A12B1" w14:textId="5F3AA61A" w:rsidR="009646C2" w:rsidRPr="004B1892" w:rsidRDefault="009646C2" w:rsidP="009646C2">
      <w:pPr>
        <w:pStyle w:val="H1G"/>
      </w:pPr>
      <w:r w:rsidRPr="004B1892">
        <w:rPr>
          <w:bCs/>
          <w:szCs w:val="24"/>
        </w:rPr>
        <w:tab/>
      </w:r>
      <w:r w:rsidRPr="004B1892">
        <w:rPr>
          <w:bCs/>
          <w:szCs w:val="24"/>
        </w:rPr>
        <w:tab/>
        <w:t xml:space="preserve">Transmitted by the Government of </w:t>
      </w:r>
      <w:r w:rsidR="00B81C66" w:rsidRPr="004B1892">
        <w:rPr>
          <w:bCs/>
          <w:szCs w:val="24"/>
        </w:rPr>
        <w:t>t</w:t>
      </w:r>
      <w:r w:rsidR="000943A1" w:rsidRPr="004B1892">
        <w:rPr>
          <w:bCs/>
          <w:szCs w:val="24"/>
        </w:rPr>
        <w:t>he Netherlands</w:t>
      </w:r>
    </w:p>
    <w:p w14:paraId="3B1F5FC9" w14:textId="3FCAB0DA" w:rsidR="004B138F" w:rsidRPr="004B1892" w:rsidRDefault="008D78BD" w:rsidP="008D78BD">
      <w:pPr>
        <w:pStyle w:val="HChG"/>
        <w:rPr>
          <w:lang w:val="en-GB"/>
        </w:rPr>
      </w:pPr>
      <w:r w:rsidRPr="004B1892">
        <w:rPr>
          <w:lang w:val="en-GB"/>
        </w:rPr>
        <w:tab/>
      </w:r>
      <w:r w:rsidR="00310FC9" w:rsidRPr="004B1892">
        <w:rPr>
          <w:lang w:val="en-GB"/>
        </w:rPr>
        <w:tab/>
      </w:r>
      <w:r w:rsidR="00310FC9" w:rsidRPr="004B1892">
        <w:rPr>
          <w:lang w:val="en-GB"/>
        </w:rPr>
        <w:tab/>
        <w:t>Introduction</w:t>
      </w:r>
    </w:p>
    <w:p w14:paraId="4EAFC6A2" w14:textId="0C008282" w:rsidR="007431D0" w:rsidRPr="004B1892" w:rsidRDefault="008D78BD" w:rsidP="00BA4BFE">
      <w:pPr>
        <w:pStyle w:val="SingleTxtG"/>
        <w:rPr>
          <w:lang w:val="en-GB"/>
        </w:rPr>
      </w:pPr>
      <w:r w:rsidRPr="004B1892">
        <w:rPr>
          <w:lang w:val="en-GB"/>
        </w:rPr>
        <w:t>1.</w:t>
      </w:r>
      <w:r w:rsidRPr="004B1892">
        <w:rPr>
          <w:lang w:val="en-GB"/>
        </w:rPr>
        <w:tab/>
      </w:r>
      <w:r w:rsidR="00DA0E79" w:rsidRPr="004B1892">
        <w:rPr>
          <w:lang w:val="en-GB"/>
        </w:rPr>
        <w:t xml:space="preserve">In </w:t>
      </w:r>
      <w:r w:rsidR="006537F2" w:rsidRPr="004B1892">
        <w:rPr>
          <w:lang w:val="en-GB"/>
        </w:rPr>
        <w:t xml:space="preserve">document </w:t>
      </w:r>
      <w:r w:rsidR="00BA4BFE" w:rsidRPr="004B1892">
        <w:rPr>
          <w:lang w:val="en-GB"/>
        </w:rPr>
        <w:t>ECE/TRANS/WP.15/AC.1/2022/21 clarification is sought for the conditions for calculating the shell thickness for tanks with code P22DH (UN No. 1017 CHLORINE; UN No. 1076 PHOSGENE).</w:t>
      </w:r>
    </w:p>
    <w:p w14:paraId="637D6BD2" w14:textId="7DB6EC5F" w:rsidR="00BA4BFE" w:rsidRPr="004B1892" w:rsidRDefault="008D78BD" w:rsidP="00BA4BFE">
      <w:pPr>
        <w:pStyle w:val="SingleTxtG"/>
        <w:rPr>
          <w:lang w:val="en-GB"/>
        </w:rPr>
      </w:pPr>
      <w:r w:rsidRPr="004B1892">
        <w:rPr>
          <w:lang w:val="en-GB"/>
        </w:rPr>
        <w:t>2.</w:t>
      </w:r>
      <w:r w:rsidRPr="004B1892">
        <w:rPr>
          <w:lang w:val="en-GB"/>
        </w:rPr>
        <w:tab/>
      </w:r>
      <w:r w:rsidR="00BA4BFE" w:rsidRPr="004B1892">
        <w:rPr>
          <w:lang w:val="en-GB"/>
        </w:rPr>
        <w:t>The Netherlands agrees that there are incons</w:t>
      </w:r>
      <w:r w:rsidR="00771625" w:rsidRPr="004B1892">
        <w:rPr>
          <w:lang w:val="en-GB"/>
        </w:rPr>
        <w:t>is</w:t>
      </w:r>
      <w:r w:rsidR="00BA4BFE" w:rsidRPr="004B1892">
        <w:rPr>
          <w:lang w:val="en-GB"/>
        </w:rPr>
        <w:t>t</w:t>
      </w:r>
      <w:r w:rsidR="00771625" w:rsidRPr="004B1892">
        <w:rPr>
          <w:lang w:val="en-GB"/>
        </w:rPr>
        <w:t>e</w:t>
      </w:r>
      <w:r w:rsidR="00BA4BFE" w:rsidRPr="004B1892">
        <w:rPr>
          <w:lang w:val="en-GB"/>
        </w:rPr>
        <w:t>ncies in the reference to tables of 4.3.3.1.1 for UN</w:t>
      </w:r>
      <w:r w:rsidR="00211DC0" w:rsidRPr="004B1892">
        <w:rPr>
          <w:lang w:val="en-GB"/>
        </w:rPr>
        <w:t xml:space="preserve"> </w:t>
      </w:r>
      <w:r w:rsidR="00BA4BFE" w:rsidRPr="004B1892">
        <w:rPr>
          <w:lang w:val="en-GB"/>
        </w:rPr>
        <w:t>1017 Chlorine as raised in document ECE/TRANS/WP.15/AC.1/2022/21.</w:t>
      </w:r>
    </w:p>
    <w:p w14:paraId="22F84A15" w14:textId="19450D3C" w:rsidR="004C64C0" w:rsidRPr="004B1892" w:rsidRDefault="008D78BD" w:rsidP="004C64C0">
      <w:pPr>
        <w:pStyle w:val="SingleTxtG"/>
        <w:rPr>
          <w:lang w:val="en-GB"/>
        </w:rPr>
      </w:pPr>
      <w:r w:rsidRPr="004B1892">
        <w:rPr>
          <w:lang w:val="en-GB"/>
        </w:rPr>
        <w:t>3.</w:t>
      </w:r>
      <w:r w:rsidRPr="004B1892">
        <w:rPr>
          <w:lang w:val="en-GB"/>
        </w:rPr>
        <w:tab/>
      </w:r>
      <w:r w:rsidR="004C64C0" w:rsidRPr="004B1892">
        <w:rPr>
          <w:lang w:val="en-GB"/>
        </w:rPr>
        <w:t xml:space="preserve">Section 6.8.3 modifies or completes the basic requirements of section 6.8.2 for tanks for the carriage of gases. As 6.8.2.1.17 is not modified or completed by </w:t>
      </w:r>
      <w:r w:rsidR="00892CEC" w:rsidRPr="004B1892">
        <w:rPr>
          <w:lang w:val="en-GB"/>
        </w:rPr>
        <w:t xml:space="preserve">section </w:t>
      </w:r>
      <w:r w:rsidR="004C64C0" w:rsidRPr="004B1892">
        <w:rPr>
          <w:lang w:val="en-GB"/>
        </w:rPr>
        <w:t>6.8.3 it also applies. This means that the greatest value based on calculation pressure or test pressure in combination with Lambda should be used. The shell thickness for UN 1017 Chlorine shall be based on 22 bar, regardless of insulation, but test pressure may be lower.</w:t>
      </w:r>
    </w:p>
    <w:p w14:paraId="2DCA13D8" w14:textId="60DFEE64" w:rsidR="004C64C0" w:rsidRPr="004B1892" w:rsidRDefault="008D78BD" w:rsidP="004C64C0">
      <w:pPr>
        <w:pStyle w:val="SingleTxtG"/>
        <w:rPr>
          <w:u w:val="single"/>
          <w:lang w:val="en-GB"/>
        </w:rPr>
      </w:pPr>
      <w:r w:rsidRPr="004B1892">
        <w:rPr>
          <w:lang w:val="en-GB"/>
        </w:rPr>
        <w:t>4.</w:t>
      </w:r>
      <w:r w:rsidRPr="004B1892">
        <w:rPr>
          <w:lang w:val="en-GB"/>
        </w:rPr>
        <w:tab/>
      </w:r>
      <w:r w:rsidR="004C64C0" w:rsidRPr="004B1892">
        <w:rPr>
          <w:lang w:val="en-GB"/>
        </w:rPr>
        <w:t>However, the Netherlands is reluctan</w:t>
      </w:r>
      <w:r w:rsidR="005F1010">
        <w:rPr>
          <w:lang w:val="en-GB"/>
        </w:rPr>
        <w:t>t</w:t>
      </w:r>
      <w:r w:rsidR="004C64C0" w:rsidRPr="004B1892">
        <w:rPr>
          <w:lang w:val="en-GB"/>
        </w:rPr>
        <w:t xml:space="preserve"> to modify the reference where to find the calculation pressure in 6.8.2.1.17 as this is correct for tanks for class 1 and 3 to 9. Alternatively, a reference to the table in 4.3.3.1.1 may be included as a new subsection 6.8.3.1.1.2. This would restore consistency between the sections 6.8.2 and 6.8.3.</w:t>
      </w:r>
    </w:p>
    <w:p w14:paraId="1C2F18E6" w14:textId="6FD3F002" w:rsidR="00265023" w:rsidRPr="004B1892" w:rsidRDefault="008D78BD" w:rsidP="008D78BD">
      <w:pPr>
        <w:pStyle w:val="HChG"/>
        <w:rPr>
          <w:lang w:val="en-GB"/>
        </w:rPr>
      </w:pPr>
      <w:r w:rsidRPr="004B1892">
        <w:rPr>
          <w:lang w:val="en-GB"/>
        </w:rPr>
        <w:tab/>
      </w:r>
      <w:r w:rsidRPr="004B1892">
        <w:rPr>
          <w:lang w:val="en-GB"/>
        </w:rPr>
        <w:tab/>
      </w:r>
      <w:r w:rsidR="004C64C0" w:rsidRPr="004B1892">
        <w:rPr>
          <w:lang w:val="en-GB"/>
        </w:rPr>
        <w:t>Proposal</w:t>
      </w:r>
    </w:p>
    <w:p w14:paraId="44BE9B7A" w14:textId="59396A35" w:rsidR="00B33A82" w:rsidRPr="004B1892" w:rsidRDefault="008D78BD" w:rsidP="00B33A82">
      <w:pPr>
        <w:pStyle w:val="SingleTxtG"/>
        <w:rPr>
          <w:lang w:val="en-GB"/>
        </w:rPr>
      </w:pPr>
      <w:r w:rsidRPr="004B1892">
        <w:rPr>
          <w:lang w:val="en-GB"/>
        </w:rPr>
        <w:t>5.</w:t>
      </w:r>
      <w:r w:rsidRPr="004B1892">
        <w:rPr>
          <w:lang w:val="en-GB"/>
        </w:rPr>
        <w:tab/>
      </w:r>
      <w:r w:rsidR="00B33A82" w:rsidRPr="004B1892">
        <w:rPr>
          <w:lang w:val="en-GB"/>
        </w:rPr>
        <w:t xml:space="preserve">Split the existing 6.8.2.1.1 into a new </w:t>
      </w:r>
      <w:r w:rsidR="00DD430F" w:rsidRPr="004B1892">
        <w:rPr>
          <w:lang w:val="en-GB"/>
        </w:rPr>
        <w:t>sub</w:t>
      </w:r>
      <w:r w:rsidR="00B33A82" w:rsidRPr="004B1892">
        <w:rPr>
          <w:lang w:val="en-GB"/>
        </w:rPr>
        <w:t>section 6.8.2.1.1.1, with the existing wording of 6.8.2.1.1, and a new subsection 6.8.3.1.1.2 to read as follows:</w:t>
      </w:r>
    </w:p>
    <w:p w14:paraId="5F5F6B63" w14:textId="3584A928" w:rsidR="00B33A82" w:rsidRPr="004B1892" w:rsidRDefault="00B33A82" w:rsidP="00252ADF">
      <w:pPr>
        <w:pStyle w:val="SingleTxtG"/>
        <w:ind w:left="2268" w:hanging="1134"/>
        <w:rPr>
          <w:i/>
          <w:iCs/>
          <w:lang w:val="en-GB"/>
        </w:rPr>
      </w:pPr>
      <w:r w:rsidRPr="004B1892">
        <w:rPr>
          <w:i/>
          <w:iCs/>
          <w:lang w:val="en-GB"/>
        </w:rPr>
        <w:t>“6.8.3.1.1.2</w:t>
      </w:r>
      <w:r w:rsidR="00252ADF">
        <w:rPr>
          <w:i/>
          <w:iCs/>
          <w:lang w:val="en-GB"/>
        </w:rPr>
        <w:tab/>
      </w:r>
      <w:r w:rsidRPr="004B1892">
        <w:rPr>
          <w:i/>
          <w:iCs/>
          <w:lang w:val="en-GB"/>
        </w:rPr>
        <w:t>For the calculation pressure as required by 6.8.2.1.17 to determine the shell</w:t>
      </w:r>
      <w:r w:rsidRPr="004B1892">
        <w:rPr>
          <w:i/>
          <w:iCs/>
          <w:u w:val="single"/>
          <w:lang w:val="en-GB"/>
        </w:rPr>
        <w:t xml:space="preserve"> </w:t>
      </w:r>
      <w:r w:rsidRPr="004B1892">
        <w:rPr>
          <w:i/>
          <w:iCs/>
          <w:lang w:val="en-GB"/>
        </w:rPr>
        <w:t>thickness see 4.3.3.1.1.”</w:t>
      </w:r>
    </w:p>
    <w:p w14:paraId="32866E1A" w14:textId="2580417D" w:rsidR="00B33A82" w:rsidRPr="004B1892" w:rsidRDefault="00AD409C" w:rsidP="00AD409C">
      <w:pPr>
        <w:pStyle w:val="HChG"/>
        <w:rPr>
          <w:b w:val="0"/>
          <w:bCs/>
          <w:szCs w:val="28"/>
          <w:lang w:val="en-GB"/>
        </w:rPr>
      </w:pPr>
      <w:r w:rsidRPr="004B1892">
        <w:rPr>
          <w:lang w:val="en-GB"/>
        </w:rPr>
        <w:tab/>
      </w:r>
      <w:r w:rsidRPr="004B1892">
        <w:rPr>
          <w:lang w:val="en-GB"/>
        </w:rPr>
        <w:tab/>
      </w:r>
      <w:r w:rsidR="00B33A82" w:rsidRPr="004B1892">
        <w:rPr>
          <w:lang w:val="en-GB"/>
        </w:rPr>
        <w:t>Discussion</w:t>
      </w:r>
    </w:p>
    <w:p w14:paraId="11EAC367" w14:textId="7259CE24" w:rsidR="00B33A82" w:rsidRPr="004B1892" w:rsidRDefault="00B33A82" w:rsidP="00B33A82">
      <w:pPr>
        <w:pStyle w:val="SingleTxtG"/>
        <w:rPr>
          <w:lang w:val="en-GB"/>
        </w:rPr>
      </w:pPr>
      <w:r w:rsidRPr="004B1892">
        <w:rPr>
          <w:lang w:val="en-GB"/>
        </w:rPr>
        <w:t>6.</w:t>
      </w:r>
      <w:r w:rsidR="008D78BD" w:rsidRPr="004B1892">
        <w:rPr>
          <w:lang w:val="en-GB"/>
        </w:rPr>
        <w:tab/>
      </w:r>
      <w:r w:rsidRPr="004B1892">
        <w:rPr>
          <w:lang w:val="en-GB"/>
        </w:rPr>
        <w:t>It may be argued why only for UN 1017 Chlori</w:t>
      </w:r>
      <w:r w:rsidR="00EE288F">
        <w:rPr>
          <w:lang w:val="en-GB"/>
        </w:rPr>
        <w:t>n</w:t>
      </w:r>
      <w:r w:rsidRPr="004B1892">
        <w:rPr>
          <w:lang w:val="en-GB"/>
        </w:rPr>
        <w:t xml:space="preserve">e and UN </w:t>
      </w:r>
      <w:r w:rsidR="00FE477D" w:rsidRPr="004B1892">
        <w:rPr>
          <w:lang w:val="en-GB"/>
        </w:rPr>
        <w:t>10</w:t>
      </w:r>
      <w:r w:rsidRPr="004B1892">
        <w:rPr>
          <w:lang w:val="en-GB"/>
        </w:rPr>
        <w:t>76 Phosgene a different approach is taken with a higher calculation pressure over the test pressure leading to possible confusion. For tanks for the carriage of the classes 3 to 9 this is practice when the calculation pressure is above 4 bar.</w:t>
      </w:r>
    </w:p>
    <w:p w14:paraId="53972CE5" w14:textId="4EFF5840" w:rsidR="003958E4" w:rsidRPr="004B1892" w:rsidRDefault="008D78BD" w:rsidP="003958E4">
      <w:pPr>
        <w:pStyle w:val="SingleTxtG"/>
        <w:rPr>
          <w:lang w:val="en-GB"/>
        </w:rPr>
      </w:pPr>
      <w:r w:rsidRPr="004B1892">
        <w:rPr>
          <w:lang w:val="en-GB"/>
        </w:rPr>
        <w:t>7.</w:t>
      </w:r>
      <w:r w:rsidRPr="004B1892">
        <w:rPr>
          <w:lang w:val="en-GB"/>
        </w:rPr>
        <w:tab/>
      </w:r>
      <w:r w:rsidR="003958E4" w:rsidRPr="004B1892">
        <w:rPr>
          <w:lang w:val="en-GB"/>
        </w:rPr>
        <w:t>To prevent confusion the same approach as for UN 1749 “Chloride trifluoride” could be followed in the table of 4.3.3.2.5 that gives identical values for test pressure of insulated as well as non-insulated tanks. It is assumed that the higher test pressure for Chlorine receptacles will not lead to any problems in practice.</w:t>
      </w:r>
    </w:p>
    <w:p w14:paraId="34E97048" w14:textId="77777777" w:rsidR="00115C11" w:rsidRPr="004B1892" w:rsidRDefault="00115C11" w:rsidP="003958E4">
      <w:pPr>
        <w:pStyle w:val="SingleTxtG"/>
        <w:rPr>
          <w:lang w:val="en-GB"/>
        </w:rPr>
      </w:pPr>
    </w:p>
    <w:tbl>
      <w:tblPr>
        <w:tblStyle w:val="TableGrid"/>
        <w:tblW w:w="8055" w:type="dxa"/>
        <w:tblInd w:w="1190" w:type="dxa"/>
        <w:tblLook w:val="04A0" w:firstRow="1" w:lastRow="0" w:firstColumn="1" w:lastColumn="0" w:noHBand="0" w:noVBand="1"/>
      </w:tblPr>
      <w:tblGrid>
        <w:gridCol w:w="937"/>
        <w:gridCol w:w="1043"/>
        <w:gridCol w:w="1362"/>
        <w:gridCol w:w="913"/>
        <w:gridCol w:w="874"/>
        <w:gridCol w:w="913"/>
        <w:gridCol w:w="874"/>
        <w:gridCol w:w="1139"/>
      </w:tblGrid>
      <w:tr w:rsidR="003958E4" w:rsidRPr="004B1892" w14:paraId="34F129D0" w14:textId="77777777" w:rsidTr="00115C11">
        <w:tc>
          <w:tcPr>
            <w:tcW w:w="937" w:type="dxa"/>
            <w:vMerge w:val="restart"/>
          </w:tcPr>
          <w:p w14:paraId="2982BABE" w14:textId="77777777" w:rsidR="003958E4" w:rsidRPr="004B1892" w:rsidRDefault="003958E4" w:rsidP="00D66393">
            <w:r w:rsidRPr="004B1892">
              <w:t>UN No.</w:t>
            </w:r>
          </w:p>
        </w:tc>
        <w:tc>
          <w:tcPr>
            <w:tcW w:w="1043" w:type="dxa"/>
            <w:vMerge w:val="restart"/>
          </w:tcPr>
          <w:p w14:paraId="1742D79A" w14:textId="77777777" w:rsidR="003958E4" w:rsidRPr="004B1892" w:rsidRDefault="003958E4" w:rsidP="00D66393">
            <w:r w:rsidRPr="004B1892">
              <w:t>Name</w:t>
            </w:r>
          </w:p>
        </w:tc>
        <w:tc>
          <w:tcPr>
            <w:tcW w:w="1362" w:type="dxa"/>
            <w:vMerge w:val="restart"/>
          </w:tcPr>
          <w:p w14:paraId="7A55FAD8" w14:textId="77777777" w:rsidR="003958E4" w:rsidRPr="004B1892" w:rsidRDefault="003958E4" w:rsidP="00D66393">
            <w:r w:rsidRPr="004B1892">
              <w:t>Classification code</w:t>
            </w:r>
          </w:p>
        </w:tc>
        <w:tc>
          <w:tcPr>
            <w:tcW w:w="3574" w:type="dxa"/>
            <w:gridSpan w:val="4"/>
          </w:tcPr>
          <w:p w14:paraId="4F8530BF" w14:textId="77777777" w:rsidR="003958E4" w:rsidRPr="004B1892" w:rsidRDefault="003958E4" w:rsidP="00D66393">
            <w:r w:rsidRPr="004B1892">
              <w:t>Minimum test pressure for tanks</w:t>
            </w:r>
          </w:p>
        </w:tc>
        <w:tc>
          <w:tcPr>
            <w:tcW w:w="1139" w:type="dxa"/>
            <w:vMerge w:val="restart"/>
          </w:tcPr>
          <w:p w14:paraId="43ABE807" w14:textId="77777777" w:rsidR="003958E4" w:rsidRPr="004B1892" w:rsidRDefault="003958E4" w:rsidP="00D66393">
            <w:r w:rsidRPr="004B1892">
              <w:t>Maximum permissible mass of content per litre of capacity</w:t>
            </w:r>
          </w:p>
        </w:tc>
      </w:tr>
      <w:tr w:rsidR="003958E4" w:rsidRPr="004B1892" w14:paraId="1F4FE502" w14:textId="77777777" w:rsidTr="00115C11">
        <w:tc>
          <w:tcPr>
            <w:tcW w:w="937" w:type="dxa"/>
            <w:vMerge/>
          </w:tcPr>
          <w:p w14:paraId="22DDDF2A" w14:textId="77777777" w:rsidR="003958E4" w:rsidRPr="004B1892" w:rsidRDefault="003958E4" w:rsidP="00D66393"/>
        </w:tc>
        <w:tc>
          <w:tcPr>
            <w:tcW w:w="1043" w:type="dxa"/>
            <w:vMerge/>
          </w:tcPr>
          <w:p w14:paraId="34C7167D" w14:textId="77777777" w:rsidR="003958E4" w:rsidRPr="004B1892" w:rsidRDefault="003958E4" w:rsidP="00D66393"/>
        </w:tc>
        <w:tc>
          <w:tcPr>
            <w:tcW w:w="1362" w:type="dxa"/>
            <w:vMerge/>
          </w:tcPr>
          <w:p w14:paraId="54B69725" w14:textId="77777777" w:rsidR="003958E4" w:rsidRPr="004B1892" w:rsidRDefault="003958E4" w:rsidP="00D66393"/>
        </w:tc>
        <w:tc>
          <w:tcPr>
            <w:tcW w:w="1787" w:type="dxa"/>
            <w:gridSpan w:val="2"/>
          </w:tcPr>
          <w:p w14:paraId="7BD14932" w14:textId="77777777" w:rsidR="003958E4" w:rsidRPr="004B1892" w:rsidRDefault="003958E4" w:rsidP="00D66393">
            <w:r w:rsidRPr="004B1892">
              <w:t>With thermal insulation</w:t>
            </w:r>
          </w:p>
        </w:tc>
        <w:tc>
          <w:tcPr>
            <w:tcW w:w="1787" w:type="dxa"/>
            <w:gridSpan w:val="2"/>
          </w:tcPr>
          <w:p w14:paraId="26F1EC71" w14:textId="77777777" w:rsidR="003958E4" w:rsidRPr="004B1892" w:rsidRDefault="003958E4" w:rsidP="00D66393">
            <w:r w:rsidRPr="004B1892">
              <w:t>Without thermal insulation</w:t>
            </w:r>
          </w:p>
        </w:tc>
        <w:tc>
          <w:tcPr>
            <w:tcW w:w="1139" w:type="dxa"/>
            <w:vMerge/>
          </w:tcPr>
          <w:p w14:paraId="2A086678" w14:textId="77777777" w:rsidR="003958E4" w:rsidRPr="004B1892" w:rsidRDefault="003958E4" w:rsidP="00D66393"/>
        </w:tc>
      </w:tr>
      <w:tr w:rsidR="003958E4" w:rsidRPr="004B1892" w14:paraId="6B83600F" w14:textId="77777777" w:rsidTr="00115C11">
        <w:tc>
          <w:tcPr>
            <w:tcW w:w="937" w:type="dxa"/>
            <w:vMerge/>
          </w:tcPr>
          <w:p w14:paraId="57114847" w14:textId="77777777" w:rsidR="003958E4" w:rsidRPr="004B1892" w:rsidRDefault="003958E4" w:rsidP="00D66393"/>
        </w:tc>
        <w:tc>
          <w:tcPr>
            <w:tcW w:w="1043" w:type="dxa"/>
            <w:vMerge/>
          </w:tcPr>
          <w:p w14:paraId="4D0EC1BB" w14:textId="77777777" w:rsidR="003958E4" w:rsidRPr="004B1892" w:rsidRDefault="003958E4" w:rsidP="00D66393"/>
        </w:tc>
        <w:tc>
          <w:tcPr>
            <w:tcW w:w="1362" w:type="dxa"/>
            <w:vMerge/>
          </w:tcPr>
          <w:p w14:paraId="4A2AF907" w14:textId="77777777" w:rsidR="003958E4" w:rsidRPr="004B1892" w:rsidRDefault="003958E4" w:rsidP="00D66393"/>
        </w:tc>
        <w:tc>
          <w:tcPr>
            <w:tcW w:w="913" w:type="dxa"/>
          </w:tcPr>
          <w:p w14:paraId="6DA05011" w14:textId="77777777" w:rsidR="003958E4" w:rsidRPr="004B1892" w:rsidRDefault="003958E4" w:rsidP="00D66393">
            <w:r w:rsidRPr="004B1892">
              <w:t>MPa</w:t>
            </w:r>
          </w:p>
        </w:tc>
        <w:tc>
          <w:tcPr>
            <w:tcW w:w="874" w:type="dxa"/>
          </w:tcPr>
          <w:p w14:paraId="3A2C83CD" w14:textId="77777777" w:rsidR="003958E4" w:rsidRPr="004B1892" w:rsidRDefault="003958E4" w:rsidP="00D66393">
            <w:r w:rsidRPr="004B1892">
              <w:t>bar</w:t>
            </w:r>
          </w:p>
        </w:tc>
        <w:tc>
          <w:tcPr>
            <w:tcW w:w="913" w:type="dxa"/>
          </w:tcPr>
          <w:p w14:paraId="58C93167" w14:textId="77777777" w:rsidR="003958E4" w:rsidRPr="004B1892" w:rsidRDefault="003958E4" w:rsidP="00D66393">
            <w:r w:rsidRPr="004B1892">
              <w:t>MPa</w:t>
            </w:r>
          </w:p>
        </w:tc>
        <w:tc>
          <w:tcPr>
            <w:tcW w:w="874" w:type="dxa"/>
          </w:tcPr>
          <w:p w14:paraId="397925C5" w14:textId="77777777" w:rsidR="003958E4" w:rsidRPr="004B1892" w:rsidRDefault="003958E4" w:rsidP="00D66393">
            <w:r w:rsidRPr="004B1892">
              <w:t>bar</w:t>
            </w:r>
          </w:p>
        </w:tc>
        <w:tc>
          <w:tcPr>
            <w:tcW w:w="1139" w:type="dxa"/>
          </w:tcPr>
          <w:p w14:paraId="77AAB8E0" w14:textId="77777777" w:rsidR="003958E4" w:rsidRPr="004B1892" w:rsidRDefault="003958E4" w:rsidP="00D66393">
            <w:r w:rsidRPr="004B1892">
              <w:t>kg</w:t>
            </w:r>
          </w:p>
        </w:tc>
      </w:tr>
      <w:tr w:rsidR="003958E4" w:rsidRPr="004B1892" w14:paraId="67FAD5DB" w14:textId="77777777" w:rsidTr="00115C11">
        <w:tc>
          <w:tcPr>
            <w:tcW w:w="937" w:type="dxa"/>
          </w:tcPr>
          <w:p w14:paraId="2A0914DD" w14:textId="77777777" w:rsidR="003958E4" w:rsidRPr="004B1892" w:rsidRDefault="003958E4" w:rsidP="00D66393"/>
        </w:tc>
        <w:tc>
          <w:tcPr>
            <w:tcW w:w="1043" w:type="dxa"/>
          </w:tcPr>
          <w:p w14:paraId="39722E0A" w14:textId="77777777" w:rsidR="003958E4" w:rsidRPr="004B1892" w:rsidRDefault="003958E4" w:rsidP="00D66393"/>
        </w:tc>
        <w:tc>
          <w:tcPr>
            <w:tcW w:w="1362" w:type="dxa"/>
          </w:tcPr>
          <w:p w14:paraId="6C5D019C" w14:textId="77777777" w:rsidR="003958E4" w:rsidRPr="004B1892" w:rsidRDefault="003958E4" w:rsidP="00D66393"/>
        </w:tc>
        <w:tc>
          <w:tcPr>
            <w:tcW w:w="913" w:type="dxa"/>
          </w:tcPr>
          <w:p w14:paraId="47139E8E" w14:textId="77777777" w:rsidR="003958E4" w:rsidRPr="004B1892" w:rsidRDefault="003958E4" w:rsidP="00D66393"/>
        </w:tc>
        <w:tc>
          <w:tcPr>
            <w:tcW w:w="874" w:type="dxa"/>
          </w:tcPr>
          <w:p w14:paraId="56B6822E" w14:textId="77777777" w:rsidR="003958E4" w:rsidRPr="004B1892" w:rsidRDefault="003958E4" w:rsidP="00D66393"/>
        </w:tc>
        <w:tc>
          <w:tcPr>
            <w:tcW w:w="913" w:type="dxa"/>
          </w:tcPr>
          <w:p w14:paraId="32ACFB53" w14:textId="77777777" w:rsidR="003958E4" w:rsidRPr="004B1892" w:rsidRDefault="003958E4" w:rsidP="00D66393"/>
        </w:tc>
        <w:tc>
          <w:tcPr>
            <w:tcW w:w="874" w:type="dxa"/>
          </w:tcPr>
          <w:p w14:paraId="3132661C" w14:textId="77777777" w:rsidR="003958E4" w:rsidRPr="004B1892" w:rsidRDefault="003958E4" w:rsidP="00D66393"/>
        </w:tc>
        <w:tc>
          <w:tcPr>
            <w:tcW w:w="1139" w:type="dxa"/>
          </w:tcPr>
          <w:p w14:paraId="75841A88" w14:textId="77777777" w:rsidR="003958E4" w:rsidRPr="004B1892" w:rsidRDefault="003958E4" w:rsidP="00D66393"/>
        </w:tc>
      </w:tr>
      <w:tr w:rsidR="003958E4" w:rsidRPr="004B1892" w14:paraId="2C2FDB5E" w14:textId="77777777" w:rsidTr="00115C11">
        <w:tc>
          <w:tcPr>
            <w:tcW w:w="937" w:type="dxa"/>
          </w:tcPr>
          <w:p w14:paraId="1CEB158B" w14:textId="77777777" w:rsidR="003958E4" w:rsidRPr="004B1892" w:rsidRDefault="003958E4" w:rsidP="00D66393">
            <w:r w:rsidRPr="004B1892">
              <w:t>1017</w:t>
            </w:r>
          </w:p>
        </w:tc>
        <w:tc>
          <w:tcPr>
            <w:tcW w:w="1043" w:type="dxa"/>
          </w:tcPr>
          <w:p w14:paraId="01A626F4" w14:textId="77777777" w:rsidR="003958E4" w:rsidRPr="004B1892" w:rsidRDefault="003958E4" w:rsidP="00D66393">
            <w:r w:rsidRPr="004B1892">
              <w:t>Chlorine</w:t>
            </w:r>
          </w:p>
        </w:tc>
        <w:tc>
          <w:tcPr>
            <w:tcW w:w="1362" w:type="dxa"/>
          </w:tcPr>
          <w:p w14:paraId="5E310D9F" w14:textId="77777777" w:rsidR="003958E4" w:rsidRPr="004B1892" w:rsidRDefault="003958E4" w:rsidP="00D66393">
            <w:r w:rsidRPr="004B1892">
              <w:t>2 TOC</w:t>
            </w:r>
          </w:p>
        </w:tc>
        <w:tc>
          <w:tcPr>
            <w:tcW w:w="913" w:type="dxa"/>
          </w:tcPr>
          <w:p w14:paraId="1AE46255" w14:textId="77777777" w:rsidR="003958E4" w:rsidRPr="004B1892" w:rsidRDefault="003958E4" w:rsidP="00D66393">
            <w:pPr>
              <w:rPr>
                <w:strike/>
              </w:rPr>
            </w:pPr>
            <w:r w:rsidRPr="004B1892">
              <w:rPr>
                <w:strike/>
              </w:rPr>
              <w:t xml:space="preserve">1.7 </w:t>
            </w:r>
            <w:r w:rsidRPr="004B1892">
              <w:rPr>
                <w:b/>
                <w:bCs/>
                <w:i/>
                <w:iCs/>
              </w:rPr>
              <w:t>2.2</w:t>
            </w:r>
          </w:p>
        </w:tc>
        <w:tc>
          <w:tcPr>
            <w:tcW w:w="874" w:type="dxa"/>
          </w:tcPr>
          <w:p w14:paraId="469D2674" w14:textId="77777777" w:rsidR="003958E4" w:rsidRPr="004B1892" w:rsidRDefault="003958E4" w:rsidP="00D66393">
            <w:r w:rsidRPr="004B1892">
              <w:rPr>
                <w:strike/>
              </w:rPr>
              <w:t>17</w:t>
            </w:r>
            <w:r w:rsidRPr="004B1892">
              <w:t xml:space="preserve"> 22</w:t>
            </w:r>
          </w:p>
        </w:tc>
        <w:tc>
          <w:tcPr>
            <w:tcW w:w="913" w:type="dxa"/>
          </w:tcPr>
          <w:p w14:paraId="15D9063C" w14:textId="77777777" w:rsidR="003958E4" w:rsidRPr="004B1892" w:rsidRDefault="003958E4" w:rsidP="00D66393">
            <w:r w:rsidRPr="004B1892">
              <w:rPr>
                <w:strike/>
              </w:rPr>
              <w:t>1.9</w:t>
            </w:r>
            <w:r w:rsidRPr="004B1892">
              <w:t xml:space="preserve"> </w:t>
            </w:r>
            <w:r w:rsidRPr="004B1892">
              <w:rPr>
                <w:b/>
                <w:bCs/>
                <w:i/>
                <w:iCs/>
              </w:rPr>
              <w:t>2.2</w:t>
            </w:r>
          </w:p>
        </w:tc>
        <w:tc>
          <w:tcPr>
            <w:tcW w:w="874" w:type="dxa"/>
          </w:tcPr>
          <w:p w14:paraId="41D0FA52" w14:textId="77777777" w:rsidR="003958E4" w:rsidRPr="004B1892" w:rsidRDefault="003958E4" w:rsidP="00D66393">
            <w:r w:rsidRPr="004B1892">
              <w:rPr>
                <w:strike/>
              </w:rPr>
              <w:t>19</w:t>
            </w:r>
            <w:r w:rsidRPr="004B1892">
              <w:t xml:space="preserve"> </w:t>
            </w:r>
            <w:r w:rsidRPr="004B1892">
              <w:rPr>
                <w:b/>
                <w:bCs/>
                <w:i/>
                <w:iCs/>
              </w:rPr>
              <w:t>22</w:t>
            </w:r>
          </w:p>
        </w:tc>
        <w:tc>
          <w:tcPr>
            <w:tcW w:w="1139" w:type="dxa"/>
          </w:tcPr>
          <w:p w14:paraId="0920036B" w14:textId="39954E32" w:rsidR="003958E4" w:rsidRPr="004B1892" w:rsidRDefault="003958E4" w:rsidP="00D66393">
            <w:r w:rsidRPr="004B1892">
              <w:t>1.25</w:t>
            </w:r>
          </w:p>
        </w:tc>
      </w:tr>
      <w:tr w:rsidR="003958E4" w:rsidRPr="004B1892" w14:paraId="0C66ED00" w14:textId="77777777" w:rsidTr="00115C11">
        <w:tc>
          <w:tcPr>
            <w:tcW w:w="937" w:type="dxa"/>
          </w:tcPr>
          <w:p w14:paraId="42FF612B" w14:textId="77777777" w:rsidR="003958E4" w:rsidRPr="004B1892" w:rsidRDefault="003958E4" w:rsidP="00D66393"/>
        </w:tc>
        <w:tc>
          <w:tcPr>
            <w:tcW w:w="1043" w:type="dxa"/>
          </w:tcPr>
          <w:p w14:paraId="5A3F750D" w14:textId="77777777" w:rsidR="003958E4" w:rsidRPr="004B1892" w:rsidRDefault="003958E4" w:rsidP="00D66393"/>
        </w:tc>
        <w:tc>
          <w:tcPr>
            <w:tcW w:w="1362" w:type="dxa"/>
          </w:tcPr>
          <w:p w14:paraId="4F7A6A09" w14:textId="77777777" w:rsidR="003958E4" w:rsidRPr="004B1892" w:rsidRDefault="003958E4" w:rsidP="00D66393"/>
        </w:tc>
        <w:tc>
          <w:tcPr>
            <w:tcW w:w="913" w:type="dxa"/>
          </w:tcPr>
          <w:p w14:paraId="2642ADD8" w14:textId="77777777" w:rsidR="003958E4" w:rsidRPr="004B1892" w:rsidRDefault="003958E4" w:rsidP="00D66393"/>
        </w:tc>
        <w:tc>
          <w:tcPr>
            <w:tcW w:w="874" w:type="dxa"/>
          </w:tcPr>
          <w:p w14:paraId="6713F163" w14:textId="77777777" w:rsidR="003958E4" w:rsidRPr="004B1892" w:rsidRDefault="003958E4" w:rsidP="00D66393"/>
        </w:tc>
        <w:tc>
          <w:tcPr>
            <w:tcW w:w="913" w:type="dxa"/>
          </w:tcPr>
          <w:p w14:paraId="03204C78" w14:textId="77777777" w:rsidR="003958E4" w:rsidRPr="004B1892" w:rsidRDefault="003958E4" w:rsidP="00D66393"/>
        </w:tc>
        <w:tc>
          <w:tcPr>
            <w:tcW w:w="874" w:type="dxa"/>
          </w:tcPr>
          <w:p w14:paraId="0922417B" w14:textId="77777777" w:rsidR="003958E4" w:rsidRPr="004B1892" w:rsidRDefault="003958E4" w:rsidP="00D66393"/>
        </w:tc>
        <w:tc>
          <w:tcPr>
            <w:tcW w:w="1139" w:type="dxa"/>
          </w:tcPr>
          <w:p w14:paraId="0236D3C5" w14:textId="77777777" w:rsidR="003958E4" w:rsidRPr="004B1892" w:rsidRDefault="003958E4" w:rsidP="00D66393"/>
        </w:tc>
      </w:tr>
    </w:tbl>
    <w:p w14:paraId="6256046F" w14:textId="77777777" w:rsidR="003958E4" w:rsidRPr="004B1892" w:rsidRDefault="003958E4" w:rsidP="008D78BD">
      <w:pPr>
        <w:pStyle w:val="SingleTxtG"/>
        <w:rPr>
          <w:lang w:val="en-GB"/>
        </w:rPr>
      </w:pPr>
    </w:p>
    <w:p w14:paraId="760BA8AE" w14:textId="3C7A80A0" w:rsidR="003958E4" w:rsidRPr="004B1892" w:rsidRDefault="008D78BD" w:rsidP="003958E4">
      <w:pPr>
        <w:pStyle w:val="SingleTxtG"/>
        <w:rPr>
          <w:lang w:val="en-GB"/>
        </w:rPr>
      </w:pPr>
      <w:r w:rsidRPr="004B1892">
        <w:rPr>
          <w:lang w:val="en-GB"/>
        </w:rPr>
        <w:t>8.</w:t>
      </w:r>
      <w:r w:rsidRPr="004B1892">
        <w:rPr>
          <w:lang w:val="en-GB"/>
        </w:rPr>
        <w:tab/>
      </w:r>
      <w:r w:rsidR="003958E4" w:rsidRPr="004B1892">
        <w:rPr>
          <w:lang w:val="en-GB"/>
        </w:rPr>
        <w:t xml:space="preserve">Concerning UN 1076 Phosgene it may be argued that stipulating a calculation pressure for tanks is not appropriate as the table of 4.3.3.2.5 only allows for carriage in battery vehicles and MEGCs composed of receptacles. In </w:t>
      </w:r>
      <w:r w:rsidR="00DD430F" w:rsidRPr="004B1892">
        <w:rPr>
          <w:lang w:val="en-GB"/>
        </w:rPr>
        <w:t>T</w:t>
      </w:r>
      <w:r w:rsidR="003958E4" w:rsidRPr="004B1892">
        <w:rPr>
          <w:lang w:val="en-GB"/>
        </w:rPr>
        <w:t xml:space="preserve">able A of </w:t>
      </w:r>
      <w:r w:rsidR="00892CEC" w:rsidRPr="004B1892">
        <w:rPr>
          <w:lang w:val="en-GB"/>
        </w:rPr>
        <w:t xml:space="preserve">Chapter </w:t>
      </w:r>
      <w:r w:rsidR="003958E4" w:rsidRPr="004B1892">
        <w:rPr>
          <w:lang w:val="en-GB"/>
        </w:rPr>
        <w:t>3.2 the tank code for UN 1076 may be changed from P22DH into PxDH.</w:t>
      </w:r>
    </w:p>
    <w:p w14:paraId="332D2175" w14:textId="52FD1134" w:rsidR="00FE2378" w:rsidRPr="004B1892" w:rsidRDefault="008D78BD" w:rsidP="00FE2378">
      <w:pPr>
        <w:pStyle w:val="SingleTxtG"/>
        <w:rPr>
          <w:lang w:val="en-GB"/>
        </w:rPr>
      </w:pPr>
      <w:r w:rsidRPr="004B1892">
        <w:rPr>
          <w:lang w:val="en-GB"/>
        </w:rPr>
        <w:t>9.</w:t>
      </w:r>
      <w:r w:rsidRPr="004B1892">
        <w:rPr>
          <w:lang w:val="en-GB"/>
        </w:rPr>
        <w:tab/>
      </w:r>
      <w:r w:rsidR="00FE2378" w:rsidRPr="004B1892">
        <w:rPr>
          <w:lang w:val="en-GB"/>
        </w:rPr>
        <w:t xml:space="preserve">According to 4.3.2.5, in addition to UN 1076 Phosgene also UN 1067 Dinitrogen tetroxide and UN 1081 Tetrafluoroethylene are only allowed to be carried in battery wagons/battery-vehicles and MEGCs composed of pressure receptacles. In the </w:t>
      </w:r>
      <w:r w:rsidR="00574011" w:rsidRPr="004B1892">
        <w:rPr>
          <w:lang w:val="en-GB"/>
        </w:rPr>
        <w:t>D</w:t>
      </w:r>
      <w:r w:rsidR="00FE2378" w:rsidRPr="004B1892">
        <w:rPr>
          <w:lang w:val="en-GB"/>
        </w:rPr>
        <w:t xml:space="preserve">angerous </w:t>
      </w:r>
      <w:r w:rsidR="00574011" w:rsidRPr="004B1892">
        <w:rPr>
          <w:lang w:val="en-GB"/>
        </w:rPr>
        <w:t>G</w:t>
      </w:r>
      <w:r w:rsidR="00FE2378" w:rsidRPr="004B1892">
        <w:rPr>
          <w:lang w:val="en-GB"/>
        </w:rPr>
        <w:t xml:space="preserve">oods </w:t>
      </w:r>
      <w:r w:rsidR="00574011" w:rsidRPr="004B1892">
        <w:rPr>
          <w:lang w:val="en-GB"/>
        </w:rPr>
        <w:t>L</w:t>
      </w:r>
      <w:r w:rsidR="00FE2378" w:rsidRPr="004B1892">
        <w:rPr>
          <w:lang w:val="en-GB"/>
        </w:rPr>
        <w:t>ist</w:t>
      </w:r>
      <w:r w:rsidR="00574011" w:rsidRPr="004B1892">
        <w:rPr>
          <w:lang w:val="en-GB"/>
        </w:rPr>
        <w:t xml:space="preserve"> in Table A of Chapter 3.2</w:t>
      </w:r>
      <w:r w:rsidR="00FE2378" w:rsidRPr="004B1892">
        <w:rPr>
          <w:lang w:val="en-GB"/>
        </w:rPr>
        <w:t>, they all have a “(M)” after the tank code in column 12. The explanatory notes for column 12 for (M) it is stated that:</w:t>
      </w:r>
    </w:p>
    <w:p w14:paraId="6569414B" w14:textId="4B7BA979" w:rsidR="00FE2378" w:rsidRPr="00B56BEE" w:rsidRDefault="00FE2378" w:rsidP="00FE2378">
      <w:pPr>
        <w:pStyle w:val="SingleTxtG"/>
        <w:rPr>
          <w:i/>
          <w:iCs/>
          <w:lang w:val="en-GB"/>
        </w:rPr>
      </w:pPr>
      <w:r w:rsidRPr="00B56BEE">
        <w:rPr>
          <w:i/>
          <w:iCs/>
          <w:lang w:val="en-GB"/>
        </w:rPr>
        <w:t xml:space="preserve">“The indication of a “(M)” after the tank code means that the substance can also be carried in </w:t>
      </w:r>
      <w:r w:rsidR="00892CEC" w:rsidRPr="00B56BEE">
        <w:rPr>
          <w:i/>
          <w:iCs/>
          <w:lang w:val="en-GB"/>
        </w:rPr>
        <w:t>b</w:t>
      </w:r>
      <w:r w:rsidRPr="00B56BEE">
        <w:rPr>
          <w:i/>
          <w:iCs/>
          <w:lang w:val="en-GB"/>
        </w:rPr>
        <w:t>attery wagons/</w:t>
      </w:r>
      <w:r w:rsidR="00892CEC" w:rsidRPr="00B56BEE">
        <w:rPr>
          <w:i/>
          <w:iCs/>
          <w:lang w:val="en-GB"/>
        </w:rPr>
        <w:t>b</w:t>
      </w:r>
      <w:r w:rsidRPr="00B56BEE">
        <w:rPr>
          <w:i/>
          <w:iCs/>
          <w:lang w:val="en-GB"/>
        </w:rPr>
        <w:t>attery vehicles or MEGCs.”</w:t>
      </w:r>
    </w:p>
    <w:p w14:paraId="6D49D1A9" w14:textId="7616EFCF" w:rsidR="00FE2378" w:rsidRPr="004B1892" w:rsidRDefault="00FE2378" w:rsidP="000B296B">
      <w:pPr>
        <w:pStyle w:val="SingleTxtG"/>
        <w:rPr>
          <w:lang w:val="en-GB"/>
        </w:rPr>
      </w:pPr>
      <w:r w:rsidRPr="004B1892">
        <w:rPr>
          <w:lang w:val="en-GB"/>
        </w:rPr>
        <w:t>10.</w:t>
      </w:r>
      <w:r w:rsidRPr="004B1892">
        <w:rPr>
          <w:lang w:val="en-GB"/>
        </w:rPr>
        <w:tab/>
        <w:t xml:space="preserve">In case of UN 1067, UN 1076 and UN 1081 this may be seen as misleading as these substances may not be carried in tanks, or </w:t>
      </w:r>
      <w:r w:rsidR="00892CEC" w:rsidRPr="004B1892">
        <w:rPr>
          <w:lang w:val="en-GB"/>
        </w:rPr>
        <w:t>b</w:t>
      </w:r>
      <w:r w:rsidRPr="004B1892">
        <w:rPr>
          <w:lang w:val="en-GB"/>
        </w:rPr>
        <w:t>attery wagons/</w:t>
      </w:r>
      <w:r w:rsidR="00892CEC" w:rsidRPr="004B1892">
        <w:rPr>
          <w:lang w:val="en-GB"/>
        </w:rPr>
        <w:t>b</w:t>
      </w:r>
      <w:r w:rsidRPr="004B1892">
        <w:rPr>
          <w:lang w:val="en-GB"/>
        </w:rPr>
        <w:t xml:space="preserve">attery-vehicles of MEGCs composed of tanks. To prevent confusion the explanatory note may be amended by adding wording such as </w:t>
      </w:r>
      <w:r w:rsidRPr="004B1892">
        <w:rPr>
          <w:i/>
          <w:lang w:val="en-GB"/>
        </w:rPr>
        <w:t>“unless otherwise specified in the table of 4.3.3.2.5”</w:t>
      </w:r>
      <w:r w:rsidR="00B50912">
        <w:rPr>
          <w:i/>
          <w:lang w:val="en-GB"/>
        </w:rPr>
        <w:t>.</w:t>
      </w:r>
    </w:p>
    <w:p w14:paraId="1EBE0513" w14:textId="6140AC33" w:rsidR="000B296B" w:rsidRPr="004B1892" w:rsidRDefault="00FE2378" w:rsidP="000B296B">
      <w:pPr>
        <w:pStyle w:val="SingleTxtG"/>
        <w:rPr>
          <w:lang w:val="en-GB"/>
        </w:rPr>
      </w:pPr>
      <w:r w:rsidRPr="004B1892">
        <w:rPr>
          <w:lang w:val="en-GB"/>
        </w:rPr>
        <w:t>11.</w:t>
      </w:r>
      <w:r w:rsidRPr="004B1892">
        <w:rPr>
          <w:lang w:val="en-GB"/>
        </w:rPr>
        <w:tab/>
        <w:t xml:space="preserve">In </w:t>
      </w:r>
      <w:r w:rsidR="003A480D">
        <w:rPr>
          <w:lang w:val="en-GB"/>
        </w:rPr>
        <w:t xml:space="preserve">the </w:t>
      </w:r>
      <w:r w:rsidRPr="004B1892">
        <w:rPr>
          <w:lang w:val="en-GB"/>
        </w:rPr>
        <w:t xml:space="preserve">case the calculation pressure for UN 1076 is deleted, based on the suggestion above, the same may be done with UN 1017, in which case the table of 4.3.3.2.5 as above is amended to give a 22 bar test pressure. In that case the table in 4.3.3.1.1 concerning the second position in the tank code may be simplified by deleting </w:t>
      </w:r>
      <w:r w:rsidRPr="004B1892">
        <w:rPr>
          <w:i/>
          <w:iCs/>
          <w:lang w:val="en-GB"/>
        </w:rPr>
        <w:t>“</w:t>
      </w:r>
      <w:r w:rsidRPr="004B1892">
        <w:rPr>
          <w:i/>
          <w:iCs/>
          <w:strike/>
          <w:lang w:val="en-GB"/>
        </w:rPr>
        <w:t>; or 22 = minimum calculation pressure in bar</w:t>
      </w:r>
      <w:r w:rsidRPr="004B1892">
        <w:rPr>
          <w:i/>
          <w:iCs/>
          <w:lang w:val="en-GB"/>
        </w:rPr>
        <w:t>”</w:t>
      </w:r>
      <w:r w:rsidR="000B296B" w:rsidRPr="004B1892">
        <w:rPr>
          <w:lang w:val="en-GB"/>
        </w:rPr>
        <w:t>.</w:t>
      </w:r>
    </w:p>
    <w:p w14:paraId="2F8C0D22" w14:textId="763EDFCE" w:rsidR="00310FC9" w:rsidRPr="004B1892" w:rsidRDefault="000B296B" w:rsidP="000B296B">
      <w:pPr>
        <w:pStyle w:val="SingleTxtG"/>
        <w:rPr>
          <w:lang w:val="en-GB"/>
        </w:rPr>
      </w:pPr>
      <w:r w:rsidRPr="004B1892">
        <w:rPr>
          <w:lang w:val="en-GB"/>
        </w:rPr>
        <w:tab/>
      </w:r>
      <w:r w:rsidR="008D78BD" w:rsidRPr="004B1892">
        <w:rPr>
          <w:lang w:val="en-GB"/>
        </w:rPr>
        <w:t>1</w:t>
      </w:r>
      <w:r w:rsidR="00FE2378" w:rsidRPr="004B1892">
        <w:rPr>
          <w:lang w:val="en-GB"/>
        </w:rPr>
        <w:t>2</w:t>
      </w:r>
      <w:r w:rsidR="008D78BD" w:rsidRPr="004B1892">
        <w:rPr>
          <w:lang w:val="en-GB"/>
        </w:rPr>
        <w:t>.</w:t>
      </w:r>
      <w:r w:rsidR="008D78BD" w:rsidRPr="004B1892">
        <w:rPr>
          <w:lang w:val="en-GB"/>
        </w:rPr>
        <w:tab/>
      </w:r>
      <w:r w:rsidR="004B138F" w:rsidRPr="004B1892">
        <w:rPr>
          <w:lang w:val="en-GB"/>
        </w:rPr>
        <w:t xml:space="preserve">The Joint Meeting is invited to </w:t>
      </w:r>
      <w:r w:rsidR="00CB5B1E" w:rsidRPr="004B1892">
        <w:rPr>
          <w:lang w:val="en-GB"/>
        </w:rPr>
        <w:t>include these considerations in the discussion</w:t>
      </w:r>
      <w:r w:rsidR="007D6759" w:rsidRPr="004B1892">
        <w:rPr>
          <w:lang w:val="en-GB"/>
        </w:rPr>
        <w:t>s</w:t>
      </w:r>
      <w:r w:rsidR="00CB5B1E" w:rsidRPr="004B1892">
        <w:rPr>
          <w:lang w:val="en-GB"/>
        </w:rPr>
        <w:t xml:space="preserve"> on this issue </w:t>
      </w:r>
      <w:r w:rsidR="00E83FB7" w:rsidRPr="004B1892">
        <w:rPr>
          <w:lang w:val="en-GB"/>
        </w:rPr>
        <w:t>when</w:t>
      </w:r>
      <w:r w:rsidR="00CB5B1E" w:rsidRPr="004B1892">
        <w:rPr>
          <w:lang w:val="en-GB"/>
        </w:rPr>
        <w:t xml:space="preserve"> views </w:t>
      </w:r>
      <w:r w:rsidR="00E83FB7" w:rsidRPr="004B1892">
        <w:rPr>
          <w:lang w:val="en-GB"/>
        </w:rPr>
        <w:t xml:space="preserve">are exchanged </w:t>
      </w:r>
      <w:r w:rsidR="00CB5B1E" w:rsidRPr="004B1892">
        <w:rPr>
          <w:lang w:val="en-GB"/>
        </w:rPr>
        <w:t xml:space="preserve">on the proposals in document </w:t>
      </w:r>
      <w:r w:rsidRPr="004B1892">
        <w:rPr>
          <w:lang w:val="en-GB"/>
        </w:rPr>
        <w:t>ECE/TRANS/WP.15/AC.1/2022/21</w:t>
      </w:r>
      <w:r w:rsidR="00CB5B1E" w:rsidRPr="004B1892">
        <w:rPr>
          <w:lang w:val="en-GB"/>
        </w:rPr>
        <w:t>.</w:t>
      </w:r>
    </w:p>
    <w:p w14:paraId="7AFA4983" w14:textId="440C6539" w:rsidR="008D78BD" w:rsidRPr="009961E5" w:rsidRDefault="00AD409C" w:rsidP="00AD409C">
      <w:pPr>
        <w:spacing w:before="240"/>
        <w:jc w:val="center"/>
      </w:pPr>
      <w:r>
        <w:rPr>
          <w:u w:val="single"/>
        </w:rPr>
        <w:tab/>
      </w:r>
      <w:r>
        <w:rPr>
          <w:u w:val="single"/>
        </w:rPr>
        <w:tab/>
      </w:r>
      <w:r>
        <w:rPr>
          <w:u w:val="single"/>
        </w:rPr>
        <w:tab/>
      </w:r>
    </w:p>
    <w:p w14:paraId="1CB39AE7" w14:textId="77777777" w:rsidR="008D78BD" w:rsidRPr="00CB5B1E" w:rsidRDefault="008D78BD" w:rsidP="008D78BD">
      <w:pPr>
        <w:pStyle w:val="SingleTxtG"/>
        <w:rPr>
          <w:lang w:val="en-US"/>
        </w:rPr>
      </w:pPr>
    </w:p>
    <w:sectPr w:rsidR="008D78BD" w:rsidRPr="00CB5B1E" w:rsidSect="001E0495">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C5A3" w14:textId="77777777" w:rsidR="005E1472" w:rsidRDefault="005E1472"/>
  </w:endnote>
  <w:endnote w:type="continuationSeparator" w:id="0">
    <w:p w14:paraId="557E2BCF" w14:textId="77777777" w:rsidR="005E1472" w:rsidRDefault="005E1472"/>
  </w:endnote>
  <w:endnote w:type="continuationNotice" w:id="1">
    <w:p w14:paraId="5AD275AE" w14:textId="77777777" w:rsidR="005E1472" w:rsidRDefault="005E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7557" w14:textId="77777777" w:rsidR="005E1472" w:rsidRPr="000B175B" w:rsidRDefault="005E1472" w:rsidP="000B175B">
      <w:pPr>
        <w:tabs>
          <w:tab w:val="right" w:pos="2155"/>
        </w:tabs>
        <w:spacing w:after="80"/>
        <w:ind w:left="680"/>
        <w:rPr>
          <w:u w:val="single"/>
        </w:rPr>
      </w:pPr>
      <w:r>
        <w:rPr>
          <w:u w:val="single"/>
        </w:rPr>
        <w:tab/>
      </w:r>
    </w:p>
  </w:footnote>
  <w:footnote w:type="continuationSeparator" w:id="0">
    <w:p w14:paraId="5A9BEB23" w14:textId="77777777" w:rsidR="005E1472" w:rsidRPr="00FC68B7" w:rsidRDefault="005E1472" w:rsidP="00FC68B7">
      <w:pPr>
        <w:tabs>
          <w:tab w:val="left" w:pos="2155"/>
        </w:tabs>
        <w:spacing w:after="80"/>
        <w:ind w:left="680"/>
        <w:rPr>
          <w:u w:val="single"/>
        </w:rPr>
      </w:pPr>
      <w:r>
        <w:rPr>
          <w:u w:val="single"/>
        </w:rPr>
        <w:tab/>
      </w:r>
    </w:p>
  </w:footnote>
  <w:footnote w:type="continuationNotice" w:id="1">
    <w:p w14:paraId="3AAE906D" w14:textId="77777777" w:rsidR="005E1472" w:rsidRDefault="005E1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45B93878" w:rsidR="00652CFC" w:rsidRPr="00652CFC" w:rsidRDefault="00652CFC">
    <w:pPr>
      <w:pStyle w:val="Header"/>
      <w:rPr>
        <w:lang w:val="fr-CH"/>
      </w:rPr>
    </w:pPr>
    <w:r>
      <w:rPr>
        <w:lang w:val="fr-CH"/>
      </w:rPr>
      <w:t>INF.</w:t>
    </w:r>
    <w:r w:rsidR="00AD409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7"/>
  </w:num>
  <w:num w:numId="15">
    <w:abstractNumId w:val="15"/>
  </w:num>
  <w:num w:numId="16">
    <w:abstractNumId w:val="12"/>
  </w:num>
  <w:num w:numId="17">
    <w:abstractNumId w:val="29"/>
  </w:num>
  <w:num w:numId="18">
    <w:abstractNumId w:val="16"/>
  </w:num>
  <w:num w:numId="19">
    <w:abstractNumId w:val="30"/>
  </w:num>
  <w:num w:numId="20">
    <w:abstractNumId w:val="24"/>
  </w:num>
  <w:num w:numId="21">
    <w:abstractNumId w:val="28"/>
  </w:num>
  <w:num w:numId="22">
    <w:abstractNumId w:val="13"/>
  </w:num>
  <w:num w:numId="23">
    <w:abstractNumId w:val="25"/>
  </w:num>
  <w:num w:numId="24">
    <w:abstractNumId w:val="26"/>
  </w:num>
  <w:num w:numId="25">
    <w:abstractNumId w:val="21"/>
  </w:num>
  <w:num w:numId="26">
    <w:abstractNumId w:val="11"/>
  </w:num>
  <w:num w:numId="27">
    <w:abstractNumId w:val="17"/>
  </w:num>
  <w:num w:numId="28">
    <w:abstractNumId w:val="20"/>
  </w:num>
  <w:num w:numId="29">
    <w:abstractNumId w:val="23"/>
  </w:num>
  <w:num w:numId="30">
    <w:abstractNumId w:val="19"/>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7F90"/>
    <w:rsid w:val="00045BBE"/>
    <w:rsid w:val="00046B1F"/>
    <w:rsid w:val="00050F6B"/>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2C03"/>
    <w:rsid w:val="000C2D2E"/>
    <w:rsid w:val="000C4D51"/>
    <w:rsid w:val="000C7F79"/>
    <w:rsid w:val="000E0415"/>
    <w:rsid w:val="000E4B01"/>
    <w:rsid w:val="000F4FF6"/>
    <w:rsid w:val="000F567A"/>
    <w:rsid w:val="0010391C"/>
    <w:rsid w:val="00104CDA"/>
    <w:rsid w:val="00105827"/>
    <w:rsid w:val="00105935"/>
    <w:rsid w:val="001103AA"/>
    <w:rsid w:val="00115C11"/>
    <w:rsid w:val="0011666B"/>
    <w:rsid w:val="00125117"/>
    <w:rsid w:val="001343BC"/>
    <w:rsid w:val="00151686"/>
    <w:rsid w:val="00155068"/>
    <w:rsid w:val="001555BF"/>
    <w:rsid w:val="00165F3A"/>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5970"/>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3C85"/>
    <w:rsid w:val="002A603B"/>
    <w:rsid w:val="002C2884"/>
    <w:rsid w:val="002D4643"/>
    <w:rsid w:val="002D4B6C"/>
    <w:rsid w:val="002F175C"/>
    <w:rsid w:val="00302E18"/>
    <w:rsid w:val="003032E0"/>
    <w:rsid w:val="003050A4"/>
    <w:rsid w:val="0030606F"/>
    <w:rsid w:val="00310FC9"/>
    <w:rsid w:val="003204CE"/>
    <w:rsid w:val="00321582"/>
    <w:rsid w:val="003229D8"/>
    <w:rsid w:val="003358CF"/>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49AC"/>
    <w:rsid w:val="003D4B23"/>
    <w:rsid w:val="003D5DB4"/>
    <w:rsid w:val="003E0C3C"/>
    <w:rsid w:val="00400297"/>
    <w:rsid w:val="00410C89"/>
    <w:rsid w:val="00422E03"/>
    <w:rsid w:val="00426B9B"/>
    <w:rsid w:val="004325CB"/>
    <w:rsid w:val="004356D2"/>
    <w:rsid w:val="00442A83"/>
    <w:rsid w:val="004532AC"/>
    <w:rsid w:val="0045495B"/>
    <w:rsid w:val="00461F7D"/>
    <w:rsid w:val="00464C81"/>
    <w:rsid w:val="0048397A"/>
    <w:rsid w:val="00483F1B"/>
    <w:rsid w:val="004A12F2"/>
    <w:rsid w:val="004A28A3"/>
    <w:rsid w:val="004B138F"/>
    <w:rsid w:val="004B1892"/>
    <w:rsid w:val="004B3010"/>
    <w:rsid w:val="004C2461"/>
    <w:rsid w:val="004C408F"/>
    <w:rsid w:val="004C64C0"/>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58AB"/>
    <w:rsid w:val="0052775E"/>
    <w:rsid w:val="00537388"/>
    <w:rsid w:val="005420F2"/>
    <w:rsid w:val="00542540"/>
    <w:rsid w:val="00543B68"/>
    <w:rsid w:val="00546993"/>
    <w:rsid w:val="005501A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C68F0"/>
    <w:rsid w:val="005D0CF6"/>
    <w:rsid w:val="005D2A29"/>
    <w:rsid w:val="005D7F39"/>
    <w:rsid w:val="005E1472"/>
    <w:rsid w:val="005E6A77"/>
    <w:rsid w:val="005F1010"/>
    <w:rsid w:val="005F7B75"/>
    <w:rsid w:val="006001EE"/>
    <w:rsid w:val="00605042"/>
    <w:rsid w:val="0060537B"/>
    <w:rsid w:val="00611FC4"/>
    <w:rsid w:val="0061457E"/>
    <w:rsid w:val="006176FB"/>
    <w:rsid w:val="00630BAF"/>
    <w:rsid w:val="00640B26"/>
    <w:rsid w:val="00643033"/>
    <w:rsid w:val="00652CFC"/>
    <w:rsid w:val="00652D0A"/>
    <w:rsid w:val="006537F2"/>
    <w:rsid w:val="006623D5"/>
    <w:rsid w:val="00662BB6"/>
    <w:rsid w:val="00667F8F"/>
    <w:rsid w:val="006741C5"/>
    <w:rsid w:val="006741F1"/>
    <w:rsid w:val="00684C21"/>
    <w:rsid w:val="00692E0E"/>
    <w:rsid w:val="006A0D0E"/>
    <w:rsid w:val="006A2530"/>
    <w:rsid w:val="006A67FC"/>
    <w:rsid w:val="006B1C12"/>
    <w:rsid w:val="006C33AB"/>
    <w:rsid w:val="006C3589"/>
    <w:rsid w:val="006D37AF"/>
    <w:rsid w:val="006D51D0"/>
    <w:rsid w:val="006E564B"/>
    <w:rsid w:val="006E7191"/>
    <w:rsid w:val="00703577"/>
    <w:rsid w:val="00705894"/>
    <w:rsid w:val="007067C3"/>
    <w:rsid w:val="0072632A"/>
    <w:rsid w:val="007327D5"/>
    <w:rsid w:val="007351B4"/>
    <w:rsid w:val="007431D0"/>
    <w:rsid w:val="00753C6F"/>
    <w:rsid w:val="00755A39"/>
    <w:rsid w:val="00760A73"/>
    <w:rsid w:val="007611CF"/>
    <w:rsid w:val="00761787"/>
    <w:rsid w:val="007629C8"/>
    <w:rsid w:val="00764668"/>
    <w:rsid w:val="00767D5D"/>
    <w:rsid w:val="0077047D"/>
    <w:rsid w:val="00771625"/>
    <w:rsid w:val="00776430"/>
    <w:rsid w:val="00790C8F"/>
    <w:rsid w:val="00797575"/>
    <w:rsid w:val="007A0948"/>
    <w:rsid w:val="007B6BA5"/>
    <w:rsid w:val="007C3390"/>
    <w:rsid w:val="007C4F4B"/>
    <w:rsid w:val="007D6759"/>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6230"/>
    <w:rsid w:val="00843767"/>
    <w:rsid w:val="00852B07"/>
    <w:rsid w:val="00854501"/>
    <w:rsid w:val="00863760"/>
    <w:rsid w:val="00863F55"/>
    <w:rsid w:val="008679D9"/>
    <w:rsid w:val="00871389"/>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DAA"/>
    <w:rsid w:val="008E4D3A"/>
    <w:rsid w:val="008F741A"/>
    <w:rsid w:val="00904A55"/>
    <w:rsid w:val="0091260B"/>
    <w:rsid w:val="00915B39"/>
    <w:rsid w:val="009223CA"/>
    <w:rsid w:val="00923CCF"/>
    <w:rsid w:val="0093288D"/>
    <w:rsid w:val="00940F93"/>
    <w:rsid w:val="0094558F"/>
    <w:rsid w:val="00952AC2"/>
    <w:rsid w:val="00961690"/>
    <w:rsid w:val="009646C2"/>
    <w:rsid w:val="009760F3"/>
    <w:rsid w:val="0098203C"/>
    <w:rsid w:val="0099212D"/>
    <w:rsid w:val="00992813"/>
    <w:rsid w:val="00997AA8"/>
    <w:rsid w:val="009A0E8D"/>
    <w:rsid w:val="009B1518"/>
    <w:rsid w:val="009B1CEB"/>
    <w:rsid w:val="009B26E7"/>
    <w:rsid w:val="009B56F3"/>
    <w:rsid w:val="009C454F"/>
    <w:rsid w:val="009D2A5B"/>
    <w:rsid w:val="009E1D8E"/>
    <w:rsid w:val="009F3A3C"/>
    <w:rsid w:val="009F652C"/>
    <w:rsid w:val="009F78BD"/>
    <w:rsid w:val="00A00A3F"/>
    <w:rsid w:val="00A01489"/>
    <w:rsid w:val="00A1433D"/>
    <w:rsid w:val="00A3009E"/>
    <w:rsid w:val="00A3026E"/>
    <w:rsid w:val="00A338F1"/>
    <w:rsid w:val="00A35EE0"/>
    <w:rsid w:val="00A37A0A"/>
    <w:rsid w:val="00A47249"/>
    <w:rsid w:val="00A47A60"/>
    <w:rsid w:val="00A51CDF"/>
    <w:rsid w:val="00A615A8"/>
    <w:rsid w:val="00A70684"/>
    <w:rsid w:val="00A72F22"/>
    <w:rsid w:val="00A7360F"/>
    <w:rsid w:val="00A748A6"/>
    <w:rsid w:val="00A769F4"/>
    <w:rsid w:val="00A776B4"/>
    <w:rsid w:val="00A8292C"/>
    <w:rsid w:val="00A93E6F"/>
    <w:rsid w:val="00A94361"/>
    <w:rsid w:val="00AA293C"/>
    <w:rsid w:val="00AA59DB"/>
    <w:rsid w:val="00AA66C0"/>
    <w:rsid w:val="00AA693A"/>
    <w:rsid w:val="00AD1A7B"/>
    <w:rsid w:val="00AD409C"/>
    <w:rsid w:val="00AD44C2"/>
    <w:rsid w:val="00AD48FA"/>
    <w:rsid w:val="00AE1070"/>
    <w:rsid w:val="00AE44BE"/>
    <w:rsid w:val="00AE4840"/>
    <w:rsid w:val="00AF1506"/>
    <w:rsid w:val="00B042C8"/>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CD1"/>
    <w:rsid w:val="00BB7FE9"/>
    <w:rsid w:val="00BC3FA0"/>
    <w:rsid w:val="00BC74E9"/>
    <w:rsid w:val="00BD55A0"/>
    <w:rsid w:val="00BE218D"/>
    <w:rsid w:val="00BE3E69"/>
    <w:rsid w:val="00BF15A1"/>
    <w:rsid w:val="00BF55CA"/>
    <w:rsid w:val="00BF68A8"/>
    <w:rsid w:val="00C05DAD"/>
    <w:rsid w:val="00C10FE6"/>
    <w:rsid w:val="00C11A03"/>
    <w:rsid w:val="00C22C0C"/>
    <w:rsid w:val="00C27DBF"/>
    <w:rsid w:val="00C33AF6"/>
    <w:rsid w:val="00C35BC8"/>
    <w:rsid w:val="00C43DF8"/>
    <w:rsid w:val="00C4527F"/>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B3E03"/>
    <w:rsid w:val="00CB5104"/>
    <w:rsid w:val="00CB5B1E"/>
    <w:rsid w:val="00CC04D9"/>
    <w:rsid w:val="00CD57D2"/>
    <w:rsid w:val="00CE116B"/>
    <w:rsid w:val="00CE4A8F"/>
    <w:rsid w:val="00CE4B11"/>
    <w:rsid w:val="00D00610"/>
    <w:rsid w:val="00D0166C"/>
    <w:rsid w:val="00D2031B"/>
    <w:rsid w:val="00D20B16"/>
    <w:rsid w:val="00D22720"/>
    <w:rsid w:val="00D25499"/>
    <w:rsid w:val="00D25FE2"/>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430F"/>
    <w:rsid w:val="00DF7B93"/>
    <w:rsid w:val="00E028F4"/>
    <w:rsid w:val="00E046DF"/>
    <w:rsid w:val="00E073DE"/>
    <w:rsid w:val="00E15557"/>
    <w:rsid w:val="00E27346"/>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B6956"/>
    <w:rsid w:val="00EC106A"/>
    <w:rsid w:val="00EC32A0"/>
    <w:rsid w:val="00EC5986"/>
    <w:rsid w:val="00EC5E52"/>
    <w:rsid w:val="00ED7A2A"/>
    <w:rsid w:val="00EE288F"/>
    <w:rsid w:val="00EE5FC8"/>
    <w:rsid w:val="00EE6B3A"/>
    <w:rsid w:val="00EF1D7F"/>
    <w:rsid w:val="00F10F61"/>
    <w:rsid w:val="00F13080"/>
    <w:rsid w:val="00F227A6"/>
    <w:rsid w:val="00F22857"/>
    <w:rsid w:val="00F31E5F"/>
    <w:rsid w:val="00F33C9F"/>
    <w:rsid w:val="00F36CB6"/>
    <w:rsid w:val="00F36F0D"/>
    <w:rsid w:val="00F4272A"/>
    <w:rsid w:val="00F5150A"/>
    <w:rsid w:val="00F60F02"/>
    <w:rsid w:val="00F6100A"/>
    <w:rsid w:val="00F66565"/>
    <w:rsid w:val="00F80815"/>
    <w:rsid w:val="00F93781"/>
    <w:rsid w:val="00F955F8"/>
    <w:rsid w:val="00F95ED8"/>
    <w:rsid w:val="00F97B38"/>
    <w:rsid w:val="00FA3772"/>
    <w:rsid w:val="00FB613B"/>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05863A2C-E59B-4113-A0B1-1594C67CC33F}">
  <ds:schemaRefs>
    <ds:schemaRef ds:uri="http://purl.org/dc/terms/"/>
    <ds:schemaRef ds:uri="37dc432a-8ebf-4af5-8237-268edd3a86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693</Words>
  <Characters>3954</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23</cp:revision>
  <cp:lastPrinted>2019-03-11T13:30:00Z</cp:lastPrinted>
  <dcterms:created xsi:type="dcterms:W3CDTF">2022-08-24T11:30:00Z</dcterms:created>
  <dcterms:modified xsi:type="dcterms:W3CDTF">2022-08-29T10:18:00Z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