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D0E" w14:textId="5637F25E" w:rsidR="00717940" w:rsidRPr="005A7575" w:rsidRDefault="00793826">
      <w:pPr>
        <w:rPr>
          <w:b/>
          <w:sz w:val="28"/>
          <w:szCs w:val="28"/>
        </w:rPr>
      </w:pPr>
      <w:r w:rsidRPr="005A7575">
        <w:rPr>
          <w:b/>
          <w:sz w:val="28"/>
          <w:szCs w:val="28"/>
        </w:rPr>
        <w:t>Economic Commission for Europe</w:t>
      </w:r>
    </w:p>
    <w:p w14:paraId="1D6B284A" w14:textId="77777777" w:rsidR="00717940" w:rsidRPr="005A7575" w:rsidRDefault="00793826">
      <w:pPr>
        <w:spacing w:before="120"/>
        <w:rPr>
          <w:sz w:val="28"/>
          <w:szCs w:val="28"/>
        </w:rPr>
      </w:pPr>
      <w:r w:rsidRPr="005A7575">
        <w:rPr>
          <w:sz w:val="28"/>
          <w:szCs w:val="28"/>
        </w:rPr>
        <w:t>Inland Transport Committee</w:t>
      </w:r>
    </w:p>
    <w:p w14:paraId="32F56F6F" w14:textId="77777777" w:rsidR="00717940" w:rsidRPr="005A7575" w:rsidRDefault="00793826">
      <w:pPr>
        <w:spacing w:before="120"/>
        <w:rPr>
          <w:b/>
          <w:sz w:val="24"/>
          <w:szCs w:val="24"/>
        </w:rPr>
      </w:pPr>
      <w:r w:rsidRPr="005A7575">
        <w:rPr>
          <w:b/>
          <w:sz w:val="24"/>
          <w:szCs w:val="24"/>
        </w:rPr>
        <w:t>Working Party on the Transport of Dangerous Goods</w:t>
      </w:r>
    </w:p>
    <w:p w14:paraId="0CC0B2EB" w14:textId="77777777" w:rsidR="00717940" w:rsidRPr="005A7575" w:rsidRDefault="00793826">
      <w:pPr>
        <w:spacing w:before="120"/>
        <w:rPr>
          <w:b/>
        </w:rPr>
      </w:pPr>
      <w:r w:rsidRPr="005A7575">
        <w:rPr>
          <w:b/>
        </w:rPr>
        <w:t>Joint Meeting of the RID Committee of Experts and the</w:t>
      </w:r>
      <w:r w:rsidRPr="005A7575">
        <w:rPr>
          <w:b/>
        </w:rPr>
        <w:br/>
        <w:t>Working Party on the Transport of Dangerous Goods</w:t>
      </w:r>
    </w:p>
    <w:p w14:paraId="2ECD4612" w14:textId="013202B1" w:rsidR="00717940" w:rsidRPr="005A7575" w:rsidRDefault="00B235FE" w:rsidP="00004921">
      <w:r w:rsidRPr="005A7575">
        <w:t xml:space="preserve">Geneva, </w:t>
      </w:r>
      <w:r w:rsidR="00CA7B76">
        <w:t>12-16</w:t>
      </w:r>
      <w:r w:rsidRPr="005A7575">
        <w:t xml:space="preserve"> September 202</w:t>
      </w:r>
      <w:r w:rsidR="00CA7B76">
        <w:t>2</w:t>
      </w:r>
      <w:r w:rsidRPr="005A7575">
        <w:br/>
      </w:r>
      <w:r w:rsidR="00793826" w:rsidRPr="005A7575">
        <w:t xml:space="preserve">Item </w:t>
      </w:r>
      <w:r w:rsidR="00F13F15">
        <w:t>11</w:t>
      </w:r>
      <w:r w:rsidR="00793826" w:rsidRPr="005A7575">
        <w:t xml:space="preserve"> of the provisional agenda</w:t>
      </w:r>
      <w:r w:rsidR="003F3981">
        <w:tab/>
      </w:r>
      <w:r w:rsidR="003F3981">
        <w:tab/>
      </w:r>
      <w:r w:rsidR="003F3981">
        <w:tab/>
      </w:r>
      <w:r w:rsidR="003F3981">
        <w:tab/>
      </w:r>
      <w:r w:rsidR="003F3981">
        <w:tab/>
      </w:r>
      <w:r w:rsidR="003F3981">
        <w:tab/>
      </w:r>
      <w:r w:rsidR="003F3981">
        <w:tab/>
      </w:r>
      <w:r w:rsidR="003F3981">
        <w:tab/>
      </w:r>
      <w:r w:rsidR="00A0461E">
        <w:t>1</w:t>
      </w:r>
      <w:r w:rsidR="00921B87">
        <w:t>5 August</w:t>
      </w:r>
      <w:r w:rsidR="006D792F">
        <w:t xml:space="preserve"> 202</w:t>
      </w:r>
      <w:r w:rsidR="006750CF">
        <w:t>2</w:t>
      </w:r>
    </w:p>
    <w:p w14:paraId="3A53DEAB" w14:textId="484A936C" w:rsidR="004E75CA" w:rsidRPr="005A7575" w:rsidRDefault="00A0461E" w:rsidP="004E75CA">
      <w:pPr>
        <w:rPr>
          <w:b/>
        </w:rPr>
      </w:pPr>
      <w:r>
        <w:rPr>
          <w:b/>
        </w:rPr>
        <w:t>Any other business</w:t>
      </w:r>
    </w:p>
    <w:p w14:paraId="0EB07B6C" w14:textId="399DBF91" w:rsidR="00E51189" w:rsidRPr="00347731" w:rsidRDefault="00793826" w:rsidP="001718C7">
      <w:pPr>
        <w:pStyle w:val="HChG"/>
      </w:pPr>
      <w:r w:rsidRPr="005A7575">
        <w:tab/>
      </w:r>
      <w:r w:rsidRPr="005A7575">
        <w:tab/>
      </w:r>
      <w:r w:rsidR="00E51189" w:rsidRPr="00F35773">
        <w:t>Guidelines for the use of 5.4.0.2 in RID/ADR/</w:t>
      </w:r>
      <w:r w:rsidR="00E51189">
        <w:t>ADN</w:t>
      </w:r>
      <w:r w:rsidR="000838E3">
        <w:t xml:space="preserve"> </w:t>
      </w:r>
      <w:r w:rsidR="001718C7">
        <w:t>–</w:t>
      </w:r>
      <w:r w:rsidR="00E51189">
        <w:t xml:space="preserve"> </w:t>
      </w:r>
      <w:r w:rsidR="004E30CF">
        <w:br/>
      </w:r>
      <w:r w:rsidR="00E51189">
        <w:t xml:space="preserve">use of the data model in the context of the </w:t>
      </w:r>
      <w:proofErr w:type="spellStart"/>
      <w:r w:rsidR="00E51189">
        <w:t>eFTI</w:t>
      </w:r>
      <w:proofErr w:type="spellEnd"/>
      <w:r w:rsidR="00E51189">
        <w:t>-regulation</w:t>
      </w:r>
      <w:r w:rsidR="00702FA1">
        <w:t xml:space="preserve"> </w:t>
      </w:r>
      <w:r w:rsidR="001718C7">
        <w:t xml:space="preserve">– </w:t>
      </w:r>
      <w:r w:rsidR="00E51189">
        <w:t>update on the work in the DTLF forum</w:t>
      </w:r>
    </w:p>
    <w:p w14:paraId="237B892C" w14:textId="27F41129" w:rsidR="00E51189" w:rsidRDefault="00E51189" w:rsidP="00E51189">
      <w:pPr>
        <w:pStyle w:val="H1G"/>
      </w:pPr>
      <w:r>
        <w:tab/>
      </w:r>
      <w:r>
        <w:tab/>
      </w:r>
      <w:r w:rsidRPr="00BD6AFF">
        <w:t>Transmitted by the Governments of France and Germany</w:t>
      </w:r>
    </w:p>
    <w:p w14:paraId="15DC2B3D" w14:textId="2B0803EF" w:rsidR="00E51189" w:rsidRDefault="00E51189" w:rsidP="00E51189">
      <w:pPr>
        <w:pStyle w:val="HChG"/>
      </w:pPr>
      <w:r>
        <w:tab/>
      </w:r>
      <w:r>
        <w:tab/>
        <w:t>Introduction</w:t>
      </w:r>
    </w:p>
    <w:p w14:paraId="7DF69637" w14:textId="434DF9C7" w:rsidR="00E51189" w:rsidRPr="00347731" w:rsidRDefault="00E51189" w:rsidP="00173819">
      <w:pPr>
        <w:pStyle w:val="SingleTxtG"/>
      </w:pPr>
      <w:r w:rsidRPr="00F60C0F">
        <w:t>1.</w:t>
      </w:r>
      <w:r w:rsidRPr="00F60C0F">
        <w:tab/>
      </w:r>
      <w:r>
        <w:t xml:space="preserve">The Joint Meeting at its session in autumn 2019 welcomed the work progress of the informal working group on telematics and agreed on the guidelines for the use of paragraph 5.4.0.2 of RID/ADR/ADN. The Joint Meeting also agreed that the guidelines could be applied on a voluntary basis and for each transport mode separately. However, when used, they must be applied consistently. </w:t>
      </w:r>
      <w:r w:rsidR="0092498E">
        <w:t>At</w:t>
      </w:r>
      <w:r>
        <w:t xml:space="preserve"> its February 2020 session the ITC “encouraged the continuation of the work </w:t>
      </w:r>
      <w:r w:rsidRPr="00CF088E">
        <w:rPr>
          <w:bCs/>
          <w:color w:val="000000" w:themeColor="text1"/>
          <w:lang w:eastAsia="en-US"/>
        </w:rPr>
        <w:t>of WP.15 on telematics for the transport of dangerous goods</w:t>
      </w:r>
      <w:r>
        <w:rPr>
          <w:bCs/>
          <w:color w:val="000000" w:themeColor="text1"/>
          <w:lang w:eastAsia="en-US"/>
        </w:rPr>
        <w:t xml:space="preserve">” (see </w:t>
      </w:r>
      <w:r>
        <w:t>ECE/</w:t>
      </w:r>
      <w:r w:rsidRPr="00CF088E">
        <w:t>TRANS/294</w:t>
      </w:r>
      <w:r w:rsidR="001C0D6F">
        <w:t>,</w:t>
      </w:r>
      <w:r>
        <w:t xml:space="preserve"> par</w:t>
      </w:r>
      <w:r w:rsidR="001C0D6F">
        <w:t>a</w:t>
      </w:r>
      <w:r>
        <w:t>. 30).</w:t>
      </w:r>
    </w:p>
    <w:p w14:paraId="77EDB729" w14:textId="018AB178" w:rsidR="00E51189" w:rsidRDefault="00E51189" w:rsidP="00E51189">
      <w:pPr>
        <w:pStyle w:val="SingleTxtG"/>
        <w:rPr>
          <w:lang w:val="en-US"/>
        </w:rPr>
      </w:pPr>
      <w:r>
        <w:rPr>
          <w:lang w:val="en-US"/>
        </w:rPr>
        <w:t>2.</w:t>
      </w:r>
      <w:r>
        <w:rPr>
          <w:lang w:val="en-US"/>
        </w:rPr>
        <w:tab/>
        <w:t xml:space="preserve">The electronic dangerous goods transport document will be also subject to another legal framework. The </w:t>
      </w:r>
      <w:r w:rsidRPr="00387207">
        <w:rPr>
          <w:lang w:val="en-US"/>
        </w:rPr>
        <w:t xml:space="preserve">Regulation (EU) 2020/1056 of the European Parliament and of the Council of </w:t>
      </w:r>
      <w:r w:rsidRPr="00E51189">
        <w:t>15</w:t>
      </w:r>
      <w:r w:rsidRPr="00387207">
        <w:rPr>
          <w:lang w:val="en-US"/>
        </w:rPr>
        <w:t xml:space="preserve"> July 2020 on electronic freight transport information lays down the conditions based on which competent authorities are required to accept regulatory information when that information is made available electronically by the economic operators concerned</w:t>
      </w:r>
      <w:r>
        <w:rPr>
          <w:lang w:val="en-US"/>
        </w:rPr>
        <w:t xml:space="preserve">. The </w:t>
      </w:r>
      <w:proofErr w:type="spellStart"/>
      <w:r>
        <w:rPr>
          <w:lang w:val="en-US"/>
        </w:rPr>
        <w:t>eFTI</w:t>
      </w:r>
      <w:proofErr w:type="spellEnd"/>
      <w:r>
        <w:rPr>
          <w:lang w:val="en-US"/>
        </w:rPr>
        <w:t>-</w:t>
      </w:r>
      <w:r w:rsidR="00173819">
        <w:rPr>
          <w:lang w:val="en-US"/>
        </w:rPr>
        <w:t>r</w:t>
      </w:r>
      <w:r>
        <w:rPr>
          <w:lang w:val="en-US"/>
        </w:rPr>
        <w:t xml:space="preserve">egulation applies among others to the information in the dangerous goods transport </w:t>
      </w:r>
      <w:r w:rsidR="00537563">
        <w:rPr>
          <w:lang w:val="en-US"/>
        </w:rPr>
        <w:t xml:space="preserve">(TDG) </w:t>
      </w:r>
      <w:r>
        <w:rPr>
          <w:lang w:val="en-US"/>
        </w:rPr>
        <w:t>document as laid down in Chapter 5.4 ADR/RID/ADN. It provides a general framework for electronic communication between economic operators and competent authorities, but further delegated and implementing acts are needed for the implementation.</w:t>
      </w:r>
    </w:p>
    <w:p w14:paraId="75989168" w14:textId="2C1497F9" w:rsidR="00E51189" w:rsidRDefault="00E51189" w:rsidP="00E51189">
      <w:pPr>
        <w:pStyle w:val="SingleTxtG"/>
        <w:rPr>
          <w:lang w:val="en-US"/>
        </w:rPr>
      </w:pPr>
      <w:r>
        <w:rPr>
          <w:lang w:val="en-US"/>
        </w:rPr>
        <w:t>3.</w:t>
      </w:r>
      <w:r>
        <w:rPr>
          <w:lang w:val="en-US"/>
        </w:rPr>
        <w:tab/>
        <w:t>A group was established under the umbrella of the DTLF (</w:t>
      </w:r>
      <w:r w:rsidRPr="00C926BF">
        <w:rPr>
          <w:lang w:val="en-US"/>
        </w:rPr>
        <w:t>Digital Transport and Logistics Forum</w:t>
      </w:r>
      <w:r>
        <w:rPr>
          <w:lang w:val="en-US"/>
        </w:rPr>
        <w:t xml:space="preserve">) to assist the Commission in implementing the </w:t>
      </w:r>
      <w:proofErr w:type="spellStart"/>
      <w:r>
        <w:rPr>
          <w:lang w:val="en-US"/>
        </w:rPr>
        <w:t>eFTI</w:t>
      </w:r>
      <w:proofErr w:type="spellEnd"/>
      <w:r>
        <w:rPr>
          <w:lang w:val="en-US"/>
        </w:rPr>
        <w:t>-</w:t>
      </w:r>
      <w:r w:rsidR="00173819">
        <w:rPr>
          <w:lang w:val="en-US"/>
        </w:rPr>
        <w:t>r</w:t>
      </w:r>
      <w:r>
        <w:rPr>
          <w:lang w:val="en-US"/>
        </w:rPr>
        <w:t>egulation, Subgroup</w:t>
      </w:r>
      <w:r w:rsidR="00FD727A">
        <w:rPr>
          <w:lang w:val="en-US"/>
        </w:rPr>
        <w:t> </w:t>
      </w:r>
      <w:r>
        <w:rPr>
          <w:lang w:val="en-US"/>
        </w:rPr>
        <w:t xml:space="preserve">1 “paperless transport” of the DTLF (DTLF SG 1). </w:t>
      </w:r>
      <w:r w:rsidRPr="00C926BF">
        <w:rPr>
          <w:lang w:val="en-US"/>
        </w:rPr>
        <w:t>T</w:t>
      </w:r>
      <w:r w:rsidR="00FD727A">
        <w:rPr>
          <w:lang w:val="en-US"/>
        </w:rPr>
        <w:t>he t</w:t>
      </w:r>
      <w:r w:rsidRPr="00C926BF">
        <w:rPr>
          <w:lang w:val="en-US"/>
        </w:rPr>
        <w:t>ask of the group is to provide advice and technical expertise to the Commission and its services in relation to the preparation of legislative proposals and policy initiatives in the field of digital transport and logistics, as well as in their implementation. This includes in particular coordination and cooperation with Member States and stakeholders.</w:t>
      </w:r>
    </w:p>
    <w:p w14:paraId="790F4A2C" w14:textId="2BFBD55F" w:rsidR="00E51189" w:rsidRDefault="00E51189" w:rsidP="00E51189">
      <w:pPr>
        <w:pStyle w:val="SingleTxtG"/>
      </w:pPr>
      <w:r>
        <w:rPr>
          <w:lang w:val="en-US"/>
        </w:rPr>
        <w:t>4.</w:t>
      </w:r>
      <w:r>
        <w:rPr>
          <w:lang w:val="en-US"/>
        </w:rPr>
        <w:tab/>
        <w:t xml:space="preserve">The German, French and Italian delegates and their consulting experts in that field have taken active part in the DTLF forums </w:t>
      </w:r>
      <w:r w:rsidR="001C5BBC">
        <w:rPr>
          <w:lang w:val="en-US"/>
        </w:rPr>
        <w:t>to</w:t>
      </w:r>
      <w:r>
        <w:rPr>
          <w:lang w:val="en-US"/>
        </w:rPr>
        <w:t xml:space="preserve"> represent the Joint Meeting and the interest of TDG competent </w:t>
      </w:r>
      <w:r w:rsidRPr="00E51189">
        <w:t>authorities</w:t>
      </w:r>
      <w:r>
        <w:rPr>
          <w:lang w:val="en-US"/>
        </w:rPr>
        <w:t xml:space="preserve"> and the TDG sector. </w:t>
      </w:r>
      <w:r>
        <w:t>This document aims at informing the Joint Meeting about the latest developments in relation with the guideline as well as connected projects and work at EU level, and some issues that might become very problematic if no correction measures are taken to the direction the work goes in DTLF.</w:t>
      </w:r>
    </w:p>
    <w:p w14:paraId="67B2C62E" w14:textId="750AF0C7" w:rsidR="00E51189" w:rsidRDefault="00E51189" w:rsidP="00E51189">
      <w:pPr>
        <w:pStyle w:val="H1G"/>
        <w:rPr>
          <w:b w:val="0"/>
          <w:szCs w:val="24"/>
        </w:rPr>
      </w:pPr>
      <w:r>
        <w:rPr>
          <w:szCs w:val="24"/>
        </w:rPr>
        <w:tab/>
      </w:r>
      <w:r>
        <w:rPr>
          <w:szCs w:val="24"/>
        </w:rPr>
        <w:tab/>
        <w:t xml:space="preserve">Updated </w:t>
      </w:r>
      <w:r w:rsidRPr="00E51189">
        <w:t>information</w:t>
      </w:r>
      <w:r>
        <w:rPr>
          <w:szCs w:val="24"/>
        </w:rPr>
        <w:t xml:space="preserve"> and issues</w:t>
      </w:r>
    </w:p>
    <w:p w14:paraId="0520DFF4" w14:textId="282586E0" w:rsidR="00E51189" w:rsidRDefault="00E51189" w:rsidP="00E51189">
      <w:pPr>
        <w:pStyle w:val="SingleTxtG"/>
        <w:rPr>
          <w:lang w:val="en-US"/>
        </w:rPr>
      </w:pPr>
      <w:r>
        <w:rPr>
          <w:lang w:val="en-US"/>
        </w:rPr>
        <w:t>5.</w:t>
      </w:r>
      <w:r>
        <w:rPr>
          <w:lang w:val="en-US"/>
        </w:rPr>
        <w:tab/>
      </w:r>
      <w:r w:rsidR="00F90358">
        <w:rPr>
          <w:lang w:val="en-US"/>
        </w:rPr>
        <w:t>In the past, t</w:t>
      </w:r>
      <w:r>
        <w:rPr>
          <w:lang w:val="en-US"/>
        </w:rPr>
        <w:t xml:space="preserve">he experts from France and Germany have already informed the Joint Meeting on the </w:t>
      </w:r>
      <w:r w:rsidRPr="00E51189">
        <w:t>progress</w:t>
      </w:r>
      <w:r>
        <w:rPr>
          <w:lang w:val="en-US"/>
        </w:rPr>
        <w:t xml:space="preserve"> of th</w:t>
      </w:r>
      <w:r w:rsidR="00F90358">
        <w:rPr>
          <w:lang w:val="en-US"/>
        </w:rPr>
        <w:t>e</w:t>
      </w:r>
      <w:r>
        <w:rPr>
          <w:lang w:val="en-US"/>
        </w:rPr>
        <w:t xml:space="preserve"> work and potential issues related with some developments </w:t>
      </w:r>
      <w:r>
        <w:rPr>
          <w:lang w:val="en-US"/>
        </w:rPr>
        <w:lastRenderedPageBreak/>
        <w:t xml:space="preserve">that do not take into account the specificity of the situation in the transport of dangerous goods (see </w:t>
      </w:r>
      <w:r w:rsidR="00D747D4">
        <w:rPr>
          <w:lang w:val="en-US"/>
        </w:rPr>
        <w:t xml:space="preserve">informal </w:t>
      </w:r>
      <w:r>
        <w:rPr>
          <w:lang w:val="en-US"/>
        </w:rPr>
        <w:t>document INF</w:t>
      </w:r>
      <w:r w:rsidR="00D747D4">
        <w:rPr>
          <w:lang w:val="en-US"/>
        </w:rPr>
        <w:t>.</w:t>
      </w:r>
      <w:r>
        <w:rPr>
          <w:lang w:val="en-US"/>
        </w:rPr>
        <w:t xml:space="preserve">6 </w:t>
      </w:r>
      <w:r w:rsidR="00D747D4">
        <w:rPr>
          <w:lang w:val="en-US"/>
        </w:rPr>
        <w:t>of</w:t>
      </w:r>
      <w:r>
        <w:rPr>
          <w:lang w:val="en-US"/>
        </w:rPr>
        <w:t xml:space="preserve"> the March 2021 session of the Joint Meeting)</w:t>
      </w:r>
      <w:r w:rsidR="00D747D4">
        <w:rPr>
          <w:lang w:val="en-US"/>
        </w:rPr>
        <w:t>.</w:t>
      </w:r>
    </w:p>
    <w:p w14:paraId="593C46E4" w14:textId="77777777" w:rsidR="00E51189" w:rsidRDefault="00E51189" w:rsidP="00E51189">
      <w:pPr>
        <w:pStyle w:val="SingleTxtG"/>
        <w:rPr>
          <w:lang w:val="en-US"/>
        </w:rPr>
      </w:pPr>
      <w:r>
        <w:rPr>
          <w:lang w:val="en-US"/>
        </w:rPr>
        <w:t>6.</w:t>
      </w:r>
      <w:r>
        <w:rPr>
          <w:lang w:val="en-US"/>
        </w:rPr>
        <w:tab/>
        <w:t xml:space="preserve">The experts from France, Germany and Italy have consistently cooperated with the DTLF forums in clarifying the need of TDG competent authorities and the sector. Nevertheless, the causes of fear that the development resulting from the work in that forums will cause </w:t>
      </w:r>
      <w:proofErr w:type="spellStart"/>
      <w:r>
        <w:rPr>
          <w:lang w:val="en-US"/>
        </w:rPr>
        <w:t>eFTI</w:t>
      </w:r>
      <w:proofErr w:type="spellEnd"/>
      <w:r>
        <w:rPr>
          <w:lang w:val="en-US"/>
        </w:rPr>
        <w:t xml:space="preserve"> to be in noncompliance with the regulations and the needs of TDG have increased.</w:t>
      </w:r>
    </w:p>
    <w:p w14:paraId="78787BF5" w14:textId="77777777" w:rsidR="00E51189" w:rsidRDefault="00E51189" w:rsidP="00E51189">
      <w:pPr>
        <w:pStyle w:val="SingleTxtG"/>
        <w:rPr>
          <w:lang w:val="en-US"/>
        </w:rPr>
      </w:pPr>
      <w:r>
        <w:rPr>
          <w:lang w:val="en-US"/>
        </w:rPr>
        <w:t>7.</w:t>
      </w:r>
      <w:r>
        <w:rPr>
          <w:lang w:val="en-US"/>
        </w:rPr>
        <w:tab/>
        <w:t xml:space="preserve">In particular the following issues have been identified and should be taken very seriously by the </w:t>
      </w:r>
      <w:r w:rsidRPr="00E51189">
        <w:t>Joint</w:t>
      </w:r>
      <w:r>
        <w:rPr>
          <w:lang w:val="en-US"/>
        </w:rPr>
        <w:t xml:space="preserve"> Meeting:</w:t>
      </w:r>
    </w:p>
    <w:p w14:paraId="41384BC2" w14:textId="61CB17E1" w:rsidR="00E51189" w:rsidRDefault="00E51189" w:rsidP="00E51189">
      <w:pPr>
        <w:pStyle w:val="SingleTxtG"/>
        <w:rPr>
          <w:lang w:val="en-US"/>
        </w:rPr>
      </w:pPr>
      <w:r>
        <w:rPr>
          <w:lang w:val="en-US"/>
        </w:rPr>
        <w:tab/>
      </w:r>
      <w:r>
        <w:rPr>
          <w:lang w:val="en-US"/>
        </w:rPr>
        <w:tab/>
        <w:t>a)</w:t>
      </w:r>
      <w:r>
        <w:rPr>
          <w:lang w:val="en-US"/>
        </w:rPr>
        <w:tab/>
        <w:t xml:space="preserve">There seems to be a general attitude to discard the progress made by the Joint Meeting and its </w:t>
      </w:r>
      <w:r w:rsidR="00FE5E5B">
        <w:rPr>
          <w:lang w:val="en-US"/>
        </w:rPr>
        <w:t>considerable</w:t>
      </w:r>
      <w:r>
        <w:rPr>
          <w:lang w:val="en-US"/>
        </w:rPr>
        <w:t xml:space="preserve"> </w:t>
      </w:r>
      <w:r w:rsidRPr="00E51189">
        <w:t>work</w:t>
      </w:r>
      <w:r>
        <w:rPr>
          <w:lang w:val="en-US"/>
        </w:rPr>
        <w:t xml:space="preserve"> and investment in the Telematics Working Group, in spite of the fact that these efforts</w:t>
      </w:r>
      <w:r w:rsidR="00CE4945">
        <w:rPr>
          <w:lang w:val="en-US"/>
        </w:rPr>
        <w:t>,</w:t>
      </w:r>
      <w:r>
        <w:rPr>
          <w:lang w:val="en-US"/>
        </w:rPr>
        <w:t xml:space="preserve"> </w:t>
      </w:r>
      <w:r w:rsidR="0057272F">
        <w:rPr>
          <w:lang w:val="en-US"/>
        </w:rPr>
        <w:t>which</w:t>
      </w:r>
      <w:r>
        <w:rPr>
          <w:lang w:val="en-US"/>
        </w:rPr>
        <w:t xml:space="preserve"> led to the development of the guideline</w:t>
      </w:r>
      <w:r w:rsidR="009B24C5">
        <w:rPr>
          <w:lang w:val="en-US"/>
        </w:rPr>
        <w:t>s</w:t>
      </w:r>
      <w:r>
        <w:rPr>
          <w:lang w:val="en-US"/>
        </w:rPr>
        <w:t xml:space="preserve"> agreed on by the Joint </w:t>
      </w:r>
      <w:r w:rsidR="00E53507">
        <w:rPr>
          <w:lang w:val="en-US"/>
        </w:rPr>
        <w:t>M</w:t>
      </w:r>
      <w:r>
        <w:rPr>
          <w:lang w:val="en-US"/>
        </w:rPr>
        <w:t>eeting and published on the UNECE website</w:t>
      </w:r>
      <w:r w:rsidR="00CE4945">
        <w:rPr>
          <w:lang w:val="en-US"/>
        </w:rPr>
        <w:t>,</w:t>
      </w:r>
      <w:r>
        <w:rPr>
          <w:lang w:val="en-US"/>
        </w:rPr>
        <w:t xml:space="preserve"> would allow to ensure perfect compliance with the TDG regulation and satisfy the needs of </w:t>
      </w:r>
      <w:proofErr w:type="spellStart"/>
      <w:r>
        <w:rPr>
          <w:lang w:val="en-US"/>
        </w:rPr>
        <w:t>eFTI</w:t>
      </w:r>
      <w:proofErr w:type="spellEnd"/>
      <w:r>
        <w:rPr>
          <w:lang w:val="en-US"/>
        </w:rPr>
        <w:t>.</w:t>
      </w:r>
    </w:p>
    <w:p w14:paraId="27BF1EBB" w14:textId="6840223B" w:rsidR="00E51189" w:rsidRDefault="00E51189" w:rsidP="00E51189">
      <w:pPr>
        <w:pStyle w:val="SingleTxtG"/>
        <w:rPr>
          <w:lang w:val="en-US"/>
        </w:rPr>
      </w:pPr>
      <w:r>
        <w:rPr>
          <w:lang w:val="en-US"/>
        </w:rPr>
        <w:tab/>
      </w:r>
      <w:r>
        <w:rPr>
          <w:lang w:val="en-US"/>
        </w:rPr>
        <w:tab/>
        <w:t>b)</w:t>
      </w:r>
      <w:r>
        <w:rPr>
          <w:lang w:val="en-US"/>
        </w:rPr>
        <w:tab/>
        <w:t xml:space="preserve">The data model used to describe the </w:t>
      </w:r>
      <w:proofErr w:type="spellStart"/>
      <w:r>
        <w:rPr>
          <w:lang w:val="en-US"/>
        </w:rPr>
        <w:t>eFTI</w:t>
      </w:r>
      <w:proofErr w:type="spellEnd"/>
      <w:r>
        <w:rPr>
          <w:lang w:val="en-US"/>
        </w:rPr>
        <w:t xml:space="preserve"> data requirements is based on UNCEFACT work and ignores the regulatory TDG data model that is linked to the guidelines. This model that is under finalization in the context of DTLF is not compliant with the requirements of the transport of dangerous goods regulations (RID</w:t>
      </w:r>
      <w:r w:rsidR="00580115">
        <w:rPr>
          <w:lang w:val="en-US"/>
        </w:rPr>
        <w:t>/</w:t>
      </w:r>
      <w:r>
        <w:rPr>
          <w:lang w:val="en-US"/>
        </w:rPr>
        <w:t>ADR</w:t>
      </w:r>
      <w:r w:rsidR="00580115">
        <w:rPr>
          <w:lang w:val="en-US"/>
        </w:rPr>
        <w:t>/</w:t>
      </w:r>
      <w:r>
        <w:rPr>
          <w:lang w:val="en-US"/>
        </w:rPr>
        <w:t xml:space="preserve">ADN as annexed to directive 2008/68/EC) concerning the information that </w:t>
      </w:r>
      <w:r w:rsidR="00EA27C7">
        <w:rPr>
          <w:lang w:val="en-US"/>
        </w:rPr>
        <w:t>must</w:t>
      </w:r>
      <w:r>
        <w:rPr>
          <w:lang w:val="en-US"/>
        </w:rPr>
        <w:t xml:space="preserve"> follow each transport of dangerous goods operation. In particular it does not contain all the data that are mandatory, especially the conditional data e.g. linked to some special provisions and some special parts of 5.4. Therefore, the transport document produced on the basis of that data model under </w:t>
      </w:r>
      <w:proofErr w:type="spellStart"/>
      <w:r>
        <w:rPr>
          <w:lang w:val="en-US"/>
        </w:rPr>
        <w:t>eFTI</w:t>
      </w:r>
      <w:proofErr w:type="spellEnd"/>
      <w:r>
        <w:rPr>
          <w:lang w:val="en-US"/>
        </w:rPr>
        <w:t xml:space="preserve"> will not be in conformity with the prescriptions of RID/ADR/ADN. Conversely the chosen UNCEFACT model contains some information that are not required by RID/ADR/ADN such as the Flashpoint that is a requirement of </w:t>
      </w:r>
      <w:r w:rsidR="001247EE">
        <w:rPr>
          <w:lang w:val="en-US"/>
        </w:rPr>
        <w:t>I</w:t>
      </w:r>
      <w:r w:rsidR="001247EE" w:rsidRPr="001247EE">
        <w:rPr>
          <w:lang w:val="en-US"/>
        </w:rPr>
        <w:t xml:space="preserve">nternational Maritime Dangerous Goods </w:t>
      </w:r>
      <w:r w:rsidR="001247EE">
        <w:rPr>
          <w:lang w:val="en-US"/>
        </w:rPr>
        <w:t>(</w:t>
      </w:r>
      <w:r>
        <w:rPr>
          <w:lang w:val="en-US"/>
        </w:rPr>
        <w:t>IMDG</w:t>
      </w:r>
      <w:r w:rsidR="001247EE">
        <w:rPr>
          <w:lang w:val="en-US"/>
        </w:rPr>
        <w:t>) code</w:t>
      </w:r>
      <w:r>
        <w:rPr>
          <w:lang w:val="en-US"/>
        </w:rPr>
        <w:t xml:space="preserve">. It is acceptable to allow some optional information to be in conformity with other regulation in </w:t>
      </w:r>
      <w:r w:rsidR="00E65530">
        <w:rPr>
          <w:lang w:val="en-US"/>
        </w:rPr>
        <w:t xml:space="preserve">the </w:t>
      </w:r>
      <w:r>
        <w:rPr>
          <w:lang w:val="en-US"/>
        </w:rPr>
        <w:t xml:space="preserve">case of a multimodal journey but that should not lead to generalization of these data for all trip </w:t>
      </w:r>
      <w:r w:rsidR="00AD19DC">
        <w:rPr>
          <w:lang w:val="en-US"/>
        </w:rPr>
        <w:t>in the case of</w:t>
      </w:r>
      <w:r>
        <w:rPr>
          <w:lang w:val="en-US"/>
        </w:rPr>
        <w:t xml:space="preserve"> land transport</w:t>
      </w:r>
      <w:r w:rsidR="00AD19DC" w:rsidRPr="00AD19DC">
        <w:rPr>
          <w:lang w:val="en-US"/>
        </w:rPr>
        <w:t xml:space="preserve"> </w:t>
      </w:r>
      <w:r w:rsidR="00AD19DC">
        <w:rPr>
          <w:lang w:val="en-US"/>
        </w:rPr>
        <w:t>only</w:t>
      </w:r>
      <w:r>
        <w:rPr>
          <w:lang w:val="en-US"/>
        </w:rPr>
        <w:t>. Continuing to work with the development of a non-compliant data model will lead to non-compliant transport document, which, under the directive for roadside checks (95/50/E</w:t>
      </w:r>
      <w:r w:rsidR="006729F0">
        <w:rPr>
          <w:lang w:val="en-US"/>
        </w:rPr>
        <w:t>C</w:t>
      </w:r>
      <w:r>
        <w:rPr>
          <w:lang w:val="en-US"/>
        </w:rPr>
        <w:t>), will lead to sanctions and immobilizations.</w:t>
      </w:r>
    </w:p>
    <w:p w14:paraId="6A0AA9D2" w14:textId="1C0DA729" w:rsidR="00E51189" w:rsidRPr="00FA58B8" w:rsidRDefault="00E51189" w:rsidP="00AD19DC">
      <w:pPr>
        <w:pStyle w:val="SingleTxtG"/>
        <w:rPr>
          <w:lang w:val="en-US"/>
        </w:rPr>
      </w:pPr>
      <w:r w:rsidRPr="00FA58B8">
        <w:rPr>
          <w:lang w:val="en-US"/>
        </w:rPr>
        <w:t>Furthermore the design approach of the model that is under finalization in the context of DTLF is tailor-made for the needs of commerce and re</w:t>
      </w:r>
      <w:r>
        <w:rPr>
          <w:lang w:val="en-US"/>
        </w:rPr>
        <w:t>lated trade software developers,</w:t>
      </w:r>
      <w:r w:rsidRPr="00FA58B8">
        <w:rPr>
          <w:lang w:val="en-US"/>
        </w:rPr>
        <w:t xml:space="preserve"> while </w:t>
      </w:r>
      <w:r w:rsidR="00257A30">
        <w:rPr>
          <w:lang w:val="en-US"/>
        </w:rPr>
        <w:t>t</w:t>
      </w:r>
      <w:r w:rsidRPr="00FA58B8">
        <w:rPr>
          <w:lang w:val="en-US"/>
        </w:rPr>
        <w:t>he TDG data model is the digital twin of RID/ADR/ADN in the sense of mapping the complex (conditional) regulatory rules and avoiding room for errors.</w:t>
      </w:r>
    </w:p>
    <w:p w14:paraId="4C6EBA1E" w14:textId="7BD888F6" w:rsidR="00E51189" w:rsidRDefault="00E51189" w:rsidP="00E51189">
      <w:pPr>
        <w:pStyle w:val="SingleTxtG"/>
        <w:rPr>
          <w:lang w:val="en-US"/>
        </w:rPr>
      </w:pPr>
      <w:r>
        <w:rPr>
          <w:lang w:val="en-US"/>
        </w:rPr>
        <w:tab/>
      </w:r>
      <w:r>
        <w:rPr>
          <w:lang w:val="en-US"/>
        </w:rPr>
        <w:tab/>
        <w:t>c)</w:t>
      </w:r>
      <w:r>
        <w:rPr>
          <w:lang w:val="en-US"/>
        </w:rPr>
        <w:tab/>
        <w:t xml:space="preserve">Some recent discussions in the DTLF aim at neglecting remote access to the TDG information such as allowed by connection to TP1 under the guidelines which are equivalent to National Access Points (NAP) in the </w:t>
      </w:r>
      <w:proofErr w:type="spellStart"/>
      <w:r>
        <w:rPr>
          <w:lang w:val="en-US"/>
        </w:rPr>
        <w:t>eFTI</w:t>
      </w:r>
      <w:proofErr w:type="spellEnd"/>
      <w:r>
        <w:rPr>
          <w:lang w:val="en-US"/>
        </w:rPr>
        <w:t xml:space="preserve"> context. This is particularly problematic in the </w:t>
      </w:r>
      <w:r w:rsidRPr="00E51189">
        <w:t>context</w:t>
      </w:r>
      <w:r>
        <w:rPr>
          <w:lang w:val="en-US"/>
        </w:rPr>
        <w:t xml:space="preserve"> of TDG because it eliminates many use cases linked to the improvement of safety and security in particular the possibility for emergency responders to know the content of a damaged vehicle before arriving at the place of accident. The way it is now developed under </w:t>
      </w:r>
      <w:proofErr w:type="spellStart"/>
      <w:r>
        <w:rPr>
          <w:lang w:val="en-US"/>
        </w:rPr>
        <w:t>eFTI</w:t>
      </w:r>
      <w:proofErr w:type="spellEnd"/>
      <w:r>
        <w:rPr>
          <w:lang w:val="en-US"/>
        </w:rPr>
        <w:t xml:space="preserve"> could even </w:t>
      </w:r>
      <w:r w:rsidR="007D72F0">
        <w:rPr>
          <w:lang w:val="en-US"/>
        </w:rPr>
        <w:t xml:space="preserve">be </w:t>
      </w:r>
      <w:r w:rsidR="00DD064A">
        <w:rPr>
          <w:lang w:val="en-US"/>
        </w:rPr>
        <w:t>a burden to</w:t>
      </w:r>
      <w:r>
        <w:rPr>
          <w:lang w:val="en-US"/>
        </w:rPr>
        <w:t xml:space="preserve"> access some information as is with paper documents for the authorities. It seems that the nature of the TDG information is not emphasized enough as safety and security information where non-conformity and delay could create life threatening situations.</w:t>
      </w:r>
    </w:p>
    <w:p w14:paraId="0C18A2B7" w14:textId="77777777" w:rsidR="00E51189" w:rsidRPr="001F06CE" w:rsidRDefault="00E51189" w:rsidP="00E51189">
      <w:pPr>
        <w:pStyle w:val="SingleTxtG"/>
        <w:rPr>
          <w:lang w:val="en-US"/>
        </w:rPr>
      </w:pPr>
      <w:r w:rsidRPr="001F06CE">
        <w:rPr>
          <w:lang w:val="en-US"/>
        </w:rPr>
        <w:t>8.</w:t>
      </w:r>
      <w:r w:rsidRPr="001F06CE">
        <w:rPr>
          <w:lang w:val="en-US"/>
        </w:rPr>
        <w:tab/>
        <w:t>The French and German experts will provide additional presentations to illustrate these issues as well as a presentation of a well-functioning system based on the guidelines</w:t>
      </w:r>
      <w:r>
        <w:rPr>
          <w:lang w:val="en-US"/>
        </w:rPr>
        <w:t>.</w:t>
      </w:r>
    </w:p>
    <w:p w14:paraId="7A333EF7" w14:textId="56970710" w:rsidR="00E51189" w:rsidRPr="00E86A7E" w:rsidRDefault="00E51189" w:rsidP="00E51189">
      <w:pPr>
        <w:pStyle w:val="HChG"/>
        <w:rPr>
          <w:lang w:val="en-US"/>
        </w:rPr>
      </w:pPr>
      <w:r>
        <w:rPr>
          <w:lang w:val="en-US"/>
        </w:rPr>
        <w:tab/>
      </w:r>
      <w:r>
        <w:rPr>
          <w:lang w:val="en-US"/>
        </w:rPr>
        <w:tab/>
      </w:r>
      <w:r w:rsidRPr="00E86A7E">
        <w:rPr>
          <w:lang w:val="en-US"/>
        </w:rPr>
        <w:t>Conclusion</w:t>
      </w:r>
    </w:p>
    <w:p w14:paraId="1B038C55" w14:textId="3DF84BFC" w:rsidR="00E51189" w:rsidRDefault="00E51189" w:rsidP="00E51189">
      <w:pPr>
        <w:pStyle w:val="SingleTxtG"/>
        <w:rPr>
          <w:lang w:val="en-US"/>
        </w:rPr>
      </w:pPr>
      <w:r>
        <w:rPr>
          <w:lang w:val="en-US"/>
        </w:rPr>
        <w:t>9.</w:t>
      </w:r>
      <w:r>
        <w:rPr>
          <w:lang w:val="en-US"/>
        </w:rPr>
        <w:tab/>
        <w:t xml:space="preserve">Seeing that there are still compliance issues between the results of the work in DTLF and the requirement </w:t>
      </w:r>
      <w:r w:rsidRPr="00E51189">
        <w:t>of</w:t>
      </w:r>
      <w:r>
        <w:rPr>
          <w:lang w:val="en-US"/>
        </w:rPr>
        <w:t xml:space="preserve"> the dangerous goods regulations it seems appropriate to provide a clear statement that could take the form of a declaration attached to the report of the current session</w:t>
      </w:r>
      <w:r w:rsidR="001F11F0">
        <w:rPr>
          <w:lang w:val="en-US"/>
        </w:rPr>
        <w:t>. T</w:t>
      </w:r>
      <w:r>
        <w:rPr>
          <w:lang w:val="en-US"/>
        </w:rPr>
        <w:t>he Joint Meeting is invited to decide if it can endorse that declaration drafted as follows:</w:t>
      </w:r>
    </w:p>
    <w:p w14:paraId="722B636E" w14:textId="77777777" w:rsidR="00E51189" w:rsidRPr="00FA58B8" w:rsidRDefault="00E51189" w:rsidP="00E51189">
      <w:pPr>
        <w:pStyle w:val="SingleTxtG"/>
        <w:rPr>
          <w:i/>
          <w:lang w:val="en-US"/>
        </w:rPr>
      </w:pPr>
      <w:r w:rsidRPr="00FA58B8">
        <w:rPr>
          <w:i/>
          <w:lang w:val="en-US"/>
        </w:rPr>
        <w:lastRenderedPageBreak/>
        <w:t xml:space="preserve">“Noting the recent development for the establishment of a dematerialized transport document under </w:t>
      </w:r>
      <w:proofErr w:type="spellStart"/>
      <w:r w:rsidRPr="00FA58B8">
        <w:rPr>
          <w:i/>
          <w:lang w:val="en-US"/>
        </w:rPr>
        <w:t>eFTI</w:t>
      </w:r>
      <w:proofErr w:type="spellEnd"/>
      <w:r w:rsidRPr="00FA58B8">
        <w:rPr>
          <w:i/>
          <w:lang w:val="en-US"/>
        </w:rPr>
        <w:t xml:space="preserve"> regulations and noting that in the work done in the field of dangerous goods some issues in the DTLF such as the adoption of a data model non-compliant to the RID/ADR/ADN regulations and the fact that the potential discarding of the possibility for a remote access to the transport information could create serious safety and security concerning in the transport of dangerous goods, because the TDG information are essential to perform safety and security functions and that wrong or delayed information would create life threatening situations.</w:t>
      </w:r>
    </w:p>
    <w:p w14:paraId="059268E7" w14:textId="77777777" w:rsidR="00E51189" w:rsidRPr="00FA58B8" w:rsidRDefault="00E51189" w:rsidP="00E51189">
      <w:pPr>
        <w:pStyle w:val="SingleTxtG"/>
        <w:rPr>
          <w:i/>
          <w:lang w:val="en-US"/>
        </w:rPr>
      </w:pPr>
      <w:r w:rsidRPr="00FA58B8">
        <w:rPr>
          <w:i/>
          <w:lang w:val="en-US"/>
        </w:rPr>
        <w:t>When developing a data exchange architecture in relation with the implementing acts and in the context of dangerous goods the Joint Meeting invites the European Commission (DG MOVE D1):</w:t>
      </w:r>
    </w:p>
    <w:p w14:paraId="5CCF15CC" w14:textId="4754565B" w:rsidR="00E51189" w:rsidRPr="00FA58B8" w:rsidRDefault="00E51189" w:rsidP="00022326">
      <w:pPr>
        <w:pStyle w:val="SingleTxtG"/>
        <w:numPr>
          <w:ilvl w:val="0"/>
          <w:numId w:val="2"/>
        </w:numPr>
        <w:suppressAutoHyphens w:val="0"/>
        <w:ind w:left="2268" w:hanging="567"/>
        <w:rPr>
          <w:i/>
          <w:lang w:val="en-US"/>
        </w:rPr>
      </w:pPr>
      <w:r w:rsidRPr="00FA58B8">
        <w:rPr>
          <w:i/>
          <w:lang w:val="en-US"/>
        </w:rPr>
        <w:t>To consider the full use of the guidelines</w:t>
      </w:r>
      <w:r w:rsidRPr="00FA58B8">
        <w:rPr>
          <w:i/>
        </w:rPr>
        <w:t xml:space="preserve"> for the use of 5.4.0.2 in RID/ADR/ADN</w:t>
      </w:r>
      <w:r w:rsidRPr="00FA58B8">
        <w:rPr>
          <w:i/>
          <w:lang w:val="en-US"/>
        </w:rPr>
        <w:t xml:space="preserve"> developed by the </w:t>
      </w:r>
      <w:r w:rsidR="009D0F6C">
        <w:rPr>
          <w:i/>
          <w:lang w:val="en-US"/>
        </w:rPr>
        <w:t>J</w:t>
      </w:r>
      <w:r w:rsidRPr="00FA58B8">
        <w:rPr>
          <w:i/>
          <w:lang w:val="en-US"/>
        </w:rPr>
        <w:t xml:space="preserve">oint </w:t>
      </w:r>
      <w:r w:rsidR="009D0F6C">
        <w:rPr>
          <w:i/>
          <w:lang w:val="en-US"/>
        </w:rPr>
        <w:t>M</w:t>
      </w:r>
      <w:r w:rsidRPr="00FA58B8">
        <w:rPr>
          <w:i/>
          <w:lang w:val="en-US"/>
        </w:rPr>
        <w:t>eeting that are the best way to ensure full compliance with the RID</w:t>
      </w:r>
      <w:r w:rsidR="009F7437">
        <w:rPr>
          <w:i/>
          <w:lang w:val="en-US"/>
        </w:rPr>
        <w:t>,</w:t>
      </w:r>
      <w:r w:rsidRPr="00FA58B8">
        <w:rPr>
          <w:i/>
          <w:lang w:val="en-US"/>
        </w:rPr>
        <w:t xml:space="preserve"> ADR</w:t>
      </w:r>
      <w:r w:rsidR="009F7437">
        <w:rPr>
          <w:i/>
          <w:lang w:val="en-US"/>
        </w:rPr>
        <w:t xml:space="preserve"> and</w:t>
      </w:r>
      <w:r w:rsidRPr="00FA58B8">
        <w:rPr>
          <w:i/>
          <w:lang w:val="en-US"/>
        </w:rPr>
        <w:t xml:space="preserve"> ADN regulations.</w:t>
      </w:r>
    </w:p>
    <w:p w14:paraId="0F840F93" w14:textId="4CBE6A38" w:rsidR="00E51189" w:rsidRPr="00FA58B8" w:rsidRDefault="00E51189" w:rsidP="00022326">
      <w:pPr>
        <w:pStyle w:val="SingleTxtG"/>
        <w:numPr>
          <w:ilvl w:val="0"/>
          <w:numId w:val="2"/>
        </w:numPr>
        <w:suppressAutoHyphens w:val="0"/>
        <w:ind w:left="2268" w:hanging="567"/>
        <w:rPr>
          <w:i/>
          <w:lang w:val="en-US"/>
        </w:rPr>
      </w:pPr>
      <w:r w:rsidRPr="00FA58B8">
        <w:rPr>
          <w:i/>
          <w:lang w:val="en-US"/>
        </w:rPr>
        <w:t xml:space="preserve">To develop a data model in compliance with the data model developed by the Joint Meeting and linked to the above mentioned guidelines. If the new development under </w:t>
      </w:r>
      <w:proofErr w:type="spellStart"/>
      <w:r w:rsidRPr="00FA58B8">
        <w:rPr>
          <w:i/>
          <w:lang w:val="en-US"/>
        </w:rPr>
        <w:t>eFTI</w:t>
      </w:r>
      <w:proofErr w:type="spellEnd"/>
      <w:r w:rsidRPr="00FA58B8">
        <w:rPr>
          <w:i/>
          <w:lang w:val="en-US"/>
        </w:rPr>
        <w:t xml:space="preserve"> require a new format the new data model should nevertheless contain all the data contained and their dependencies covered in the data model developed by the Joint Meeting </w:t>
      </w:r>
      <w:r w:rsidR="00F12549" w:rsidRPr="00FA58B8">
        <w:rPr>
          <w:i/>
          <w:lang w:val="en-US"/>
        </w:rPr>
        <w:t>to</w:t>
      </w:r>
      <w:r w:rsidRPr="00FA58B8">
        <w:rPr>
          <w:i/>
          <w:lang w:val="en-US"/>
        </w:rPr>
        <w:t xml:space="preserve"> ensure compliance with the RID</w:t>
      </w:r>
      <w:r w:rsidR="00F12549">
        <w:rPr>
          <w:i/>
          <w:lang w:val="en-US"/>
        </w:rPr>
        <w:t>,</w:t>
      </w:r>
      <w:r w:rsidRPr="00FA58B8">
        <w:rPr>
          <w:i/>
          <w:lang w:val="en-US"/>
        </w:rPr>
        <w:t xml:space="preserve"> ADR</w:t>
      </w:r>
      <w:r w:rsidR="00F12549">
        <w:rPr>
          <w:i/>
          <w:lang w:val="en-US"/>
        </w:rPr>
        <w:t xml:space="preserve"> and</w:t>
      </w:r>
      <w:r w:rsidRPr="00FA58B8">
        <w:rPr>
          <w:i/>
          <w:lang w:val="en-US"/>
        </w:rPr>
        <w:t xml:space="preserve"> ADN regulations.</w:t>
      </w:r>
    </w:p>
    <w:p w14:paraId="5856336C" w14:textId="760E6F1C" w:rsidR="00E51189" w:rsidRPr="00FA58B8" w:rsidRDefault="00E51189" w:rsidP="00022326">
      <w:pPr>
        <w:pStyle w:val="SingleTxtG"/>
        <w:numPr>
          <w:ilvl w:val="0"/>
          <w:numId w:val="2"/>
        </w:numPr>
        <w:suppressAutoHyphens w:val="0"/>
        <w:ind w:left="2268" w:hanging="567"/>
        <w:rPr>
          <w:i/>
          <w:lang w:val="en-US"/>
        </w:rPr>
      </w:pPr>
      <w:r w:rsidRPr="00FA58B8">
        <w:rPr>
          <w:i/>
          <w:lang w:val="en-US"/>
        </w:rPr>
        <w:t xml:space="preserve">To consider that </w:t>
      </w:r>
      <w:r w:rsidR="00883161">
        <w:rPr>
          <w:i/>
          <w:lang w:val="en-US"/>
        </w:rPr>
        <w:t xml:space="preserve">the </w:t>
      </w:r>
      <w:r w:rsidR="00AF18F0" w:rsidRPr="00A75EC9">
        <w:rPr>
          <w:i/>
          <w:lang w:val="en-US"/>
        </w:rPr>
        <w:t>transport of dangerous goods</w:t>
      </w:r>
      <w:r w:rsidR="00AF18F0" w:rsidRPr="00FA58B8">
        <w:rPr>
          <w:i/>
          <w:lang w:val="en-US"/>
        </w:rPr>
        <w:t xml:space="preserve"> </w:t>
      </w:r>
      <w:r w:rsidRPr="00FA58B8">
        <w:rPr>
          <w:i/>
          <w:lang w:val="en-US"/>
        </w:rPr>
        <w:t>information</w:t>
      </w:r>
      <w:r w:rsidR="00A75EC9" w:rsidRPr="00A75EC9">
        <w:t xml:space="preserve"> </w:t>
      </w:r>
      <w:r w:rsidRPr="00FA58B8">
        <w:rPr>
          <w:i/>
          <w:lang w:val="en-US"/>
        </w:rPr>
        <w:t xml:space="preserve">shall be accessible remotely through national access point (similar to the TP1 interfaces described in the guidelines) to improve the delay to access the information for authorities; in particular it has to be noted that the guidelines as provided by the Joint </w:t>
      </w:r>
      <w:r w:rsidR="00B906D4">
        <w:rPr>
          <w:i/>
          <w:lang w:val="en-US"/>
        </w:rPr>
        <w:t>M</w:t>
      </w:r>
      <w:r w:rsidRPr="00FA58B8">
        <w:rPr>
          <w:i/>
          <w:lang w:val="en-US"/>
        </w:rPr>
        <w:t>eeting and applied inter-alia in France and Germany already allow this functionality.</w:t>
      </w:r>
    </w:p>
    <w:p w14:paraId="7DFF98D6" w14:textId="19192AE9" w:rsidR="00E51189" w:rsidRPr="00FA58B8" w:rsidRDefault="00E51189" w:rsidP="00022326">
      <w:pPr>
        <w:pStyle w:val="SingleTxtG"/>
        <w:numPr>
          <w:ilvl w:val="0"/>
          <w:numId w:val="2"/>
        </w:numPr>
        <w:suppressAutoHyphens w:val="0"/>
        <w:ind w:left="2268" w:hanging="567"/>
        <w:rPr>
          <w:i/>
          <w:lang w:val="en-US"/>
        </w:rPr>
      </w:pPr>
      <w:r w:rsidRPr="00FA58B8">
        <w:rPr>
          <w:i/>
          <w:lang w:val="en-US"/>
        </w:rPr>
        <w:t xml:space="preserve">To consider the establishment of an updating system of the data model in close relation to the </w:t>
      </w:r>
      <w:r w:rsidR="004D4C54">
        <w:rPr>
          <w:i/>
          <w:lang w:val="en-US"/>
        </w:rPr>
        <w:t>J</w:t>
      </w:r>
      <w:r w:rsidRPr="00FA58B8">
        <w:rPr>
          <w:i/>
          <w:lang w:val="en-US"/>
        </w:rPr>
        <w:t xml:space="preserve">oint </w:t>
      </w:r>
      <w:r w:rsidR="004D4C54">
        <w:rPr>
          <w:i/>
          <w:lang w:val="en-US"/>
        </w:rPr>
        <w:t>M</w:t>
      </w:r>
      <w:r w:rsidRPr="00FA58B8">
        <w:rPr>
          <w:i/>
          <w:lang w:val="en-US"/>
        </w:rPr>
        <w:t>eeting to take into account the biannual evolution of the regulations.”</w:t>
      </w:r>
    </w:p>
    <w:p w14:paraId="51974B71" w14:textId="27706CA9" w:rsidR="00E51189" w:rsidRDefault="00E51189" w:rsidP="00E51189">
      <w:pPr>
        <w:pStyle w:val="SingleTxtG"/>
        <w:rPr>
          <w:lang w:val="en-US"/>
        </w:rPr>
      </w:pPr>
      <w:r>
        <w:rPr>
          <w:lang w:val="en-US"/>
        </w:rPr>
        <w:t>10.</w:t>
      </w:r>
      <w:r>
        <w:rPr>
          <w:lang w:val="en-US"/>
        </w:rPr>
        <w:tab/>
        <w:t xml:space="preserve">The Joint </w:t>
      </w:r>
      <w:r w:rsidR="004D4C54">
        <w:rPr>
          <w:lang w:val="en-US"/>
        </w:rPr>
        <w:t>M</w:t>
      </w:r>
      <w:r>
        <w:rPr>
          <w:lang w:val="en-US"/>
        </w:rPr>
        <w:t xml:space="preserve">eeting might also consider </w:t>
      </w:r>
      <w:r w:rsidR="00883161">
        <w:rPr>
          <w:lang w:val="en-US"/>
        </w:rPr>
        <w:t>reconvening</w:t>
      </w:r>
      <w:r>
        <w:rPr>
          <w:lang w:val="en-US"/>
        </w:rPr>
        <w:t xml:space="preserve"> the telematics working group to </w:t>
      </w:r>
      <w:r w:rsidR="000425F2">
        <w:rPr>
          <w:lang w:val="en-US"/>
        </w:rPr>
        <w:t>do</w:t>
      </w:r>
      <w:r>
        <w:rPr>
          <w:lang w:val="en-US"/>
        </w:rPr>
        <w:t xml:space="preserve"> a final check o</w:t>
      </w:r>
      <w:r w:rsidR="000425F2">
        <w:rPr>
          <w:lang w:val="en-US"/>
        </w:rPr>
        <w:t>f</w:t>
      </w:r>
      <w:r>
        <w:rPr>
          <w:lang w:val="en-US"/>
        </w:rPr>
        <w:t xml:space="preserve"> the outcome of the DTLF work before starting the elaboration of the delegated and implementing acts concerning the transport of dangerous goods (first quarter of 2023).</w:t>
      </w:r>
    </w:p>
    <w:p w14:paraId="4A3C1C95" w14:textId="58E1C195" w:rsidR="00022326" w:rsidRPr="00022326" w:rsidRDefault="00022326" w:rsidP="00022326">
      <w:pPr>
        <w:spacing w:before="240"/>
        <w:jc w:val="center"/>
        <w:rPr>
          <w:u w:val="single"/>
          <w:lang w:val="en-US"/>
        </w:rPr>
      </w:pPr>
      <w:r>
        <w:rPr>
          <w:u w:val="single"/>
          <w:lang w:val="en-US"/>
        </w:rPr>
        <w:tab/>
      </w:r>
      <w:r>
        <w:rPr>
          <w:u w:val="single"/>
          <w:lang w:val="en-US"/>
        </w:rPr>
        <w:tab/>
      </w:r>
      <w:r>
        <w:rPr>
          <w:u w:val="single"/>
          <w:lang w:val="en-US"/>
        </w:rPr>
        <w:tab/>
      </w:r>
    </w:p>
    <w:sectPr w:rsidR="00022326" w:rsidRPr="00022326">
      <w:headerReference w:type="even" r:id="rId11"/>
      <w:headerReference w:type="default" r:id="rId12"/>
      <w:footerReference w:type="even" r:id="rId13"/>
      <w:footerReference w:type="default" r:id="rId14"/>
      <w:headerReference w:type="first" r:id="rId15"/>
      <w:pgSz w:w="11906" w:h="16838"/>
      <w:pgMar w:top="1418" w:right="1134" w:bottom="1134" w:left="1134" w:header="851" w:footer="567"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5237" w14:textId="77777777" w:rsidR="00F223A4" w:rsidRDefault="00F223A4">
      <w:pPr>
        <w:spacing w:line="240" w:lineRule="auto"/>
      </w:pPr>
      <w:r>
        <w:separator/>
      </w:r>
    </w:p>
  </w:endnote>
  <w:endnote w:type="continuationSeparator" w:id="0">
    <w:p w14:paraId="69BE081B" w14:textId="77777777" w:rsidR="00F223A4" w:rsidRDefault="00F223A4">
      <w:pPr>
        <w:spacing w:line="240" w:lineRule="auto"/>
      </w:pPr>
      <w:r>
        <w:continuationSeparator/>
      </w:r>
    </w:p>
  </w:endnote>
  <w:endnote w:type="continuationNotice" w:id="1">
    <w:p w14:paraId="40E0F73F" w14:textId="77777777" w:rsidR="00F223A4" w:rsidRDefault="00F223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209" w14:textId="18DAC0E7" w:rsidR="00717940" w:rsidRDefault="00793826">
    <w:pPr>
      <w:pStyle w:val="Footer"/>
      <w:tabs>
        <w:tab w:val="right" w:pos="9638"/>
      </w:tabs>
    </w:pPr>
    <w:r>
      <w:rPr>
        <w:b/>
        <w:sz w:val="18"/>
      </w:rPr>
      <w:fldChar w:fldCharType="begin"/>
    </w:r>
    <w:r>
      <w:rPr>
        <w:b/>
        <w:sz w:val="18"/>
      </w:rPr>
      <w:instrText>PAGE</w:instrText>
    </w:r>
    <w:r>
      <w:rPr>
        <w:b/>
        <w:sz w:val="18"/>
      </w:rPr>
      <w:fldChar w:fldCharType="separate"/>
    </w:r>
    <w:r>
      <w:rPr>
        <w:b/>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4690" w14:textId="1B272E52" w:rsidR="00717940" w:rsidRDefault="00793826">
    <w:pPr>
      <w:pStyle w:val="Footer"/>
      <w:tabs>
        <w:tab w:val="right" w:pos="9638"/>
      </w:tabs>
    </w:pPr>
    <w:r>
      <w:tab/>
    </w:r>
    <w:r>
      <w:rPr>
        <w:b/>
        <w:sz w:val="18"/>
      </w:rPr>
      <w:fldChar w:fldCharType="begin"/>
    </w:r>
    <w:r>
      <w:rPr>
        <w:b/>
        <w:sz w:val="18"/>
      </w:rPr>
      <w:instrText>PAGE</w:instrText>
    </w:r>
    <w:r>
      <w:rPr>
        <w:b/>
        <w:sz w:val="18"/>
      </w:rPr>
      <w:fldChar w:fldCharType="separate"/>
    </w:r>
    <w:r>
      <w:rPr>
        <w:b/>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CDBD" w14:textId="77777777" w:rsidR="00F223A4" w:rsidRDefault="00F223A4">
      <w:pPr>
        <w:spacing w:line="240" w:lineRule="auto"/>
      </w:pPr>
      <w:r>
        <w:separator/>
      </w:r>
    </w:p>
  </w:footnote>
  <w:footnote w:type="continuationSeparator" w:id="0">
    <w:p w14:paraId="0480492D" w14:textId="77777777" w:rsidR="00F223A4" w:rsidRDefault="00F223A4">
      <w:pPr>
        <w:spacing w:line="240" w:lineRule="auto"/>
      </w:pPr>
      <w:r>
        <w:continuationSeparator/>
      </w:r>
    </w:p>
  </w:footnote>
  <w:footnote w:type="continuationNotice" w:id="1">
    <w:p w14:paraId="06C6AF2D" w14:textId="77777777" w:rsidR="00F223A4" w:rsidRDefault="00F223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AE9" w14:textId="43285536" w:rsidR="00717940" w:rsidRDefault="00793826">
    <w:pPr>
      <w:pStyle w:val="Header"/>
      <w:pBdr>
        <w:bottom w:val="single" w:sz="4" w:space="1" w:color="000000"/>
      </w:pBdr>
      <w:rPr>
        <w:sz w:val="28"/>
        <w:szCs w:val="28"/>
      </w:rPr>
    </w:pPr>
    <w:r>
      <w:rPr>
        <w:sz w:val="28"/>
        <w:szCs w:val="28"/>
      </w:rPr>
      <w:t>INF.</w:t>
    </w:r>
    <w:r w:rsidR="00E51189">
      <w:rPr>
        <w:sz w:val="28"/>
        <w:szCs w:val="2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9B6" w14:textId="5954B8FD" w:rsidR="00717940" w:rsidRDefault="00793826">
    <w:pPr>
      <w:pStyle w:val="Header"/>
      <w:jc w:val="right"/>
      <w:rPr>
        <w:sz w:val="28"/>
        <w:szCs w:val="28"/>
        <w:lang w:val="fr-CH"/>
      </w:rPr>
    </w:pPr>
    <w:r>
      <w:rPr>
        <w:sz w:val="28"/>
        <w:szCs w:val="28"/>
        <w:lang w:val="fr-CH"/>
      </w:rPr>
      <w:t>INF.</w:t>
    </w:r>
    <w:r w:rsidR="00022326">
      <w:rPr>
        <w:sz w:val="28"/>
        <w:szCs w:val="28"/>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E3B" w14:textId="11F48BE1" w:rsidR="00717940" w:rsidRDefault="00793826" w:rsidP="00CB0942">
    <w:pPr>
      <w:pStyle w:val="Header"/>
      <w:pBdr>
        <w:bottom w:val="single" w:sz="4" w:space="1" w:color="000000"/>
      </w:pBdr>
      <w:jc w:val="right"/>
    </w:pPr>
    <w:r>
      <w:rPr>
        <w:sz w:val="28"/>
        <w:szCs w:val="28"/>
      </w:rPr>
      <w:t>INF.</w:t>
    </w:r>
    <w:r w:rsidR="00F13F15">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D6B"/>
    <w:multiLevelType w:val="hybridMultilevel"/>
    <w:tmpl w:val="D1E28C5C"/>
    <w:lvl w:ilvl="0" w:tplc="131ED55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215204ED"/>
    <w:multiLevelType w:val="hybridMultilevel"/>
    <w:tmpl w:val="D440434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40"/>
    <w:rsid w:val="00004921"/>
    <w:rsid w:val="000162DF"/>
    <w:rsid w:val="00020F8B"/>
    <w:rsid w:val="00021F1C"/>
    <w:rsid w:val="00022326"/>
    <w:rsid w:val="000310FE"/>
    <w:rsid w:val="00031177"/>
    <w:rsid w:val="000425F2"/>
    <w:rsid w:val="000579FE"/>
    <w:rsid w:val="00063630"/>
    <w:rsid w:val="000650A3"/>
    <w:rsid w:val="00070871"/>
    <w:rsid w:val="00080F76"/>
    <w:rsid w:val="000838E3"/>
    <w:rsid w:val="00091CCF"/>
    <w:rsid w:val="00092969"/>
    <w:rsid w:val="000A29A8"/>
    <w:rsid w:val="000A60D1"/>
    <w:rsid w:val="000B55CA"/>
    <w:rsid w:val="000C1B1A"/>
    <w:rsid w:val="000E6F0B"/>
    <w:rsid w:val="000F10E4"/>
    <w:rsid w:val="000F373E"/>
    <w:rsid w:val="00100C5F"/>
    <w:rsid w:val="0011447C"/>
    <w:rsid w:val="00117841"/>
    <w:rsid w:val="00121C81"/>
    <w:rsid w:val="001247EE"/>
    <w:rsid w:val="001376A0"/>
    <w:rsid w:val="00137701"/>
    <w:rsid w:val="0014549B"/>
    <w:rsid w:val="00146A78"/>
    <w:rsid w:val="0015465C"/>
    <w:rsid w:val="00154BEA"/>
    <w:rsid w:val="001600C9"/>
    <w:rsid w:val="001600F8"/>
    <w:rsid w:val="00160665"/>
    <w:rsid w:val="00161DA2"/>
    <w:rsid w:val="00162C09"/>
    <w:rsid w:val="001667B9"/>
    <w:rsid w:val="00166EDB"/>
    <w:rsid w:val="0017157D"/>
    <w:rsid w:val="001718C7"/>
    <w:rsid w:val="00173819"/>
    <w:rsid w:val="0017768A"/>
    <w:rsid w:val="001A7AA7"/>
    <w:rsid w:val="001B0F9E"/>
    <w:rsid w:val="001C0D6F"/>
    <w:rsid w:val="001C234B"/>
    <w:rsid w:val="001C2FB8"/>
    <w:rsid w:val="001C5BBC"/>
    <w:rsid w:val="001E0791"/>
    <w:rsid w:val="001E21AA"/>
    <w:rsid w:val="001E5913"/>
    <w:rsid w:val="001F11F0"/>
    <w:rsid w:val="001F2CB4"/>
    <w:rsid w:val="00202A7E"/>
    <w:rsid w:val="002101AB"/>
    <w:rsid w:val="002124E9"/>
    <w:rsid w:val="0022045F"/>
    <w:rsid w:val="00257A30"/>
    <w:rsid w:val="00260BCC"/>
    <w:rsid w:val="00266211"/>
    <w:rsid w:val="00270C07"/>
    <w:rsid w:val="00271614"/>
    <w:rsid w:val="0027163F"/>
    <w:rsid w:val="0028541F"/>
    <w:rsid w:val="002B62F9"/>
    <w:rsid w:val="002B792D"/>
    <w:rsid w:val="002C4A81"/>
    <w:rsid w:val="002C5FCE"/>
    <w:rsid w:val="002D033E"/>
    <w:rsid w:val="002D0B56"/>
    <w:rsid w:val="002D436D"/>
    <w:rsid w:val="002D4B74"/>
    <w:rsid w:val="002E5951"/>
    <w:rsid w:val="002F0B91"/>
    <w:rsid w:val="003009EF"/>
    <w:rsid w:val="00301288"/>
    <w:rsid w:val="00311102"/>
    <w:rsid w:val="00314822"/>
    <w:rsid w:val="00315D55"/>
    <w:rsid w:val="00332B15"/>
    <w:rsid w:val="0034046B"/>
    <w:rsid w:val="00342329"/>
    <w:rsid w:val="00345A08"/>
    <w:rsid w:val="00346090"/>
    <w:rsid w:val="00346A17"/>
    <w:rsid w:val="00350F12"/>
    <w:rsid w:val="00355A8C"/>
    <w:rsid w:val="00367D89"/>
    <w:rsid w:val="00372163"/>
    <w:rsid w:val="00373880"/>
    <w:rsid w:val="00374BAF"/>
    <w:rsid w:val="00377FCB"/>
    <w:rsid w:val="0038330C"/>
    <w:rsid w:val="00385311"/>
    <w:rsid w:val="003A1666"/>
    <w:rsid w:val="003A3E57"/>
    <w:rsid w:val="003A689B"/>
    <w:rsid w:val="003E7EA0"/>
    <w:rsid w:val="003F3515"/>
    <w:rsid w:val="003F3981"/>
    <w:rsid w:val="003F53FD"/>
    <w:rsid w:val="004069FB"/>
    <w:rsid w:val="00411B76"/>
    <w:rsid w:val="00424A2E"/>
    <w:rsid w:val="0043306E"/>
    <w:rsid w:val="004350FB"/>
    <w:rsid w:val="00436485"/>
    <w:rsid w:val="00455B29"/>
    <w:rsid w:val="0045698D"/>
    <w:rsid w:val="00483C84"/>
    <w:rsid w:val="00495F86"/>
    <w:rsid w:val="004A023C"/>
    <w:rsid w:val="004C24A3"/>
    <w:rsid w:val="004C6114"/>
    <w:rsid w:val="004D27BC"/>
    <w:rsid w:val="004D4C54"/>
    <w:rsid w:val="004E30CF"/>
    <w:rsid w:val="004E52E2"/>
    <w:rsid w:val="004E75CA"/>
    <w:rsid w:val="004F12A9"/>
    <w:rsid w:val="004F162A"/>
    <w:rsid w:val="0051279A"/>
    <w:rsid w:val="00520075"/>
    <w:rsid w:val="00522E71"/>
    <w:rsid w:val="00526AE8"/>
    <w:rsid w:val="00537563"/>
    <w:rsid w:val="00544E73"/>
    <w:rsid w:val="00551DDF"/>
    <w:rsid w:val="00552D1D"/>
    <w:rsid w:val="0057272F"/>
    <w:rsid w:val="00577B54"/>
    <w:rsid w:val="00580115"/>
    <w:rsid w:val="00583FDB"/>
    <w:rsid w:val="00592607"/>
    <w:rsid w:val="005A42D3"/>
    <w:rsid w:val="005A606A"/>
    <w:rsid w:val="005A7575"/>
    <w:rsid w:val="005C232A"/>
    <w:rsid w:val="005C344F"/>
    <w:rsid w:val="005D64C3"/>
    <w:rsid w:val="005E4941"/>
    <w:rsid w:val="005F2379"/>
    <w:rsid w:val="00605D6A"/>
    <w:rsid w:val="006204E2"/>
    <w:rsid w:val="00620600"/>
    <w:rsid w:val="006302FD"/>
    <w:rsid w:val="006379DC"/>
    <w:rsid w:val="00650621"/>
    <w:rsid w:val="006535CB"/>
    <w:rsid w:val="00661F17"/>
    <w:rsid w:val="00665BD8"/>
    <w:rsid w:val="00671110"/>
    <w:rsid w:val="006729F0"/>
    <w:rsid w:val="006750CF"/>
    <w:rsid w:val="00687683"/>
    <w:rsid w:val="00696106"/>
    <w:rsid w:val="006A56A6"/>
    <w:rsid w:val="006A72D2"/>
    <w:rsid w:val="006B1254"/>
    <w:rsid w:val="006B1F82"/>
    <w:rsid w:val="006C6B85"/>
    <w:rsid w:val="006D792F"/>
    <w:rsid w:val="006E4376"/>
    <w:rsid w:val="006F1067"/>
    <w:rsid w:val="00700279"/>
    <w:rsid w:val="007010B6"/>
    <w:rsid w:val="00702FA1"/>
    <w:rsid w:val="00717940"/>
    <w:rsid w:val="00721527"/>
    <w:rsid w:val="0072545E"/>
    <w:rsid w:val="0072631E"/>
    <w:rsid w:val="00727570"/>
    <w:rsid w:val="007328DD"/>
    <w:rsid w:val="00736AE4"/>
    <w:rsid w:val="00743785"/>
    <w:rsid w:val="00747EA2"/>
    <w:rsid w:val="007532DB"/>
    <w:rsid w:val="007551F6"/>
    <w:rsid w:val="007616DD"/>
    <w:rsid w:val="00765E34"/>
    <w:rsid w:val="007850C6"/>
    <w:rsid w:val="00793826"/>
    <w:rsid w:val="00793E80"/>
    <w:rsid w:val="007D2F42"/>
    <w:rsid w:val="007D72F0"/>
    <w:rsid w:val="007F054F"/>
    <w:rsid w:val="00811DA3"/>
    <w:rsid w:val="008123CD"/>
    <w:rsid w:val="008123D4"/>
    <w:rsid w:val="00843AD6"/>
    <w:rsid w:val="00844714"/>
    <w:rsid w:val="00847C9E"/>
    <w:rsid w:val="008540AA"/>
    <w:rsid w:val="00856F85"/>
    <w:rsid w:val="0086396A"/>
    <w:rsid w:val="00864512"/>
    <w:rsid w:val="0087122D"/>
    <w:rsid w:val="008728EB"/>
    <w:rsid w:val="00882080"/>
    <w:rsid w:val="00883161"/>
    <w:rsid w:val="00885CBB"/>
    <w:rsid w:val="008A032F"/>
    <w:rsid w:val="008A1684"/>
    <w:rsid w:val="008B7A86"/>
    <w:rsid w:val="008C09DB"/>
    <w:rsid w:val="008E3A0D"/>
    <w:rsid w:val="008F0367"/>
    <w:rsid w:val="008F799A"/>
    <w:rsid w:val="00921B87"/>
    <w:rsid w:val="0092498E"/>
    <w:rsid w:val="00925A35"/>
    <w:rsid w:val="00927DBD"/>
    <w:rsid w:val="009402D6"/>
    <w:rsid w:val="00951355"/>
    <w:rsid w:val="009517A5"/>
    <w:rsid w:val="0095273A"/>
    <w:rsid w:val="00957B9D"/>
    <w:rsid w:val="0096449E"/>
    <w:rsid w:val="0097461C"/>
    <w:rsid w:val="009A04B4"/>
    <w:rsid w:val="009A0A0A"/>
    <w:rsid w:val="009A7AAB"/>
    <w:rsid w:val="009B24C5"/>
    <w:rsid w:val="009B293C"/>
    <w:rsid w:val="009B7C69"/>
    <w:rsid w:val="009C4602"/>
    <w:rsid w:val="009D0F6C"/>
    <w:rsid w:val="009E4DDA"/>
    <w:rsid w:val="009F7437"/>
    <w:rsid w:val="00A03816"/>
    <w:rsid w:val="00A0461E"/>
    <w:rsid w:val="00A21141"/>
    <w:rsid w:val="00A24DF5"/>
    <w:rsid w:val="00A266F3"/>
    <w:rsid w:val="00A35949"/>
    <w:rsid w:val="00A44EAF"/>
    <w:rsid w:val="00A60463"/>
    <w:rsid w:val="00A61E24"/>
    <w:rsid w:val="00A63652"/>
    <w:rsid w:val="00A75EC9"/>
    <w:rsid w:val="00A8033F"/>
    <w:rsid w:val="00A80F20"/>
    <w:rsid w:val="00A814D3"/>
    <w:rsid w:val="00A95218"/>
    <w:rsid w:val="00A97047"/>
    <w:rsid w:val="00AA3003"/>
    <w:rsid w:val="00AD19DC"/>
    <w:rsid w:val="00AE3871"/>
    <w:rsid w:val="00AF18F0"/>
    <w:rsid w:val="00AF74E4"/>
    <w:rsid w:val="00B235FE"/>
    <w:rsid w:val="00B437C2"/>
    <w:rsid w:val="00B54FF3"/>
    <w:rsid w:val="00B56E09"/>
    <w:rsid w:val="00B809DF"/>
    <w:rsid w:val="00B906D4"/>
    <w:rsid w:val="00B9139C"/>
    <w:rsid w:val="00B95CA1"/>
    <w:rsid w:val="00B97C7B"/>
    <w:rsid w:val="00BB0D4A"/>
    <w:rsid w:val="00BB4E7D"/>
    <w:rsid w:val="00BB5A54"/>
    <w:rsid w:val="00BC0248"/>
    <w:rsid w:val="00BC2F57"/>
    <w:rsid w:val="00BC4065"/>
    <w:rsid w:val="00BD57DA"/>
    <w:rsid w:val="00BE648C"/>
    <w:rsid w:val="00BF522B"/>
    <w:rsid w:val="00BF6902"/>
    <w:rsid w:val="00BF6FA9"/>
    <w:rsid w:val="00C0431F"/>
    <w:rsid w:val="00C222C1"/>
    <w:rsid w:val="00C236CE"/>
    <w:rsid w:val="00C27827"/>
    <w:rsid w:val="00C42C4C"/>
    <w:rsid w:val="00C5275B"/>
    <w:rsid w:val="00C708CA"/>
    <w:rsid w:val="00C71AF7"/>
    <w:rsid w:val="00C71B2A"/>
    <w:rsid w:val="00C75C31"/>
    <w:rsid w:val="00C91153"/>
    <w:rsid w:val="00C95C48"/>
    <w:rsid w:val="00CA5D27"/>
    <w:rsid w:val="00CA7B76"/>
    <w:rsid w:val="00CB0942"/>
    <w:rsid w:val="00CB7A60"/>
    <w:rsid w:val="00CC194C"/>
    <w:rsid w:val="00CC245F"/>
    <w:rsid w:val="00CC45E1"/>
    <w:rsid w:val="00CC7CB3"/>
    <w:rsid w:val="00CD0608"/>
    <w:rsid w:val="00CE4945"/>
    <w:rsid w:val="00CF096C"/>
    <w:rsid w:val="00CF696A"/>
    <w:rsid w:val="00D004FA"/>
    <w:rsid w:val="00D01A2E"/>
    <w:rsid w:val="00D062F9"/>
    <w:rsid w:val="00D121CE"/>
    <w:rsid w:val="00D12E87"/>
    <w:rsid w:val="00D20F22"/>
    <w:rsid w:val="00D30143"/>
    <w:rsid w:val="00D44B26"/>
    <w:rsid w:val="00D51186"/>
    <w:rsid w:val="00D5651E"/>
    <w:rsid w:val="00D62B80"/>
    <w:rsid w:val="00D63693"/>
    <w:rsid w:val="00D747D4"/>
    <w:rsid w:val="00D776A6"/>
    <w:rsid w:val="00DA6FE4"/>
    <w:rsid w:val="00DD064A"/>
    <w:rsid w:val="00DD2848"/>
    <w:rsid w:val="00DD5C08"/>
    <w:rsid w:val="00DE2E57"/>
    <w:rsid w:val="00DF2363"/>
    <w:rsid w:val="00DF440F"/>
    <w:rsid w:val="00E02F2E"/>
    <w:rsid w:val="00E04704"/>
    <w:rsid w:val="00E11563"/>
    <w:rsid w:val="00E2328E"/>
    <w:rsid w:val="00E25924"/>
    <w:rsid w:val="00E4348D"/>
    <w:rsid w:val="00E4544C"/>
    <w:rsid w:val="00E4561C"/>
    <w:rsid w:val="00E51189"/>
    <w:rsid w:val="00E53507"/>
    <w:rsid w:val="00E65530"/>
    <w:rsid w:val="00E6747A"/>
    <w:rsid w:val="00E67CAC"/>
    <w:rsid w:val="00E7188C"/>
    <w:rsid w:val="00E73870"/>
    <w:rsid w:val="00E84A47"/>
    <w:rsid w:val="00E84C56"/>
    <w:rsid w:val="00E8604E"/>
    <w:rsid w:val="00E90D52"/>
    <w:rsid w:val="00EA0A1E"/>
    <w:rsid w:val="00EA27C7"/>
    <w:rsid w:val="00EA2B51"/>
    <w:rsid w:val="00EB1DB8"/>
    <w:rsid w:val="00EB427C"/>
    <w:rsid w:val="00ED37E8"/>
    <w:rsid w:val="00EE3906"/>
    <w:rsid w:val="00EE5547"/>
    <w:rsid w:val="00EF337B"/>
    <w:rsid w:val="00F04620"/>
    <w:rsid w:val="00F06300"/>
    <w:rsid w:val="00F10899"/>
    <w:rsid w:val="00F12549"/>
    <w:rsid w:val="00F13F15"/>
    <w:rsid w:val="00F151D7"/>
    <w:rsid w:val="00F223A4"/>
    <w:rsid w:val="00F24B6B"/>
    <w:rsid w:val="00F31AB0"/>
    <w:rsid w:val="00F419E5"/>
    <w:rsid w:val="00F43F31"/>
    <w:rsid w:val="00F54A47"/>
    <w:rsid w:val="00F54F6F"/>
    <w:rsid w:val="00F75236"/>
    <w:rsid w:val="00F753E9"/>
    <w:rsid w:val="00F85085"/>
    <w:rsid w:val="00F90358"/>
    <w:rsid w:val="00F934DA"/>
    <w:rsid w:val="00F937A6"/>
    <w:rsid w:val="00FA195D"/>
    <w:rsid w:val="00FA3C57"/>
    <w:rsid w:val="00FA4CEB"/>
    <w:rsid w:val="00FA602C"/>
    <w:rsid w:val="00FA7F84"/>
    <w:rsid w:val="00FB1632"/>
    <w:rsid w:val="00FB4EDE"/>
    <w:rsid w:val="00FB7270"/>
    <w:rsid w:val="00FC54C7"/>
    <w:rsid w:val="00FD727A"/>
    <w:rsid w:val="00FE08EB"/>
    <w:rsid w:val="00FE5E5B"/>
    <w:rsid w:val="00FE5F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B0569"/>
  <w15:docId w15:val="{60AE322F-EAC6-4C01-920A-7CB0198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next w:val="SingleTxtG"/>
    <w:qFormat/>
    <w:rsid w:val="00E925AD"/>
    <w:pPr>
      <w:widowControl w:val="0"/>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925AD"/>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basedOn w:val="FootnoteCharacters"/>
    <w:qFormat/>
    <w:rsid w:val="00E925AD"/>
    <w:rPr>
      <w:rFonts w:ascii="Times New Roman" w:hAnsi="Times New Roman"/>
      <w:sz w:val="18"/>
      <w:vertAlign w:val="superscript"/>
    </w:rPr>
  </w:style>
  <w:style w:type="character" w:customStyle="1" w:styleId="Ancredenotedebasdepage">
    <w:name w:val="Ancre de note de bas de page"/>
    <w:rPr>
      <w:rFonts w:ascii="Times New Roman" w:hAnsi="Times New Roman"/>
      <w:sz w:val="18"/>
      <w:vertAlign w:val="superscript"/>
    </w:rPr>
  </w:style>
  <w:style w:type="character" w:customStyle="1" w:styleId="FootnoteCharacters">
    <w:name w:val="Footnote Characters"/>
    <w:basedOn w:val="DefaultParagraphFont"/>
    <w:qFormat/>
    <w:rsid w:val="00E925AD"/>
    <w:rPr>
      <w:rFonts w:ascii="Times New Roman" w:hAnsi="Times New Roman"/>
      <w:sz w:val="18"/>
      <w:vertAlign w:val="superscript"/>
    </w:rPr>
  </w:style>
  <w:style w:type="character" w:customStyle="1" w:styleId="LienInternet">
    <w:name w:val="Lien Internet"/>
    <w:basedOn w:val="DefaultParagraphFont"/>
    <w:uiPriority w:val="99"/>
    <w:rsid w:val="008A77AE"/>
    <w:rPr>
      <w:color w:val="0000FF"/>
      <w:u w:val="none"/>
    </w:rPr>
  </w:style>
  <w:style w:type="character" w:styleId="FollowedHyperlink">
    <w:name w:val="FollowedHyperlink"/>
    <w:basedOn w:val="DefaultParagraphFont"/>
    <w:qFormat/>
    <w:rsid w:val="008A77AE"/>
    <w:rPr>
      <w:color w:val="0000FF"/>
      <w:u w:val="none"/>
    </w:rPr>
  </w:style>
  <w:style w:type="character" w:customStyle="1" w:styleId="BalloonTextChar">
    <w:name w:val="Balloon Text Char"/>
    <w:basedOn w:val="DefaultParagraphFont"/>
    <w:link w:val="BalloonText"/>
    <w:semiHidden/>
    <w:qForma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character" w:customStyle="1" w:styleId="HChGChar">
    <w:name w:val="_ H _Ch_G Char"/>
    <w:link w:val="HChG"/>
    <w:qFormat/>
    <w:locked/>
    <w:rsid w:val="00C52356"/>
    <w:rPr>
      <w:b/>
      <w:sz w:val="28"/>
      <w:lang w:val="en-GB"/>
    </w:rPr>
  </w:style>
  <w:style w:type="character" w:customStyle="1" w:styleId="H1GChar">
    <w:name w:val="_ H_1_G Char"/>
    <w:link w:val="H1G"/>
    <w:uiPriority w:val="99"/>
    <w:qFormat/>
    <w:locked/>
    <w:rsid w:val="00C52356"/>
    <w:rPr>
      <w:b/>
      <w:sz w:val="24"/>
      <w:lang w:val="en-GB"/>
    </w:rPr>
  </w:style>
  <w:style w:type="character" w:styleId="CommentReference">
    <w:name w:val="annotation reference"/>
    <w:basedOn w:val="DefaultParagraphFont"/>
    <w:semiHidden/>
    <w:unhideWhenUsed/>
    <w:qFormat/>
    <w:rsid w:val="005D29D8"/>
    <w:rPr>
      <w:sz w:val="16"/>
      <w:szCs w:val="16"/>
    </w:rPr>
  </w:style>
  <w:style w:type="character" w:customStyle="1" w:styleId="CommentTextChar">
    <w:name w:val="Comment Text Char"/>
    <w:basedOn w:val="DefaultParagraphFont"/>
    <w:link w:val="CommentText"/>
    <w:semiHidden/>
    <w:qFormat/>
    <w:rsid w:val="005D29D8"/>
    <w:rPr>
      <w:lang w:val="en-GB"/>
    </w:rPr>
  </w:style>
  <w:style w:type="character" w:customStyle="1" w:styleId="CommentSubjectChar">
    <w:name w:val="Comment Subject Char"/>
    <w:basedOn w:val="CommentTextChar"/>
    <w:link w:val="CommentSubject"/>
    <w:semiHidden/>
    <w:qFormat/>
    <w:rsid w:val="005D29D8"/>
    <w:rPr>
      <w:b/>
      <w:bCs/>
      <w:lang w:val="en-GB"/>
    </w:rPr>
  </w:style>
  <w:style w:type="character" w:customStyle="1" w:styleId="En-tteCar">
    <w:name w:val="En-tête Car"/>
    <w:qFormat/>
    <w:rsid w:val="00501F49"/>
    <w:rPr>
      <w:b/>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sz w:val="20"/>
    </w:rPr>
  </w:style>
  <w:style w:type="character" w:customStyle="1" w:styleId="ListLabel13">
    <w:name w:val="ListLabel 13"/>
    <w:qFormat/>
    <w:rPr>
      <w:b w:val="0"/>
      <w:i w:val="0"/>
      <w:sz w:val="20"/>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25AD"/>
    <w:pPr>
      <w:keepNext/>
      <w:keepLines/>
      <w:spacing w:before="240" w:after="240" w:line="420" w:lineRule="exact"/>
      <w:ind w:left="1134" w:right="1134"/>
    </w:pPr>
    <w:rPr>
      <w:b/>
      <w:sz w:val="40"/>
    </w:rPr>
  </w:style>
  <w:style w:type="paragraph" w:customStyle="1" w:styleId="SLG">
    <w:name w:val="__S_L_G"/>
    <w:basedOn w:val="Normal"/>
    <w:next w:val="Normal"/>
    <w:qFormat/>
    <w:rsid w:val="00E925AD"/>
    <w:pPr>
      <w:keepNext/>
      <w:keepLines/>
      <w:spacing w:before="240" w:after="240" w:line="580" w:lineRule="exact"/>
      <w:ind w:left="1134" w:right="1134"/>
    </w:pPr>
    <w:rPr>
      <w:b/>
      <w:sz w:val="56"/>
    </w:rPr>
  </w:style>
  <w:style w:type="paragraph" w:customStyle="1" w:styleId="SSG">
    <w:name w:val="__S_S_G"/>
    <w:basedOn w:val="Normal"/>
    <w:next w:val="Normal"/>
    <w:qFormat/>
    <w:rsid w:val="00E925AD"/>
    <w:pPr>
      <w:keepNext/>
      <w:keepLines/>
      <w:spacing w:before="240" w:after="240" w:line="300" w:lineRule="exact"/>
      <w:ind w:left="1134" w:right="1134"/>
    </w:pPr>
    <w:rPr>
      <w:b/>
      <w:sz w:val="28"/>
    </w:rPr>
  </w:style>
  <w:style w:type="paragraph" w:styleId="FootnoteText">
    <w:name w:val="footnote text"/>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qFormat/>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basedOn w:val="FootnoteText"/>
    <w:qFormat/>
    <w:rsid w:val="00E925AD"/>
  </w:style>
  <w:style w:type="paragraph" w:customStyle="1" w:styleId="Bullet2G">
    <w:name w:val="_Bullet 2_G"/>
    <w:basedOn w:val="Normal"/>
    <w:qFormat/>
    <w:rsid w:val="00E925AD"/>
    <w:p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paragraph" w:styleId="Footer">
    <w:name w:val="footer"/>
    <w:basedOn w:val="Normal"/>
    <w:qFormat/>
    <w:rsid w:val="00E925AD"/>
    <w:pPr>
      <w:spacing w:line="240" w:lineRule="auto"/>
    </w:pPr>
    <w:rPr>
      <w:sz w:val="16"/>
    </w:rPr>
  </w:style>
  <w:style w:type="paragraph" w:styleId="Header">
    <w:name w:val="header"/>
    <w:basedOn w:val="Normal"/>
    <w:qFormat/>
    <w:rsid w:val="00E925AD"/>
    <w:pPr>
      <w:pBdr>
        <w:bottom w:val="single" w:sz="4" w:space="4" w:color="000000"/>
      </w:pBdr>
      <w:spacing w:line="240" w:lineRule="auto"/>
    </w:pPr>
    <w:rPr>
      <w:b/>
      <w:sz w:val="18"/>
    </w:rPr>
  </w:style>
  <w:style w:type="paragraph" w:styleId="BalloonText">
    <w:name w:val="Balloon Text"/>
    <w:basedOn w:val="Normal"/>
    <w:link w:val="BalloonTextChar"/>
    <w:semiHidden/>
    <w:qFormat/>
    <w:rsid w:val="0065766B"/>
    <w:pPr>
      <w:spacing w:line="240" w:lineRule="auto"/>
    </w:pPr>
    <w:rPr>
      <w:rFonts w:ascii="Tahoma" w:hAnsi="Tahoma" w:cs="Tahoma"/>
      <w:sz w:val="16"/>
      <w:szCs w:val="16"/>
    </w:rPr>
  </w:style>
  <w:style w:type="paragraph" w:customStyle="1" w:styleId="ParNoG">
    <w:name w:val="_ParNo_G"/>
    <w:basedOn w:val="SingleTxtG"/>
    <w:qFormat/>
    <w:rsid w:val="007A478E"/>
    <w:pPr>
      <w:suppressAutoHyphens w:val="0"/>
    </w:pPr>
  </w:style>
  <w:style w:type="paragraph" w:styleId="CommentText">
    <w:name w:val="annotation text"/>
    <w:basedOn w:val="Normal"/>
    <w:link w:val="CommentTextChar"/>
    <w:semiHidden/>
    <w:unhideWhenUsed/>
    <w:qFormat/>
    <w:rsid w:val="005D29D8"/>
    <w:pPr>
      <w:spacing w:line="240" w:lineRule="auto"/>
    </w:pPr>
  </w:style>
  <w:style w:type="paragraph" w:styleId="CommentSubject">
    <w:name w:val="annotation subject"/>
    <w:basedOn w:val="CommentText"/>
    <w:next w:val="CommentText"/>
    <w:link w:val="CommentSubjectChar"/>
    <w:semiHidden/>
    <w:unhideWhenUsed/>
    <w:qFormat/>
    <w:rsid w:val="005D29D8"/>
    <w:rPr>
      <w:b/>
      <w:bCs/>
    </w:rPr>
  </w:style>
  <w:style w:type="paragraph" w:styleId="Revision">
    <w:name w:val="Revision"/>
    <w:uiPriority w:val="99"/>
    <w:semiHidden/>
    <w:qFormat/>
    <w:rsid w:val="005D29D8"/>
    <w:rPr>
      <w:lang w:val="en-GB"/>
    </w:rPr>
  </w:style>
  <w:style w:type="table" w:styleId="TableGrid">
    <w:name w:val="Table Grid"/>
    <w:basedOn w:val="TableNormal"/>
    <w:semiHidden/>
    <w:rsid w:val="00E925A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otnoteReference">
    <w:name w:val="footnote reference"/>
    <w:basedOn w:val="DefaultParagraphFont"/>
    <w:semiHidden/>
    <w:unhideWhenUsed/>
    <w:qFormat/>
    <w:rsid w:val="002D0B56"/>
    <w:rPr>
      <w:vertAlign w:val="superscript"/>
    </w:rPr>
  </w:style>
  <w:style w:type="paragraph" w:styleId="ListParagraph">
    <w:name w:val="List Paragraph"/>
    <w:aliases w:val="Heading table"/>
    <w:basedOn w:val="Normal"/>
    <w:uiPriority w:val="34"/>
    <w:qFormat/>
    <w:rsid w:val="00C91153"/>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ar">
    <w:name w:val="_ Single Txt_G Car"/>
    <w:locked/>
    <w:rsid w:val="00FB4EDE"/>
    <w:rPr>
      <w:lang w:val="en-GB"/>
    </w:rPr>
  </w:style>
  <w:style w:type="character" w:styleId="Hyperlink">
    <w:name w:val="Hyperlink"/>
    <w:basedOn w:val="DefaultParagraphFont"/>
    <w:rsid w:val="004F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4651">
      <w:bodyDiv w:val="1"/>
      <w:marLeft w:val="0"/>
      <w:marRight w:val="0"/>
      <w:marTop w:val="0"/>
      <w:marBottom w:val="0"/>
      <w:divBdr>
        <w:top w:val="none" w:sz="0" w:space="0" w:color="auto"/>
        <w:left w:val="none" w:sz="0" w:space="0" w:color="auto"/>
        <w:bottom w:val="none" w:sz="0" w:space="0" w:color="auto"/>
        <w:right w:val="none" w:sz="0" w:space="0" w:color="auto"/>
      </w:divBdr>
    </w:div>
    <w:div w:id="496305384">
      <w:bodyDiv w:val="1"/>
      <w:marLeft w:val="0"/>
      <w:marRight w:val="0"/>
      <w:marTop w:val="0"/>
      <w:marBottom w:val="0"/>
      <w:divBdr>
        <w:top w:val="none" w:sz="0" w:space="0" w:color="auto"/>
        <w:left w:val="none" w:sz="0" w:space="0" w:color="auto"/>
        <w:bottom w:val="none" w:sz="0" w:space="0" w:color="auto"/>
        <w:right w:val="none" w:sz="0" w:space="0" w:color="auto"/>
      </w:divBdr>
    </w:div>
    <w:div w:id="1054087561">
      <w:bodyDiv w:val="1"/>
      <w:marLeft w:val="0"/>
      <w:marRight w:val="0"/>
      <w:marTop w:val="0"/>
      <w:marBottom w:val="0"/>
      <w:divBdr>
        <w:top w:val="none" w:sz="0" w:space="0" w:color="auto"/>
        <w:left w:val="none" w:sz="0" w:space="0" w:color="auto"/>
        <w:bottom w:val="none" w:sz="0" w:space="0" w:color="auto"/>
        <w:right w:val="none" w:sz="0" w:space="0" w:color="auto"/>
      </w:divBdr>
    </w:div>
    <w:div w:id="1117798981">
      <w:bodyDiv w:val="1"/>
      <w:marLeft w:val="0"/>
      <w:marRight w:val="0"/>
      <w:marTop w:val="0"/>
      <w:marBottom w:val="0"/>
      <w:divBdr>
        <w:top w:val="none" w:sz="0" w:space="0" w:color="auto"/>
        <w:left w:val="none" w:sz="0" w:space="0" w:color="auto"/>
        <w:bottom w:val="none" w:sz="0" w:space="0" w:color="auto"/>
        <w:right w:val="none" w:sz="0" w:space="0" w:color="auto"/>
      </w:divBdr>
    </w:div>
    <w:div w:id="1316106346">
      <w:bodyDiv w:val="1"/>
      <w:marLeft w:val="0"/>
      <w:marRight w:val="0"/>
      <w:marTop w:val="0"/>
      <w:marBottom w:val="0"/>
      <w:divBdr>
        <w:top w:val="none" w:sz="0" w:space="0" w:color="auto"/>
        <w:left w:val="none" w:sz="0" w:space="0" w:color="auto"/>
        <w:bottom w:val="none" w:sz="0" w:space="0" w:color="auto"/>
        <w:right w:val="none" w:sz="0" w:space="0" w:color="auto"/>
      </w:divBdr>
    </w:div>
    <w:div w:id="1489010291">
      <w:bodyDiv w:val="1"/>
      <w:marLeft w:val="0"/>
      <w:marRight w:val="0"/>
      <w:marTop w:val="0"/>
      <w:marBottom w:val="0"/>
      <w:divBdr>
        <w:top w:val="none" w:sz="0" w:space="0" w:color="auto"/>
        <w:left w:val="none" w:sz="0" w:space="0" w:color="auto"/>
        <w:bottom w:val="none" w:sz="0" w:space="0" w:color="auto"/>
        <w:right w:val="none" w:sz="0" w:space="0" w:color="auto"/>
      </w:divBdr>
    </w:div>
    <w:div w:id="1574048726">
      <w:bodyDiv w:val="1"/>
      <w:marLeft w:val="0"/>
      <w:marRight w:val="0"/>
      <w:marTop w:val="0"/>
      <w:marBottom w:val="0"/>
      <w:divBdr>
        <w:top w:val="none" w:sz="0" w:space="0" w:color="auto"/>
        <w:left w:val="none" w:sz="0" w:space="0" w:color="auto"/>
        <w:bottom w:val="none" w:sz="0" w:space="0" w:color="auto"/>
        <w:right w:val="none" w:sz="0" w:space="0" w:color="auto"/>
      </w:divBdr>
    </w:div>
    <w:div w:id="1674525795">
      <w:bodyDiv w:val="1"/>
      <w:marLeft w:val="0"/>
      <w:marRight w:val="0"/>
      <w:marTop w:val="0"/>
      <w:marBottom w:val="0"/>
      <w:divBdr>
        <w:top w:val="none" w:sz="0" w:space="0" w:color="auto"/>
        <w:left w:val="none" w:sz="0" w:space="0" w:color="auto"/>
        <w:bottom w:val="none" w:sz="0" w:space="0" w:color="auto"/>
        <w:right w:val="none" w:sz="0" w:space="0" w:color="auto"/>
      </w:divBdr>
    </w:div>
    <w:div w:id="17776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C35D73F-262B-4DA4-95C8-31F420F4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3A24D-2C13-4DCC-BB2C-B179177829BC}">
  <ds:schemaRefs>
    <ds:schemaRef ds:uri="http://schemas.openxmlformats.org/officeDocument/2006/bibliography"/>
  </ds:schemaRefs>
</ds:datastoreItem>
</file>

<file path=customXml/itemProps3.xml><?xml version="1.0" encoding="utf-8"?>
<ds:datastoreItem xmlns:ds="http://schemas.openxmlformats.org/officeDocument/2006/customXml" ds:itemID="{68A365DE-AB33-4750-A01E-1DB8BDE77106}">
  <ds:schemaRefs>
    <ds:schemaRef ds:uri="http://schemas.microsoft.com/sharepoint/v3/contenttype/forms"/>
  </ds:schemaRefs>
</ds:datastoreItem>
</file>

<file path=customXml/itemProps4.xml><?xml version="1.0" encoding="utf-8"?>
<ds:datastoreItem xmlns:ds="http://schemas.openxmlformats.org/officeDocument/2006/customXml" ds:itemID="{E44090A1-C498-4A40-ACBB-97F4EC14F2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ECE/TRANS/WP.15/AC.1/157/Add.1/Rev.1</vt:lpstr>
      <vt:lpstr>ECE/TRANS/WP.15/AC.1/157/Add.1/Rev.1</vt:lpstr>
    </vt:vector>
  </TitlesOfParts>
  <Company>CSD</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ECE/TRANS/WP.15/AC.1/157/Add.1/Rev.1</dc:title>
  <dc:subject/>
  <dc:creator>Romain Hubert</dc:creator>
  <cp:keywords/>
  <dc:description/>
  <cp:lastModifiedBy>Romain Hubert</cp:lastModifiedBy>
  <cp:revision>54</cp:revision>
  <cp:lastPrinted>2021-09-16T07:50:00Z</cp:lastPrinted>
  <dcterms:created xsi:type="dcterms:W3CDTF">2022-08-15T09:58:00Z</dcterms:created>
  <dcterms:modified xsi:type="dcterms:W3CDTF">2022-08-15T11:00:00Z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11775400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