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6021241A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436B4EE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1C7B460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55F9D45" w14:textId="77777777" w:rsidR="001433FD" w:rsidRPr="00DB58B5" w:rsidRDefault="009D5F5D" w:rsidP="009D5F5D">
            <w:pPr>
              <w:jc w:val="right"/>
            </w:pPr>
            <w:r w:rsidRPr="009D5F5D">
              <w:rPr>
                <w:sz w:val="40"/>
              </w:rPr>
              <w:t>ECE</w:t>
            </w:r>
            <w:r>
              <w:t>/TRANS/WP.15/2022/10</w:t>
            </w:r>
          </w:p>
        </w:tc>
      </w:tr>
      <w:tr w:rsidR="001433FD" w:rsidRPr="00DB58B5" w14:paraId="53F8A38D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272D096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F016CED" wp14:editId="14BC700E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B8EDD9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6897248" w14:textId="77777777" w:rsidR="0001207F" w:rsidRDefault="009D5F5D" w:rsidP="009D5F5D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1F1DC77" w14:textId="77777777" w:rsidR="009D5F5D" w:rsidRDefault="009D5F5D" w:rsidP="009D5F5D">
            <w:pPr>
              <w:spacing w:line="240" w:lineRule="exact"/>
            </w:pPr>
            <w:r>
              <w:t>29 août 2022</w:t>
            </w:r>
          </w:p>
          <w:p w14:paraId="16A3B6CC" w14:textId="77777777" w:rsidR="009D5F5D" w:rsidRDefault="009D5F5D" w:rsidP="009D5F5D">
            <w:pPr>
              <w:spacing w:line="240" w:lineRule="exact"/>
            </w:pPr>
          </w:p>
          <w:p w14:paraId="21A8635D" w14:textId="77777777" w:rsidR="009D5F5D" w:rsidRPr="00DB58B5" w:rsidRDefault="009D5F5D" w:rsidP="009D5F5D">
            <w:pPr>
              <w:spacing w:line="240" w:lineRule="exact"/>
            </w:pPr>
            <w:r>
              <w:t>Original : français</w:t>
            </w:r>
          </w:p>
        </w:tc>
      </w:tr>
    </w:tbl>
    <w:p w14:paraId="060E9EBB" w14:textId="77777777" w:rsidR="009D5F5D" w:rsidRDefault="009D5F5D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79EC1943" w14:textId="77777777" w:rsidR="009D5F5D" w:rsidRPr="00990CE8" w:rsidRDefault="009D5F5D" w:rsidP="00FD1581">
      <w:pPr>
        <w:spacing w:before="120"/>
        <w:rPr>
          <w:sz w:val="28"/>
          <w:szCs w:val="28"/>
        </w:rPr>
      </w:pPr>
      <w:r w:rsidRPr="00990CE8">
        <w:rPr>
          <w:sz w:val="28"/>
          <w:szCs w:val="28"/>
        </w:rPr>
        <w:t>Comité des transports intérieurs</w:t>
      </w:r>
    </w:p>
    <w:p w14:paraId="71921B6B" w14:textId="77777777" w:rsidR="009D5F5D" w:rsidRPr="00990CE8" w:rsidRDefault="009D5F5D" w:rsidP="00FD1581">
      <w:pPr>
        <w:spacing w:before="120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 xml:space="preserve">Groupe de travail des transports </w:t>
      </w:r>
      <w:r w:rsidRPr="00990CE8">
        <w:rPr>
          <w:b/>
          <w:sz w:val="24"/>
          <w:szCs w:val="24"/>
        </w:rPr>
        <w:br/>
        <w:t>de marchandises dangereuses</w:t>
      </w:r>
    </w:p>
    <w:p w14:paraId="0D32D049" w14:textId="39FB11FE" w:rsidR="009D5F5D" w:rsidRPr="00990CE8" w:rsidRDefault="00FA7684" w:rsidP="00FD1581">
      <w:pPr>
        <w:spacing w:before="120"/>
        <w:rPr>
          <w:rFonts w:eastAsia="SimSun"/>
          <w:b/>
        </w:rPr>
      </w:pPr>
      <w:r>
        <w:rPr>
          <w:b/>
        </w:rPr>
        <w:t>112e</w:t>
      </w:r>
      <w:r w:rsidR="009D5F5D">
        <w:rPr>
          <w:b/>
        </w:rPr>
        <w:t xml:space="preserve"> session</w:t>
      </w:r>
    </w:p>
    <w:p w14:paraId="716D3019" w14:textId="41BAE23B" w:rsidR="009D5F5D" w:rsidRPr="00990CE8" w:rsidRDefault="009D5F5D" w:rsidP="00FD1581">
      <w:pPr>
        <w:rPr>
          <w:rFonts w:eastAsia="SimSun"/>
        </w:rPr>
      </w:pPr>
      <w:r w:rsidRPr="00990CE8">
        <w:t xml:space="preserve">Genève, </w:t>
      </w:r>
      <w:r w:rsidR="00CA2051">
        <w:t>8-11 novembre 2022</w:t>
      </w:r>
    </w:p>
    <w:p w14:paraId="04DB160A" w14:textId="2852463F" w:rsidR="009D5F5D" w:rsidRPr="00990CE8" w:rsidRDefault="009D5F5D" w:rsidP="00FD1581">
      <w:r w:rsidRPr="00990CE8">
        <w:t xml:space="preserve">Point </w:t>
      </w:r>
      <w:r w:rsidR="00102C0B">
        <w:t xml:space="preserve">5 </w:t>
      </w:r>
      <w:r w:rsidR="00663780">
        <w:t>b</w:t>
      </w:r>
      <w:r w:rsidR="00102C0B">
        <w:t>)</w:t>
      </w:r>
      <w:r>
        <w:t xml:space="preserve"> </w:t>
      </w:r>
      <w:r w:rsidRPr="00990CE8">
        <w:t>de l’ordre du jour provisoire</w:t>
      </w:r>
    </w:p>
    <w:p w14:paraId="04A73DFB" w14:textId="7205D7F7" w:rsidR="00C1626B" w:rsidRDefault="00102C0B" w:rsidP="00F06ED4">
      <w:pPr>
        <w:rPr>
          <w:b/>
          <w:bCs/>
        </w:rPr>
      </w:pPr>
      <w:r w:rsidRPr="00102C0B">
        <w:rPr>
          <w:b/>
          <w:bCs/>
        </w:rPr>
        <w:t>Propositions d’amendements aux annexes A et B de l’ADR</w:t>
      </w:r>
      <w:r>
        <w:rPr>
          <w:b/>
          <w:bCs/>
        </w:rPr>
        <w:t> </w:t>
      </w:r>
      <w:r w:rsidRPr="00102C0B">
        <w:rPr>
          <w:b/>
          <w:bCs/>
        </w:rPr>
        <w:t>:</w:t>
      </w:r>
      <w:r>
        <w:rPr>
          <w:b/>
          <w:bCs/>
        </w:rPr>
        <w:br/>
      </w:r>
      <w:r w:rsidR="00663780">
        <w:rPr>
          <w:b/>
          <w:bCs/>
        </w:rPr>
        <w:t>p</w:t>
      </w:r>
      <w:r w:rsidR="00663780" w:rsidRPr="00663780">
        <w:rPr>
          <w:b/>
          <w:bCs/>
        </w:rPr>
        <w:t>ropositions diverses</w:t>
      </w:r>
    </w:p>
    <w:p w14:paraId="11B23C16" w14:textId="495524FF" w:rsidR="001617FC" w:rsidRPr="001617FC" w:rsidRDefault="001617FC" w:rsidP="001617F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rFonts w:eastAsiaTheme="minorHAnsi"/>
          <w:b/>
          <w:sz w:val="28"/>
          <w:lang w:eastAsia="en-US"/>
        </w:rPr>
      </w:pPr>
      <w:r w:rsidRPr="001617FC">
        <w:rPr>
          <w:rFonts w:eastAsiaTheme="minorHAnsi"/>
          <w:b/>
          <w:sz w:val="28"/>
          <w:lang w:eastAsia="en-US"/>
        </w:rPr>
        <w:tab/>
      </w:r>
      <w:r w:rsidRPr="001617FC">
        <w:rPr>
          <w:rFonts w:eastAsiaTheme="minorHAnsi"/>
          <w:b/>
          <w:sz w:val="28"/>
          <w:lang w:eastAsia="en-US"/>
        </w:rPr>
        <w:tab/>
      </w:r>
      <w:r w:rsidR="00764400">
        <w:rPr>
          <w:rFonts w:eastAsiaTheme="minorHAnsi"/>
          <w:b/>
          <w:sz w:val="28"/>
          <w:lang w:eastAsia="en-US"/>
        </w:rPr>
        <w:t>Nouvelles dispositions relatives aux citernes en matière plastique renforcée de fibres – Amendement de conséquence</w:t>
      </w:r>
    </w:p>
    <w:p w14:paraId="7DB7E2FE" w14:textId="53CD7883" w:rsidR="001617FC" w:rsidRPr="001617FC" w:rsidRDefault="001617FC" w:rsidP="001617F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outlineLvl w:val="2"/>
        <w:rPr>
          <w:rFonts w:eastAsiaTheme="minorHAnsi"/>
          <w:bCs/>
          <w:lang w:eastAsia="en-US"/>
        </w:rPr>
      </w:pPr>
      <w:r w:rsidRPr="001617FC">
        <w:rPr>
          <w:rFonts w:eastAsiaTheme="minorHAnsi"/>
          <w:b/>
          <w:sz w:val="24"/>
          <w:lang w:eastAsia="en-US"/>
        </w:rPr>
        <w:tab/>
      </w:r>
      <w:r w:rsidRPr="001617FC">
        <w:rPr>
          <w:rFonts w:eastAsiaTheme="minorHAnsi"/>
          <w:b/>
          <w:sz w:val="24"/>
          <w:lang w:eastAsia="en-US"/>
        </w:rPr>
        <w:tab/>
      </w:r>
      <w:r w:rsidR="00764400">
        <w:rPr>
          <w:rFonts w:eastAsiaTheme="minorHAnsi"/>
          <w:b/>
          <w:sz w:val="24"/>
          <w:lang w:eastAsia="en-US"/>
        </w:rPr>
        <w:t>Note du secrétariat</w:t>
      </w:r>
      <w:r w:rsidR="00764400" w:rsidRPr="00764400">
        <w:rPr>
          <w:rStyle w:val="FootnoteReference"/>
          <w:rFonts w:eastAsiaTheme="minorHAnsi"/>
          <w:b/>
          <w:sz w:val="20"/>
          <w:vertAlign w:val="baseline"/>
          <w:lang w:eastAsia="en-US"/>
        </w:rPr>
        <w:footnoteReference w:customMarkFollows="1" w:id="2"/>
        <w:t>*</w:t>
      </w:r>
    </w:p>
    <w:p w14:paraId="384C48EB" w14:textId="5607C642" w:rsidR="00837605" w:rsidRDefault="00837605" w:rsidP="00837605">
      <w:pPr>
        <w:pStyle w:val="HChG"/>
      </w:pPr>
      <w:r>
        <w:tab/>
      </w:r>
      <w:r>
        <w:tab/>
        <w:t>Introduction</w:t>
      </w:r>
    </w:p>
    <w:p w14:paraId="5D209BCF" w14:textId="0A77EC88" w:rsidR="00663780" w:rsidRDefault="00555CDD" w:rsidP="00416CFB">
      <w:pPr>
        <w:pStyle w:val="SingleTxtG"/>
      </w:pPr>
      <w:r>
        <w:t>1.</w:t>
      </w:r>
      <w:r>
        <w:tab/>
        <w:t xml:space="preserve">Le </w:t>
      </w:r>
      <w:r w:rsidR="000A49DB">
        <w:t xml:space="preserve">titre du chapitre 4.4 fait référence aux </w:t>
      </w:r>
      <w:r w:rsidR="00416CFB">
        <w:t xml:space="preserve">citernes fixes (véhicules-citernes), citernes démontables, conteneurs-citernes et caisses mobiles citernes en matière plastique renforcée de fibres. </w:t>
      </w:r>
    </w:p>
    <w:p w14:paraId="1B505752" w14:textId="6A95702A" w:rsidR="00416CFB" w:rsidRDefault="00416CFB" w:rsidP="00990107">
      <w:pPr>
        <w:pStyle w:val="SingleTxtG"/>
      </w:pPr>
      <w:r>
        <w:t>2.</w:t>
      </w:r>
      <w:r>
        <w:tab/>
      </w:r>
      <w:r w:rsidR="004F7B14">
        <w:t xml:space="preserve">Dans l’ADR 2023, </w:t>
      </w:r>
      <w:r>
        <w:t xml:space="preserve">des nouvelles dispositions </w:t>
      </w:r>
      <w:r w:rsidR="004F7B14">
        <w:t>ont été introduites au</w:t>
      </w:r>
      <w:r>
        <w:t xml:space="preserve"> chapitre 6.9 pour les citernes mobiles en matière plastique renforcée de fibres</w:t>
      </w:r>
      <w:r w:rsidR="004F7B14">
        <w:t xml:space="preserve">. Les dispositions existantes du chapitre 6.9 </w:t>
      </w:r>
      <w:r w:rsidR="0043143B">
        <w:t xml:space="preserve">ont été transférées dans un nouveau chapitre 6.13 dont </w:t>
      </w:r>
      <w:r w:rsidR="00052CBB">
        <w:t xml:space="preserve">le champ d’application est limité aux </w:t>
      </w:r>
      <w:r w:rsidR="00990107">
        <w:t xml:space="preserve">citernes fixes (véhicules-citernes) et citernes démontables, en matière plastique renforcée de fibres. </w:t>
      </w:r>
    </w:p>
    <w:p w14:paraId="3E39E37C" w14:textId="01E9AA40" w:rsidR="00974A22" w:rsidRDefault="00974A22" w:rsidP="00810F06">
      <w:pPr>
        <w:pStyle w:val="SingleTxtG"/>
      </w:pPr>
      <w:r>
        <w:t>3.</w:t>
      </w:r>
      <w:r>
        <w:tab/>
        <w:t>Le</w:t>
      </w:r>
      <w:r w:rsidR="00D626DF">
        <w:t xml:space="preserve"> nouveau chapitre 6.13 </w:t>
      </w:r>
      <w:r w:rsidR="007A7D2D">
        <w:t>ne s’applique pa</w:t>
      </w:r>
      <w:r>
        <w:t xml:space="preserve">s </w:t>
      </w:r>
      <w:r w:rsidR="007A7D2D">
        <w:t xml:space="preserve">aux </w:t>
      </w:r>
      <w:r>
        <w:t>conteneurs-citernes et caisses mobiles citernes</w:t>
      </w:r>
      <w:r w:rsidR="00D97488">
        <w:t xml:space="preserve"> </w:t>
      </w:r>
      <w:r w:rsidR="00314354">
        <w:t xml:space="preserve">en matière plastique renforcée de fibres </w:t>
      </w:r>
      <w:r w:rsidR="007A7D2D">
        <w:t xml:space="preserve">et une mesure transitoire 1.6.4.59 a été prévue </w:t>
      </w:r>
      <w:r w:rsidR="007C113B">
        <w:t>pour permettre</w:t>
      </w:r>
      <w:r w:rsidR="00810F06">
        <w:t xml:space="preserve"> de poursuivre</w:t>
      </w:r>
      <w:r w:rsidR="007C113B">
        <w:t xml:space="preserve"> l’utilisation des </w:t>
      </w:r>
      <w:r w:rsidR="00810F06">
        <w:t>conteneurs-citernes construits avant le 1er juillet 2033 conformément aux prescriptions du chapitre 6.9 applicables jusqu'au 31 décembre 2022.</w:t>
      </w:r>
    </w:p>
    <w:p w14:paraId="1A27ADE5" w14:textId="675C52F9" w:rsidR="00810F06" w:rsidRDefault="00810F06" w:rsidP="00810F06">
      <w:pPr>
        <w:pStyle w:val="SingleTxtG"/>
      </w:pPr>
      <w:r>
        <w:t>4.</w:t>
      </w:r>
      <w:r>
        <w:tab/>
      </w:r>
      <w:r w:rsidR="00943BA1">
        <w:t xml:space="preserve">Le 4.4.1 a été modifié pour faire référence aux citernes </w:t>
      </w:r>
      <w:r w:rsidR="005B1621" w:rsidRPr="00675065">
        <w:t>conforme</w:t>
      </w:r>
      <w:r w:rsidR="005B1621">
        <w:t>s</w:t>
      </w:r>
      <w:r w:rsidR="005B1621" w:rsidRPr="00675065">
        <w:t xml:space="preserve"> aux dispositions du chapitre 6.13</w:t>
      </w:r>
      <w:r w:rsidR="005B1621">
        <w:t xml:space="preserve">. Il en ressort que le chapitre 4.4 ne s’applique plus </w:t>
      </w:r>
      <w:r w:rsidR="00256F7B">
        <w:t xml:space="preserve">aux </w:t>
      </w:r>
      <w:r w:rsidR="00256F7B" w:rsidRPr="00256F7B">
        <w:t>conteneurs-citernes et caisses mobiles citernes</w:t>
      </w:r>
      <w:r w:rsidR="00256F7B">
        <w:t xml:space="preserve"> en matière plastique renforcée de fibres. Le titre du chapitre 4.4 devrait être modifié en conséquence. </w:t>
      </w:r>
    </w:p>
    <w:p w14:paraId="4C6CA370" w14:textId="7F968F21" w:rsidR="00FD6BDE" w:rsidRPr="003A51A7" w:rsidRDefault="001E6AAC" w:rsidP="00810F06">
      <w:pPr>
        <w:pStyle w:val="SingleTxtG"/>
        <w:rPr>
          <w:lang w:val="fr-FR"/>
        </w:rPr>
      </w:pPr>
      <w:r w:rsidRPr="003A51A7">
        <w:rPr>
          <w:lang w:val="fr-FR"/>
        </w:rPr>
        <w:t>5.</w:t>
      </w:r>
      <w:r w:rsidRPr="003A51A7">
        <w:rPr>
          <w:lang w:val="fr-FR"/>
        </w:rPr>
        <w:tab/>
        <w:t xml:space="preserve">On peut par ailleurs se demander </w:t>
      </w:r>
      <w:r w:rsidR="009B245B" w:rsidRPr="003A51A7">
        <w:rPr>
          <w:lang w:val="fr-FR"/>
        </w:rPr>
        <w:t>si les dispositions du chapitre 4</w:t>
      </w:r>
      <w:r w:rsidR="0067261C" w:rsidRPr="003A51A7">
        <w:rPr>
          <w:lang w:val="fr-FR"/>
        </w:rPr>
        <w:t xml:space="preserve">.4 restent applicables aux </w:t>
      </w:r>
      <w:r w:rsidR="00341E15" w:rsidRPr="003A51A7">
        <w:rPr>
          <w:rFonts w:ascii="TimesNewRomanPSMT" w:hAnsi="TimesNewRomanPSMT" w:cs="TimesNewRomanPSMT"/>
          <w:lang w:val="fr-FR"/>
        </w:rPr>
        <w:t xml:space="preserve">conteneurs-citernes en matière plastique renforcée de fibres </w:t>
      </w:r>
      <w:r w:rsidR="003A51A7">
        <w:rPr>
          <w:rFonts w:ascii="TimesNewRomanPSMT" w:hAnsi="TimesNewRomanPSMT" w:cs="TimesNewRomanPSMT"/>
          <w:lang w:val="fr-FR"/>
        </w:rPr>
        <w:t xml:space="preserve">qui resteront utilisés </w:t>
      </w:r>
      <w:r w:rsidR="00423935">
        <w:rPr>
          <w:rFonts w:ascii="TimesNewRomanPSMT" w:hAnsi="TimesNewRomanPSMT" w:cs="TimesNewRomanPSMT"/>
          <w:lang w:val="fr-FR"/>
        </w:rPr>
        <w:t xml:space="preserve">conformément à la mesure transitoire 1.6.4.59. </w:t>
      </w:r>
      <w:r w:rsidR="005337AA">
        <w:rPr>
          <w:rFonts w:ascii="TimesNewRomanPSMT" w:hAnsi="TimesNewRomanPSMT" w:cs="TimesNewRomanPSMT"/>
          <w:lang w:val="fr-FR"/>
        </w:rPr>
        <w:t xml:space="preserve">Si le Groupe de travail le juge nécessaire, il </w:t>
      </w:r>
      <w:r w:rsidR="005337AA">
        <w:rPr>
          <w:rFonts w:ascii="TimesNewRomanPSMT" w:hAnsi="TimesNewRomanPSMT" w:cs="TimesNewRomanPSMT"/>
          <w:lang w:val="fr-FR"/>
        </w:rPr>
        <w:lastRenderedPageBreak/>
        <w:t xml:space="preserve">pourra adopter cette </w:t>
      </w:r>
      <w:r w:rsidR="008342A2">
        <w:rPr>
          <w:rFonts w:ascii="TimesNewRomanPSMT" w:hAnsi="TimesNewRomanPSMT" w:cs="TimesNewRomanPSMT"/>
          <w:lang w:val="fr-FR"/>
        </w:rPr>
        <w:t xml:space="preserve">interprétation et modifier en conséquence le 1.6.4.59 pour les éditions futures. </w:t>
      </w:r>
    </w:p>
    <w:p w14:paraId="72259922" w14:textId="34255C75" w:rsidR="00256F7B" w:rsidRDefault="00837605" w:rsidP="00837605">
      <w:pPr>
        <w:pStyle w:val="HChG"/>
      </w:pPr>
      <w:r>
        <w:tab/>
      </w:r>
      <w:r>
        <w:tab/>
      </w:r>
      <w:r w:rsidR="00E8684E">
        <w:t>Proposition</w:t>
      </w:r>
      <w:r w:rsidR="00FD6BDE">
        <w:t xml:space="preserve"> 1</w:t>
      </w:r>
    </w:p>
    <w:p w14:paraId="060EC7AC" w14:textId="082D48C5" w:rsidR="00E8684E" w:rsidRDefault="00A935F9" w:rsidP="00FD6BDE">
      <w:pPr>
        <w:pStyle w:val="SingleTxtG"/>
      </w:pPr>
      <w:r>
        <w:t>6.</w:t>
      </w:r>
      <w:r w:rsidR="00E8684E">
        <w:tab/>
        <w:t>Modifier le titre du chapitre 4.4 pour lire « </w:t>
      </w:r>
      <w:r w:rsidR="00FD6BDE">
        <w:t>UTILISATION DES CITERNES FIXES (VÉHICULES-CITERNES) ET CITERNES DÉMONTABLES EN MATIÈRE PLASTIQUE RENFORCÉE DE FIBRES ».</w:t>
      </w:r>
    </w:p>
    <w:p w14:paraId="2F90BC8F" w14:textId="22F94BBF" w:rsidR="00A935F9" w:rsidRDefault="00837605" w:rsidP="00837605">
      <w:pPr>
        <w:pStyle w:val="HChG"/>
      </w:pPr>
      <w:r>
        <w:tab/>
      </w:r>
      <w:r>
        <w:tab/>
      </w:r>
      <w:r w:rsidR="00A935F9">
        <w:t>Proposition 2</w:t>
      </w:r>
    </w:p>
    <w:p w14:paraId="5E9E75AA" w14:textId="585DEF86" w:rsidR="00A935F9" w:rsidRDefault="00A935F9" w:rsidP="00A935F9">
      <w:pPr>
        <w:pStyle w:val="SingleTxtG"/>
      </w:pPr>
      <w:r>
        <w:t>7.</w:t>
      </w:r>
      <w:r>
        <w:tab/>
      </w:r>
      <w:r w:rsidR="00566BD3">
        <w:t>À la fin de la mesure transitoire 1.6.4.59, ajouter « </w:t>
      </w:r>
      <w:r w:rsidR="009873A9">
        <w:t xml:space="preserve">conformément aux dispositions applicables du chapitre 4.4 ». </w:t>
      </w:r>
    </w:p>
    <w:p w14:paraId="2A51C512" w14:textId="556A1481" w:rsidR="003D7291" w:rsidRDefault="00837605" w:rsidP="00A935F9">
      <w:pPr>
        <w:pStyle w:val="SingleTxtG"/>
      </w:pPr>
      <w:r>
        <w:t>8.</w:t>
      </w:r>
      <w:r>
        <w:tab/>
      </w:r>
      <w:r w:rsidR="003D7291">
        <w:t>La mesure transitoire se lirait comme suit :</w:t>
      </w:r>
    </w:p>
    <w:p w14:paraId="608026C1" w14:textId="04C80CBB" w:rsidR="003D7291" w:rsidRDefault="003D7291" w:rsidP="00837605">
      <w:pPr>
        <w:pStyle w:val="SingleTxtG"/>
      </w:pPr>
      <w:r>
        <w:t>« 1.6.4.59</w:t>
      </w:r>
      <w:r>
        <w:tab/>
      </w:r>
      <w:r w:rsidR="00837605">
        <w:t>Les conteneurs-citernes construits avant le 1er juillet 2033 conformément aux prescriptions du chapitre 6.9 applicables jusqu'au 31 décembre 2022, peuvent encore être utilisés</w:t>
      </w:r>
      <w:r w:rsidR="00837605" w:rsidRPr="00837605">
        <w:t xml:space="preserve"> </w:t>
      </w:r>
      <w:r w:rsidR="00837605" w:rsidRPr="00837605">
        <w:rPr>
          <w:u w:val="single"/>
        </w:rPr>
        <w:t>conformément aux dispositions applicables du chapitre 4.4</w:t>
      </w:r>
      <w:r w:rsidR="00837605">
        <w:t>. »</w:t>
      </w:r>
    </w:p>
    <w:p w14:paraId="591218F8" w14:textId="61A177A5" w:rsidR="00FD6BDE" w:rsidRPr="00837605" w:rsidRDefault="00837605" w:rsidP="0083760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6BDE" w:rsidRPr="00837605" w:rsidSect="009D5F5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2129" w14:textId="77777777" w:rsidR="009D5F5D" w:rsidRDefault="009D5F5D" w:rsidP="00F95C08">
      <w:pPr>
        <w:spacing w:line="240" w:lineRule="auto"/>
      </w:pPr>
    </w:p>
  </w:endnote>
  <w:endnote w:type="continuationSeparator" w:id="0">
    <w:p w14:paraId="2615E99C" w14:textId="77777777" w:rsidR="009D5F5D" w:rsidRPr="00AC3823" w:rsidRDefault="009D5F5D" w:rsidP="00AC3823">
      <w:pPr>
        <w:pStyle w:val="Footer"/>
      </w:pPr>
    </w:p>
  </w:endnote>
  <w:endnote w:type="continuationNotice" w:id="1">
    <w:p w14:paraId="3E7E2B8B" w14:textId="77777777" w:rsidR="009D5F5D" w:rsidRDefault="009D5F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A3D6" w14:textId="77777777" w:rsidR="009D5F5D" w:rsidRPr="009D5F5D" w:rsidRDefault="009D5F5D" w:rsidP="009D5F5D">
    <w:pPr>
      <w:pStyle w:val="Footer"/>
      <w:tabs>
        <w:tab w:val="right" w:pos="9638"/>
      </w:tabs>
      <w:rPr>
        <w:sz w:val="18"/>
      </w:rPr>
    </w:pPr>
    <w:r w:rsidRPr="009D5F5D">
      <w:rPr>
        <w:b/>
        <w:sz w:val="18"/>
      </w:rPr>
      <w:fldChar w:fldCharType="begin"/>
    </w:r>
    <w:r w:rsidRPr="009D5F5D">
      <w:rPr>
        <w:b/>
        <w:sz w:val="18"/>
      </w:rPr>
      <w:instrText xml:space="preserve"> PAGE  \* MERGEFORMAT </w:instrText>
    </w:r>
    <w:r w:rsidRPr="009D5F5D">
      <w:rPr>
        <w:b/>
        <w:sz w:val="18"/>
      </w:rPr>
      <w:fldChar w:fldCharType="separate"/>
    </w:r>
    <w:r w:rsidRPr="009D5F5D">
      <w:rPr>
        <w:b/>
        <w:noProof/>
        <w:sz w:val="18"/>
      </w:rPr>
      <w:t>2</w:t>
    </w:r>
    <w:r w:rsidRPr="009D5F5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2BC6" w14:textId="77777777" w:rsidR="009D5F5D" w:rsidRPr="009D5F5D" w:rsidRDefault="009D5F5D" w:rsidP="009D5F5D">
    <w:pPr>
      <w:pStyle w:val="Footer"/>
      <w:tabs>
        <w:tab w:val="right" w:pos="9638"/>
      </w:tabs>
      <w:rPr>
        <w:b/>
        <w:sz w:val="18"/>
      </w:rPr>
    </w:pPr>
    <w:r>
      <w:tab/>
    </w:r>
    <w:r w:rsidRPr="009D5F5D">
      <w:rPr>
        <w:b/>
        <w:sz w:val="18"/>
      </w:rPr>
      <w:fldChar w:fldCharType="begin"/>
    </w:r>
    <w:r w:rsidRPr="009D5F5D">
      <w:rPr>
        <w:b/>
        <w:sz w:val="18"/>
      </w:rPr>
      <w:instrText xml:space="preserve"> PAGE  \* MERGEFORMAT </w:instrText>
    </w:r>
    <w:r w:rsidRPr="009D5F5D">
      <w:rPr>
        <w:b/>
        <w:sz w:val="18"/>
      </w:rPr>
      <w:fldChar w:fldCharType="separate"/>
    </w:r>
    <w:r w:rsidRPr="009D5F5D">
      <w:rPr>
        <w:b/>
        <w:noProof/>
        <w:sz w:val="18"/>
      </w:rPr>
      <w:t>3</w:t>
    </w:r>
    <w:r w:rsidRPr="009D5F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8B4F" w14:textId="77777777" w:rsidR="000D3EE9" w:rsidRPr="009D5F5D" w:rsidRDefault="000942EE" w:rsidP="0001207F">
    <w:pPr>
      <w:pStyle w:val="Footer"/>
      <w:spacing w:before="120"/>
      <w:rPr>
        <w:sz w:val="20"/>
      </w:rPr>
    </w:pPr>
    <w:r w:rsidRPr="000942EE">
      <w:rPr>
        <w:noProof/>
        <w:lang w:eastAsia="fr-CH"/>
      </w:rPr>
      <w:drawing>
        <wp:anchor distT="0" distB="0" distL="114300" distR="114300" simplePos="0" relativeHeight="251658752" behindDoc="0" locked="0" layoutInCell="1" allowOverlap="0" wp14:anchorId="29204E6A" wp14:editId="576D0B3A">
          <wp:simplePos x="0" y="0"/>
          <wp:positionH relativeFrom="margin">
            <wp:posOffset>5004435</wp:posOffset>
          </wp:positionH>
          <wp:positionV relativeFrom="margin">
            <wp:posOffset>9324975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8208" w14:textId="77777777" w:rsidR="009D5F5D" w:rsidRPr="00AC3823" w:rsidRDefault="009D5F5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007C8B" w14:textId="77777777" w:rsidR="009D5F5D" w:rsidRPr="00AC3823" w:rsidRDefault="009D5F5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DA6719" w14:textId="77777777" w:rsidR="009D5F5D" w:rsidRPr="00AC3823" w:rsidRDefault="009D5F5D">
      <w:pPr>
        <w:spacing w:line="240" w:lineRule="auto"/>
        <w:rPr>
          <w:sz w:val="2"/>
          <w:szCs w:val="2"/>
        </w:rPr>
      </w:pPr>
    </w:p>
  </w:footnote>
  <w:footnote w:id="2">
    <w:p w14:paraId="0C951A07" w14:textId="4CE5F7C9" w:rsidR="00764400" w:rsidRPr="00764400" w:rsidRDefault="00764400">
      <w:pPr>
        <w:pStyle w:val="FootnoteText"/>
      </w:pPr>
      <w:r>
        <w:rPr>
          <w:rStyle w:val="FootnoteReference"/>
        </w:rPr>
        <w:tab/>
      </w:r>
      <w:r w:rsidRPr="0076440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A52BC">
        <w:t>A/76/6 (Sect.20), par. 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DD9E" w14:textId="77777777" w:rsidR="009D5F5D" w:rsidRPr="009D5F5D" w:rsidRDefault="005A52BC">
    <w:pPr>
      <w:pStyle w:val="Header"/>
    </w:pPr>
    <w:r>
      <w:fldChar w:fldCharType="begin"/>
    </w:r>
    <w:r>
      <w:instrText xml:space="preserve"> TITLE  \* MERGEFO</w:instrText>
    </w:r>
    <w:r>
      <w:instrText xml:space="preserve">RMAT </w:instrText>
    </w:r>
    <w:r>
      <w:fldChar w:fldCharType="separate"/>
    </w:r>
    <w:r w:rsidR="009D5F5D">
      <w:t>ECE/TRANS/WP.15/2022/10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67D4" w14:textId="77777777" w:rsidR="009D5F5D" w:rsidRPr="009D5F5D" w:rsidRDefault="005A52BC" w:rsidP="009D5F5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D5F5D">
      <w:t>ECE/TRANS/WP.15/2022/10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9D5F5D"/>
    <w:rsid w:val="0001207F"/>
    <w:rsid w:val="00017F94"/>
    <w:rsid w:val="00023842"/>
    <w:rsid w:val="000334F9"/>
    <w:rsid w:val="0004639C"/>
    <w:rsid w:val="00052CBB"/>
    <w:rsid w:val="0007796D"/>
    <w:rsid w:val="000942EE"/>
    <w:rsid w:val="000A49DB"/>
    <w:rsid w:val="000A52BF"/>
    <w:rsid w:val="000B7790"/>
    <w:rsid w:val="000D3EE9"/>
    <w:rsid w:val="000D62F3"/>
    <w:rsid w:val="00102C0B"/>
    <w:rsid w:val="00111F2F"/>
    <w:rsid w:val="001433FD"/>
    <w:rsid w:val="0014365E"/>
    <w:rsid w:val="001541D3"/>
    <w:rsid w:val="00156B77"/>
    <w:rsid w:val="001617FC"/>
    <w:rsid w:val="00176178"/>
    <w:rsid w:val="00177140"/>
    <w:rsid w:val="001D400F"/>
    <w:rsid w:val="001E6AAC"/>
    <w:rsid w:val="001F525A"/>
    <w:rsid w:val="00223272"/>
    <w:rsid w:val="00240333"/>
    <w:rsid w:val="0024779E"/>
    <w:rsid w:val="00256F7B"/>
    <w:rsid w:val="002832AC"/>
    <w:rsid w:val="002D7C93"/>
    <w:rsid w:val="00314354"/>
    <w:rsid w:val="00341E15"/>
    <w:rsid w:val="0037241C"/>
    <w:rsid w:val="003819FF"/>
    <w:rsid w:val="003A51A7"/>
    <w:rsid w:val="003D7291"/>
    <w:rsid w:val="00416CFB"/>
    <w:rsid w:val="00423935"/>
    <w:rsid w:val="0043143B"/>
    <w:rsid w:val="00441C3B"/>
    <w:rsid w:val="00446B0A"/>
    <w:rsid w:val="00446FE5"/>
    <w:rsid w:val="00452396"/>
    <w:rsid w:val="00471288"/>
    <w:rsid w:val="0049687C"/>
    <w:rsid w:val="004E468C"/>
    <w:rsid w:val="004F7B14"/>
    <w:rsid w:val="005316B0"/>
    <w:rsid w:val="005337AA"/>
    <w:rsid w:val="005505B7"/>
    <w:rsid w:val="00555CDD"/>
    <w:rsid w:val="00566BD3"/>
    <w:rsid w:val="00573BE5"/>
    <w:rsid w:val="00586ED3"/>
    <w:rsid w:val="00596AA9"/>
    <w:rsid w:val="005A52BC"/>
    <w:rsid w:val="005B1621"/>
    <w:rsid w:val="005B4D0F"/>
    <w:rsid w:val="00663780"/>
    <w:rsid w:val="0067261C"/>
    <w:rsid w:val="00703D0F"/>
    <w:rsid w:val="00706363"/>
    <w:rsid w:val="007158BB"/>
    <w:rsid w:val="0071601D"/>
    <w:rsid w:val="0075410D"/>
    <w:rsid w:val="00764400"/>
    <w:rsid w:val="007A62E6"/>
    <w:rsid w:val="007A7D2D"/>
    <w:rsid w:val="007C113B"/>
    <w:rsid w:val="0080684C"/>
    <w:rsid w:val="00810F06"/>
    <w:rsid w:val="008204DA"/>
    <w:rsid w:val="008342A2"/>
    <w:rsid w:val="00837605"/>
    <w:rsid w:val="008535AD"/>
    <w:rsid w:val="00871C75"/>
    <w:rsid w:val="008767E8"/>
    <w:rsid w:val="008776DC"/>
    <w:rsid w:val="00883605"/>
    <w:rsid w:val="008E6043"/>
    <w:rsid w:val="00943BA1"/>
    <w:rsid w:val="00961E7B"/>
    <w:rsid w:val="009705C8"/>
    <w:rsid w:val="00974A22"/>
    <w:rsid w:val="009873A9"/>
    <w:rsid w:val="00990107"/>
    <w:rsid w:val="009B245B"/>
    <w:rsid w:val="009C1CF4"/>
    <w:rsid w:val="009D5F5D"/>
    <w:rsid w:val="009F02C9"/>
    <w:rsid w:val="009F1819"/>
    <w:rsid w:val="00A30353"/>
    <w:rsid w:val="00A62D91"/>
    <w:rsid w:val="00A90D54"/>
    <w:rsid w:val="00A935F9"/>
    <w:rsid w:val="00AA113A"/>
    <w:rsid w:val="00AC3823"/>
    <w:rsid w:val="00AE323C"/>
    <w:rsid w:val="00AF774C"/>
    <w:rsid w:val="00B00181"/>
    <w:rsid w:val="00B00B0D"/>
    <w:rsid w:val="00B40927"/>
    <w:rsid w:val="00B50E25"/>
    <w:rsid w:val="00B64918"/>
    <w:rsid w:val="00B765F7"/>
    <w:rsid w:val="00BA0CA9"/>
    <w:rsid w:val="00C02897"/>
    <w:rsid w:val="00C1626B"/>
    <w:rsid w:val="00C66A47"/>
    <w:rsid w:val="00C7616F"/>
    <w:rsid w:val="00CA2051"/>
    <w:rsid w:val="00CB16B5"/>
    <w:rsid w:val="00CE0608"/>
    <w:rsid w:val="00D3439C"/>
    <w:rsid w:val="00D44CF3"/>
    <w:rsid w:val="00D46C8C"/>
    <w:rsid w:val="00D626DF"/>
    <w:rsid w:val="00D97488"/>
    <w:rsid w:val="00DB1831"/>
    <w:rsid w:val="00DD3BFD"/>
    <w:rsid w:val="00DE239D"/>
    <w:rsid w:val="00DF431C"/>
    <w:rsid w:val="00DF6678"/>
    <w:rsid w:val="00E428C8"/>
    <w:rsid w:val="00E8684E"/>
    <w:rsid w:val="00EB3E8C"/>
    <w:rsid w:val="00EF2E22"/>
    <w:rsid w:val="00F0592C"/>
    <w:rsid w:val="00F06ED4"/>
    <w:rsid w:val="00F43289"/>
    <w:rsid w:val="00F660DF"/>
    <w:rsid w:val="00F95C08"/>
    <w:rsid w:val="00FA7684"/>
    <w:rsid w:val="00FD1581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549E4B"/>
  <w15:docId w15:val="{26BB9F8D-FB00-4C4C-9BF4-76201969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514D3-3190-486F-A8E2-2778D9459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37DD3-0729-4525-BF21-40B7EED0220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F77F55E2-B6EB-4129-9B04-A12F2E58D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29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ECE/TRANS/WP.15/2022/10</dc:title>
  <dc:subject>FINAL</dc:subject>
  <dc:creator>Sabrina Mansion</dc:creator>
  <cp:keywords/>
  <dc:description/>
  <cp:lastModifiedBy>Christine Barrio-Champeau</cp:lastModifiedBy>
  <cp:revision>42</cp:revision>
  <cp:lastPrinted>2014-05-14T10:59:00Z</cp:lastPrinted>
  <dcterms:created xsi:type="dcterms:W3CDTF">2022-08-26T07:24:00Z</dcterms:created>
  <dcterms:modified xsi:type="dcterms:W3CDTF">2022-08-29T14:25:00Z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