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44ACE8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349566" w14:textId="77777777" w:rsidR="00F35BAF" w:rsidRPr="00DB58B5" w:rsidRDefault="00F35BAF" w:rsidP="008A313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D54197D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628310" w14:textId="06E64C0D" w:rsidR="00F35BAF" w:rsidRPr="00DB58B5" w:rsidRDefault="008A313E" w:rsidP="008A313E">
            <w:pPr>
              <w:jc w:val="right"/>
            </w:pPr>
            <w:r w:rsidRPr="008A313E">
              <w:rPr>
                <w:sz w:val="40"/>
              </w:rPr>
              <w:t>ECE</w:t>
            </w:r>
            <w:r>
              <w:t>/TRANS/WP.29/GRVA/2022/25</w:t>
            </w:r>
          </w:p>
        </w:tc>
      </w:tr>
      <w:tr w:rsidR="00F35BAF" w:rsidRPr="00DB58B5" w14:paraId="224FE23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4E3244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819993C" wp14:editId="491852A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F4B4CE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D195AC" w14:textId="77777777" w:rsidR="00F35BAF" w:rsidRDefault="008A313E" w:rsidP="00C97039">
            <w:pPr>
              <w:spacing w:before="240"/>
            </w:pPr>
            <w:r>
              <w:t>Distr. générale</w:t>
            </w:r>
          </w:p>
          <w:p w14:paraId="2E90E86E" w14:textId="303F8181" w:rsidR="008A313E" w:rsidRDefault="008A313E" w:rsidP="008A313E">
            <w:pPr>
              <w:spacing w:line="240" w:lineRule="exact"/>
            </w:pPr>
            <w:r>
              <w:t>13 juillet 2022</w:t>
            </w:r>
          </w:p>
          <w:p w14:paraId="2136CAAA" w14:textId="77777777" w:rsidR="008A313E" w:rsidRDefault="008A313E" w:rsidP="008A313E">
            <w:pPr>
              <w:spacing w:line="240" w:lineRule="exact"/>
            </w:pPr>
            <w:r>
              <w:t>Français</w:t>
            </w:r>
          </w:p>
          <w:p w14:paraId="1EC90EF7" w14:textId="3C870F70" w:rsidR="008A313E" w:rsidRPr="00DB58B5" w:rsidRDefault="008A313E" w:rsidP="008A313E">
            <w:pPr>
              <w:spacing w:line="240" w:lineRule="exact"/>
            </w:pPr>
            <w:r>
              <w:t>Original : anglais</w:t>
            </w:r>
          </w:p>
        </w:tc>
      </w:tr>
    </w:tbl>
    <w:p w14:paraId="6DA517B6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718B9DDF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328E19F7" w14:textId="504D3EEC" w:rsidR="008A313E" w:rsidRDefault="008A313E" w:rsidP="00A3029F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1086F738" w14:textId="77777777" w:rsidR="008A313E" w:rsidRDefault="008A313E" w:rsidP="00A3029F">
      <w:pPr>
        <w:spacing w:before="120"/>
        <w:rPr>
          <w:b/>
        </w:rPr>
      </w:pPr>
      <w:r>
        <w:rPr>
          <w:b/>
        </w:rPr>
        <w:t xml:space="preserve">Groupe de travail </w:t>
      </w:r>
      <w:r w:rsidRPr="00EA3397">
        <w:rPr>
          <w:rFonts w:eastAsia="Times New Roman"/>
          <w:b/>
          <w:bCs/>
        </w:rPr>
        <w:t>des véhicules automatisés</w:t>
      </w:r>
      <w:r>
        <w:rPr>
          <w:rFonts w:eastAsia="Times New Roman"/>
          <w:b/>
          <w:bCs/>
        </w:rPr>
        <w:t>/autonomes et connectés</w:t>
      </w:r>
    </w:p>
    <w:p w14:paraId="24C6D4B2" w14:textId="0BA41BB5" w:rsidR="008A313E" w:rsidRDefault="008A313E" w:rsidP="00A3029F">
      <w:pPr>
        <w:spacing w:before="120"/>
        <w:rPr>
          <w:b/>
        </w:rPr>
      </w:pPr>
      <w:r>
        <w:rPr>
          <w:b/>
        </w:rPr>
        <w:t>Quatorzième session</w:t>
      </w:r>
    </w:p>
    <w:p w14:paraId="7ADA70B9" w14:textId="26FA9043" w:rsidR="008A313E" w:rsidRDefault="008A313E" w:rsidP="00A3029F">
      <w:pPr>
        <w:spacing w:line="240" w:lineRule="exact"/>
      </w:pPr>
      <w:r>
        <w:t>Genève, 26-30 septembre 2022</w:t>
      </w:r>
    </w:p>
    <w:p w14:paraId="29237506" w14:textId="10354C94" w:rsidR="008A313E" w:rsidRDefault="008A313E" w:rsidP="00A3029F">
      <w:pPr>
        <w:spacing w:line="240" w:lineRule="exact"/>
      </w:pPr>
      <w:r>
        <w:t>Point 8 c) de l’ordre du jour provisoire</w:t>
      </w:r>
    </w:p>
    <w:p w14:paraId="5D0A84CF" w14:textId="27196F24" w:rsidR="008A313E" w:rsidRPr="008A313E" w:rsidRDefault="008A313E" w:rsidP="008A313E">
      <w:pPr>
        <w:rPr>
          <w:b/>
          <w:lang w:val="fr-FR"/>
        </w:rPr>
      </w:pPr>
      <w:r>
        <w:rPr>
          <w:b/>
          <w:bCs/>
          <w:lang w:val="fr-FR"/>
        </w:rPr>
        <w:t>Règlements ONU 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13, 13-H, 139 et 140, et RTM ONU n</w:t>
      </w:r>
      <w:r>
        <w:rPr>
          <w:b/>
          <w:bCs/>
          <w:vertAlign w:val="superscript"/>
          <w:lang w:val="fr-FR"/>
        </w:rPr>
        <w:t>o</w:t>
      </w:r>
      <w:r>
        <w:rPr>
          <w:b/>
          <w:bCs/>
          <w:lang w:val="fr-FR"/>
        </w:rPr>
        <w:t>8</w:t>
      </w:r>
      <w:r>
        <w:rPr>
          <w:lang w:val="fr-FR"/>
        </w:rPr>
        <w:t xml:space="preserve"> : </w:t>
      </w:r>
      <w:r>
        <w:rPr>
          <w:lang w:val="fr-FR"/>
        </w:rPr>
        <w:br/>
      </w:r>
      <w:r>
        <w:rPr>
          <w:b/>
          <w:bCs/>
          <w:lang w:val="fr-FR"/>
        </w:rPr>
        <w:t>Précisions</w:t>
      </w:r>
    </w:p>
    <w:p w14:paraId="7795E0E6" w14:textId="4F4DC325" w:rsidR="008A313E" w:rsidRPr="00BD7657" w:rsidRDefault="008A313E" w:rsidP="008A313E">
      <w:pPr>
        <w:pStyle w:val="HChG"/>
        <w:rPr>
          <w:rFonts w:asciiTheme="majorBidi" w:hAnsiTheme="majorBidi" w:cstheme="majorBidi"/>
          <w:szCs w:val="28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Proposition d’amendements au Règlement ONU n</w:t>
      </w:r>
      <w:r w:rsidRPr="008A313E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140 (Système de contrôle électronique de la stabilité)</w:t>
      </w:r>
    </w:p>
    <w:p w14:paraId="4BE1C061" w14:textId="2E24BD74" w:rsidR="008A313E" w:rsidRPr="00BD7657" w:rsidRDefault="008A313E" w:rsidP="008A313E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de l’expert de l’Organisation internationale des</w:t>
      </w:r>
      <w:r>
        <w:rPr>
          <w:lang w:val="fr-FR"/>
        </w:rPr>
        <w:t> </w:t>
      </w:r>
      <w:r>
        <w:rPr>
          <w:lang w:val="fr-FR"/>
        </w:rPr>
        <w:t>constructeurs d’automobiles</w:t>
      </w:r>
      <w:r w:rsidRPr="008A313E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E996AAD" w14:textId="49F0C866" w:rsidR="00F9573C" w:rsidRDefault="008A313E" w:rsidP="008A313E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établi par l’expert de l’Organisation internationale des constructeurs d’automobiles (OICA) afin d’assurer la continuité de la méthode</w:t>
      </w:r>
      <w:r>
        <w:rPr>
          <w:lang w:val="fr-FR"/>
        </w:rPr>
        <w:t> </w:t>
      </w:r>
      <w:r>
        <w:rPr>
          <w:lang w:val="fr-FR"/>
        </w:rPr>
        <w:t>E1337 de l’American Society for Testing and Materials (ASTM), relative à la mesure du coefficient de freinage maximal, dans le Règlement ONU n</w:t>
      </w:r>
      <w:r w:rsidRPr="008A313E">
        <w:rPr>
          <w:vertAlign w:val="superscript"/>
          <w:lang w:val="fr-FR"/>
        </w:rPr>
        <w:t>o</w:t>
      </w:r>
      <w:r>
        <w:rPr>
          <w:lang w:val="fr-FR"/>
        </w:rPr>
        <w:t> </w:t>
      </w:r>
      <w:r>
        <w:rPr>
          <w:lang w:val="fr-FR"/>
        </w:rPr>
        <w:t>140, en ajoutant une référence au nouveau pneumatique d’essai de référence normalisé prescrit par la norme ASTM</w:t>
      </w:r>
      <w:r>
        <w:rPr>
          <w:lang w:val="fr-FR"/>
        </w:rPr>
        <w:t> </w:t>
      </w:r>
      <w:r>
        <w:rPr>
          <w:lang w:val="fr-FR"/>
        </w:rPr>
        <w:t>F2493. Les</w:t>
      </w:r>
      <w:r>
        <w:rPr>
          <w:lang w:val="fr-FR"/>
        </w:rPr>
        <w:t> </w:t>
      </w:r>
      <w:r>
        <w:rPr>
          <w:lang w:val="fr-FR"/>
        </w:rPr>
        <w:t>modifications qu’il est proposé d’apporter au texte actuel du Règlement figurent en caractères gras pour les ajouts et biffés pour les suppressions.</w:t>
      </w:r>
    </w:p>
    <w:p w14:paraId="7F76189D" w14:textId="0D68C943" w:rsidR="008A313E" w:rsidRDefault="008A313E" w:rsidP="008A313E">
      <w:pPr>
        <w:rPr>
          <w:lang w:val="fr-FR"/>
        </w:rPr>
      </w:pPr>
      <w:r>
        <w:rPr>
          <w:lang w:val="fr-FR"/>
        </w:rPr>
        <w:br w:type="page"/>
      </w:r>
    </w:p>
    <w:p w14:paraId="7F337386" w14:textId="5B09AE54" w:rsidR="008A313E" w:rsidRPr="00BD7657" w:rsidRDefault="008A313E" w:rsidP="008A313E">
      <w:pPr>
        <w:pStyle w:val="HChG"/>
      </w:pPr>
      <w:r>
        <w:rPr>
          <w:lang w:val="fr-FR"/>
        </w:rPr>
        <w:lastRenderedPageBreak/>
        <w:tab/>
        <w:t>I.</w:t>
      </w:r>
      <w:r>
        <w:rPr>
          <w:lang w:val="fr-FR"/>
        </w:rPr>
        <w:tab/>
      </w:r>
      <w:r w:rsidRPr="00BD7657">
        <w:rPr>
          <w:lang w:val="fr-FR"/>
        </w:rPr>
        <w:t>Proposition</w:t>
      </w:r>
    </w:p>
    <w:p w14:paraId="73E3CCAB" w14:textId="234EBA4A" w:rsidR="008A313E" w:rsidRPr="00BD7657" w:rsidRDefault="008A313E" w:rsidP="008A313E">
      <w:pPr>
        <w:pStyle w:val="SingleTxtG"/>
        <w:rPr>
          <w:rFonts w:asciiTheme="majorBidi" w:hAnsiTheme="majorBidi"/>
          <w:i/>
          <w:lang w:val="fr-FR"/>
        </w:rPr>
      </w:pPr>
      <w:r>
        <w:rPr>
          <w:i/>
          <w:iCs/>
          <w:lang w:val="fr-FR"/>
        </w:rPr>
        <w:t>Paragraphe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8.2.2 et sous-paragraphes</w:t>
      </w:r>
      <w:r>
        <w:rPr>
          <w:i/>
          <w:iCs/>
          <w:lang w:val="fr-FR"/>
        </w:rPr>
        <w:t> </w:t>
      </w:r>
      <w:r>
        <w:rPr>
          <w:i/>
          <w:iCs/>
          <w:lang w:val="fr-FR"/>
        </w:rPr>
        <w:t>8.2.2.1, 8.2.2.2 et 8.2.2.3</w:t>
      </w:r>
      <w:r>
        <w:rPr>
          <w:lang w:val="fr-FR"/>
        </w:rPr>
        <w:t>, lire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52FB908" w14:textId="678B79B7" w:rsidR="008A313E" w:rsidRPr="00BD7657" w:rsidRDefault="008A313E" w:rsidP="008A313E">
      <w:pPr>
        <w:pStyle w:val="SingleTxtG"/>
        <w:ind w:left="2268" w:hanging="1134"/>
        <w:rPr>
          <w:rFonts w:eastAsiaTheme="minorEastAsia"/>
          <w:lang w:val="fr-FR"/>
        </w:rPr>
      </w:pPr>
      <w:r>
        <w:rPr>
          <w:lang w:val="fr-FR"/>
        </w:rPr>
        <w:t>« </w:t>
      </w:r>
      <w:r>
        <w:rPr>
          <w:lang w:val="fr-FR"/>
        </w:rPr>
        <w:t>8.2.2</w:t>
      </w:r>
      <w:r>
        <w:rPr>
          <w:lang w:val="fr-FR"/>
        </w:rPr>
        <w:tab/>
      </w:r>
      <w:r>
        <w:rPr>
          <w:lang w:val="fr-FR"/>
        </w:rPr>
        <w:tab/>
        <w:t>Le revêtement d’essai permet d’obtenir un coefficient de freinage maximal nominal</w:t>
      </w:r>
      <w:r w:rsidRPr="00BD7657">
        <w:rPr>
          <w:vertAlign w:val="superscript"/>
          <w:lang w:val="fr-FR"/>
        </w:rPr>
        <w:t>6</w:t>
      </w:r>
      <w:r>
        <w:rPr>
          <w:lang w:val="fr-FR"/>
        </w:rPr>
        <w:t xml:space="preserve"> de 0,9, sauf indication contraire, lors d’un essai effectué </w:t>
      </w:r>
      <w:r w:rsidRPr="00731CEE">
        <w:rPr>
          <w:b/>
          <w:bCs/>
          <w:lang w:val="fr-FR"/>
        </w:rPr>
        <w:t>selon l’une des méthodes suivantes</w:t>
      </w:r>
      <w:r>
        <w:rPr>
          <w:lang w:val="fr-FR"/>
        </w:rPr>
        <w:t> </w:t>
      </w:r>
      <w:r>
        <w:rPr>
          <w:lang w:val="fr-FR"/>
        </w:rPr>
        <w:t>:</w:t>
      </w:r>
    </w:p>
    <w:p w14:paraId="12DA1398" w14:textId="67E9D90C" w:rsidR="008A313E" w:rsidRPr="00BD7657" w:rsidRDefault="008A313E" w:rsidP="008A313E">
      <w:pPr>
        <w:pStyle w:val="SingleTxtG"/>
        <w:ind w:left="2268" w:hanging="1134"/>
        <w:rPr>
          <w:rFonts w:asciiTheme="majorBidi" w:eastAsiaTheme="minorEastAsia" w:hAnsiTheme="majorBidi" w:cstheme="minorBidi"/>
          <w:lang w:val="fr-FR"/>
        </w:rPr>
      </w:pPr>
      <w:r>
        <w:rPr>
          <w:lang w:val="fr-FR"/>
        </w:rPr>
        <w:t>8.2.2.1</w:t>
      </w:r>
      <w:r>
        <w:rPr>
          <w:lang w:val="fr-FR"/>
        </w:rPr>
        <w:tab/>
      </w:r>
      <w:r>
        <w:rPr>
          <w:strike/>
          <w:lang w:val="fr-FR"/>
        </w:rPr>
        <w:t>Soit avec l</w:t>
      </w:r>
      <w:r>
        <w:rPr>
          <w:lang w:val="fr-FR"/>
        </w:rPr>
        <w:t>Le pneumatique d’essai de référence normalisé</w:t>
      </w:r>
      <w:r>
        <w:rPr>
          <w:lang w:val="fr-FR"/>
        </w:rPr>
        <w:t> </w:t>
      </w:r>
      <w:r>
        <w:rPr>
          <w:lang w:val="fr-FR"/>
        </w:rPr>
        <w:t>E1136</w:t>
      </w:r>
      <w:r w:rsidRPr="00BC1CF3">
        <w:rPr>
          <w:lang w:val="fr-FR"/>
        </w:rPr>
        <w:t>-</w:t>
      </w:r>
      <w:r w:rsidRPr="00731CEE">
        <w:rPr>
          <w:b/>
          <w:bCs/>
          <w:lang w:val="fr-FR"/>
        </w:rPr>
        <w:t>19</w:t>
      </w:r>
      <w:r>
        <w:rPr>
          <w:lang w:val="fr-FR"/>
        </w:rPr>
        <w:t xml:space="preserve"> de l’American Society for Testing and Materials (ASTM), conformément à la méthode ASTM E1337</w:t>
      </w:r>
      <w:r w:rsidRPr="00BC1CF3">
        <w:rPr>
          <w:lang w:val="fr-FR"/>
        </w:rPr>
        <w:t>-</w:t>
      </w:r>
      <w:r w:rsidRPr="00731CEE">
        <w:rPr>
          <w:b/>
          <w:bCs/>
          <w:lang w:val="fr-FR"/>
        </w:rPr>
        <w:t>19</w:t>
      </w:r>
      <w:r>
        <w:rPr>
          <w:lang w:val="fr-FR"/>
        </w:rPr>
        <w:t>, à une vitesse de 40 mph ;</w:t>
      </w:r>
    </w:p>
    <w:p w14:paraId="532E5DB9" w14:textId="6BBB65DC" w:rsidR="008A313E" w:rsidRPr="00BD7657" w:rsidRDefault="008A313E" w:rsidP="008A313E">
      <w:pPr>
        <w:pStyle w:val="SingleTxtG"/>
        <w:ind w:left="2268" w:hanging="1134"/>
        <w:rPr>
          <w:rFonts w:asciiTheme="majorBidi" w:eastAsiaTheme="minorEastAsia" w:hAnsiTheme="majorBidi" w:cstheme="minorBidi"/>
          <w:lang w:val="fr-FR"/>
        </w:rPr>
      </w:pPr>
      <w:r>
        <w:rPr>
          <w:lang w:val="fr-FR"/>
        </w:rPr>
        <w:t>8.2.2.2</w:t>
      </w:r>
      <w:r>
        <w:rPr>
          <w:lang w:val="fr-FR"/>
        </w:rPr>
        <w:tab/>
      </w:r>
      <w:r>
        <w:rPr>
          <w:strike/>
          <w:lang w:val="fr-FR"/>
        </w:rPr>
        <w:t>Soit par l</w:t>
      </w:r>
      <w:r>
        <w:rPr>
          <w:lang w:val="fr-FR"/>
        </w:rPr>
        <w:t>La méthode de détermination du coefficient d’adhérence (k), décrite à l’appendice</w:t>
      </w:r>
      <w:r>
        <w:rPr>
          <w:lang w:val="fr-FR"/>
        </w:rPr>
        <w:t> </w:t>
      </w:r>
      <w:r>
        <w:rPr>
          <w:lang w:val="fr-FR"/>
        </w:rPr>
        <w:t>2 de l’annexe</w:t>
      </w:r>
      <w:r>
        <w:rPr>
          <w:lang w:val="fr-FR"/>
        </w:rPr>
        <w:t> </w:t>
      </w:r>
      <w:r>
        <w:rPr>
          <w:lang w:val="fr-FR"/>
        </w:rPr>
        <w:t>6 du Règlement n</w:t>
      </w:r>
      <w:r w:rsidRPr="008A313E">
        <w:rPr>
          <w:vertAlign w:val="superscript"/>
          <w:lang w:val="fr-FR"/>
        </w:rPr>
        <w:t>o</w:t>
      </w:r>
      <w:r>
        <w:rPr>
          <w:lang w:val="fr-FR"/>
        </w:rPr>
        <w:t> 13-H</w:t>
      </w:r>
      <w:r>
        <w:rPr>
          <w:lang w:val="fr-FR"/>
        </w:rPr>
        <w:t> </w:t>
      </w:r>
      <w:r>
        <w:rPr>
          <w:lang w:val="fr-FR"/>
        </w:rPr>
        <w:t>;</w:t>
      </w:r>
    </w:p>
    <w:p w14:paraId="34CE6231" w14:textId="108CB314" w:rsidR="008A313E" w:rsidRPr="00BD7657" w:rsidRDefault="008A313E" w:rsidP="008A313E">
      <w:pPr>
        <w:pStyle w:val="SingleTxtG"/>
        <w:ind w:left="2268" w:hanging="1134"/>
        <w:rPr>
          <w:rFonts w:asciiTheme="majorBidi" w:eastAsiaTheme="minorEastAsia" w:hAnsiTheme="majorBidi" w:cstheme="minorBidi"/>
          <w:lang w:val="fr-FR"/>
        </w:rPr>
      </w:pPr>
      <w:r>
        <w:rPr>
          <w:lang w:val="fr-FR"/>
        </w:rPr>
        <w:t>8.2.2.3</w:t>
      </w:r>
      <w:r>
        <w:rPr>
          <w:lang w:val="fr-FR"/>
        </w:rPr>
        <w:tab/>
      </w:r>
      <w:r w:rsidRPr="00731CEE">
        <w:rPr>
          <w:b/>
          <w:bCs/>
          <w:lang w:val="fr-FR"/>
        </w:rPr>
        <w:t>Le pneumatique d’essai de référence normalisé</w:t>
      </w:r>
      <w:r w:rsidRPr="00731CEE">
        <w:rPr>
          <w:b/>
          <w:bCs/>
          <w:lang w:val="fr-FR"/>
        </w:rPr>
        <w:t> </w:t>
      </w:r>
      <w:r w:rsidRPr="00731CEE">
        <w:rPr>
          <w:b/>
          <w:bCs/>
          <w:lang w:val="fr-FR"/>
        </w:rPr>
        <w:t>F2493-20 de l’American Society for Testing and Materials (ASTM), conformément à la méthode ASTM</w:t>
      </w:r>
      <w:r w:rsidR="00731CEE">
        <w:rPr>
          <w:b/>
          <w:bCs/>
          <w:lang w:val="fr-FR"/>
        </w:rPr>
        <w:t> </w:t>
      </w:r>
      <w:r w:rsidRPr="00731CEE">
        <w:rPr>
          <w:b/>
          <w:bCs/>
          <w:lang w:val="fr-FR"/>
        </w:rPr>
        <w:t>E1337-19, à une vitesse de 40</w:t>
      </w:r>
      <w:r w:rsidRPr="00731CEE">
        <w:rPr>
          <w:b/>
          <w:bCs/>
          <w:lang w:val="fr-FR"/>
        </w:rPr>
        <w:t> </w:t>
      </w:r>
      <w:r w:rsidRPr="00731CEE">
        <w:rPr>
          <w:b/>
          <w:bCs/>
          <w:lang w:val="fr-FR"/>
        </w:rPr>
        <w:t>mph. Dans ce cas, un coefficient de freinage maximal nominal de 1,017 est équivalent au coefficient de freinage maximal nominal de 0,9 mentionné au paragraphe</w:t>
      </w:r>
      <w:r w:rsidRPr="00731CEE">
        <w:rPr>
          <w:b/>
          <w:bCs/>
          <w:lang w:val="fr-FR"/>
        </w:rPr>
        <w:t> </w:t>
      </w:r>
      <w:r w:rsidRPr="00731CEE">
        <w:rPr>
          <w:b/>
          <w:bCs/>
          <w:lang w:val="fr-FR"/>
        </w:rPr>
        <w:t>8.2.2.</w:t>
      </w:r>
      <w:r>
        <w:rPr>
          <w:lang w:val="fr-FR"/>
        </w:rPr>
        <w:t> »</w:t>
      </w:r>
      <w:r>
        <w:rPr>
          <w:lang w:val="fr-FR"/>
        </w:rPr>
        <w:t>.</w:t>
      </w:r>
    </w:p>
    <w:p w14:paraId="6C99BF6D" w14:textId="7728469B" w:rsidR="008A313E" w:rsidRPr="00BD7657" w:rsidRDefault="008A313E" w:rsidP="008A313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>II.</w:t>
      </w:r>
      <w:r>
        <w:rPr>
          <w:lang w:val="fr-FR"/>
        </w:rPr>
        <w:tab/>
        <w:t>Justification</w:t>
      </w:r>
    </w:p>
    <w:p w14:paraId="61519954" w14:textId="1EEB674D" w:rsidR="008A313E" w:rsidRPr="00BD7657" w:rsidRDefault="008A313E" w:rsidP="008A313E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L’objectif de cette proposition est d’assurer la continuité de la méthode ASTM</w:t>
      </w:r>
      <w:r>
        <w:rPr>
          <w:lang w:val="fr-FR"/>
        </w:rPr>
        <w:t> </w:t>
      </w:r>
      <w:r>
        <w:rPr>
          <w:lang w:val="fr-FR"/>
        </w:rPr>
        <w:t>E1337, relative à la mesure du coefficient de freinage maximal, dans le Règlement ONU n</w:t>
      </w:r>
      <w:r w:rsidRPr="008A313E">
        <w:rPr>
          <w:vertAlign w:val="superscript"/>
          <w:lang w:val="fr-FR"/>
        </w:rPr>
        <w:t>o</w:t>
      </w:r>
      <w:r>
        <w:rPr>
          <w:lang w:val="fr-FR"/>
        </w:rPr>
        <w:t> 140, en ajoutant une référence au nouveau pneumatique d’essai de référence normalisé prescrit par la norme ASTM</w:t>
      </w:r>
      <w:r>
        <w:rPr>
          <w:lang w:val="fr-FR"/>
        </w:rPr>
        <w:t> </w:t>
      </w:r>
      <w:r>
        <w:rPr>
          <w:lang w:val="fr-FR"/>
        </w:rPr>
        <w:t>F2493.</w:t>
      </w:r>
    </w:p>
    <w:p w14:paraId="1274188A" w14:textId="06ABA896" w:rsidR="008A313E" w:rsidRPr="00BD7657" w:rsidRDefault="008A313E" w:rsidP="008A313E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En 2019, ASTM International a actualisé sa norme</w:t>
      </w:r>
      <w:r>
        <w:rPr>
          <w:lang w:val="fr-FR"/>
        </w:rPr>
        <w:t> </w:t>
      </w:r>
      <w:r>
        <w:rPr>
          <w:lang w:val="fr-FR"/>
        </w:rPr>
        <w:t>E1337, relative à la mesure du coefficient de freinage maximal, pour y ajouter un nouveau pneumatique d’essai de référence normalisé, prescrit par la norme</w:t>
      </w:r>
      <w:r>
        <w:rPr>
          <w:lang w:val="fr-FR"/>
        </w:rPr>
        <w:t> </w:t>
      </w:r>
      <w:r>
        <w:rPr>
          <w:lang w:val="fr-FR"/>
        </w:rPr>
        <w:t>F2493, en plus du pneumatique prescrit par la norme</w:t>
      </w:r>
      <w:r>
        <w:rPr>
          <w:lang w:val="fr-FR"/>
        </w:rPr>
        <w:t> </w:t>
      </w:r>
      <w:r>
        <w:rPr>
          <w:lang w:val="fr-FR"/>
        </w:rPr>
        <w:t>E1136, plus ancienne. On trouve dans cette version actualisée de la norme</w:t>
      </w:r>
      <w:r>
        <w:rPr>
          <w:lang w:val="fr-FR"/>
        </w:rPr>
        <w:t> </w:t>
      </w:r>
      <w:r>
        <w:rPr>
          <w:lang w:val="fr-FR"/>
        </w:rPr>
        <w:t>E1337 des équations de corrélation, qui permettent de ramener les valeurs obtenues avec un pneumatique prescrit par la norme</w:t>
      </w:r>
      <w:r>
        <w:rPr>
          <w:lang w:val="fr-FR"/>
        </w:rPr>
        <w:t> </w:t>
      </w:r>
      <w:r>
        <w:rPr>
          <w:lang w:val="fr-FR"/>
        </w:rPr>
        <w:t>F2493 aux valeurs équivalentes pour un pneumatique prescrit par la norme</w:t>
      </w:r>
      <w:r>
        <w:rPr>
          <w:lang w:val="fr-FR"/>
        </w:rPr>
        <w:t> </w:t>
      </w:r>
      <w:r>
        <w:rPr>
          <w:lang w:val="fr-FR"/>
        </w:rPr>
        <w:t>E1136, et inversement.</w:t>
      </w:r>
    </w:p>
    <w:p w14:paraId="0ADE24A0" w14:textId="33B40FC1" w:rsidR="008A313E" w:rsidRPr="00BD7657" w:rsidRDefault="008A313E" w:rsidP="008A313E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À la soixante et onzième session du Groupe de travail du bruit et des pneumatiques (GRBP), en janvier 2020, l’Organisation technique européenne du pneumatique et de la jante (ETRTO) a fait savoir que la production des pneumatiques prescrits par la norme</w:t>
      </w:r>
      <w:r>
        <w:rPr>
          <w:lang w:val="fr-FR"/>
        </w:rPr>
        <w:t> </w:t>
      </w:r>
      <w:r>
        <w:rPr>
          <w:lang w:val="fr-FR"/>
        </w:rPr>
        <w:t>E1136 cesserait dans le courant de l’année 2020 et que ces pneumatiques ne seraient plus en vente à partir de la fin de l’année 2021 (GRBP-71-06). L’impossibilité d’acheter de nouveaux pneumatiques prescrits par la norme</w:t>
      </w:r>
      <w:r>
        <w:rPr>
          <w:lang w:val="fr-FR"/>
        </w:rPr>
        <w:t> </w:t>
      </w:r>
      <w:r>
        <w:rPr>
          <w:lang w:val="fr-FR"/>
        </w:rPr>
        <w:t>E1136 pourrait toutefois entraver l’application de la méthode ASTM</w:t>
      </w:r>
      <w:r>
        <w:rPr>
          <w:lang w:val="fr-FR"/>
        </w:rPr>
        <w:t> </w:t>
      </w:r>
      <w:r>
        <w:rPr>
          <w:lang w:val="fr-FR"/>
        </w:rPr>
        <w:t>E1337 dans le cadre du Règlement ONU n</w:t>
      </w:r>
      <w:r w:rsidRPr="008A313E">
        <w:rPr>
          <w:vertAlign w:val="superscript"/>
          <w:lang w:val="fr-FR"/>
        </w:rPr>
        <w:t>o</w:t>
      </w:r>
      <w:r>
        <w:rPr>
          <w:lang w:val="fr-FR"/>
        </w:rPr>
        <w:t> 140.</w:t>
      </w:r>
    </w:p>
    <w:p w14:paraId="07FDB4BC" w14:textId="13999A5A" w:rsidR="008A313E" w:rsidRDefault="008A313E" w:rsidP="008A313E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Par conséquent, afin que la méthode ASTM</w:t>
      </w:r>
      <w:r>
        <w:rPr>
          <w:lang w:val="fr-FR"/>
        </w:rPr>
        <w:t> </w:t>
      </w:r>
      <w:r>
        <w:rPr>
          <w:lang w:val="fr-FR"/>
        </w:rPr>
        <w:t>E1137 puisse continuer d’être utilisée pour les homologations de type délivrées en vertu du Règlement ONU n</w:t>
      </w:r>
      <w:r w:rsidRPr="008A313E">
        <w:rPr>
          <w:vertAlign w:val="superscript"/>
          <w:lang w:val="fr-FR"/>
        </w:rPr>
        <w:t>o</w:t>
      </w:r>
      <w:r>
        <w:rPr>
          <w:lang w:val="fr-FR"/>
        </w:rPr>
        <w:t> 140, que ces homologations soient nouvelles ou existantes, il est nécessaire d’ajouter une référence au nouveau pneumatique prescrit par la norme</w:t>
      </w:r>
      <w:r>
        <w:rPr>
          <w:lang w:val="fr-FR"/>
        </w:rPr>
        <w:t> </w:t>
      </w:r>
      <w:r>
        <w:rPr>
          <w:lang w:val="fr-FR"/>
        </w:rPr>
        <w:t>F2493 et à l’équation de corrélation définie dans la norme</w:t>
      </w:r>
      <w:r>
        <w:rPr>
          <w:lang w:val="fr-FR"/>
        </w:rPr>
        <w:t> </w:t>
      </w:r>
      <w:r>
        <w:rPr>
          <w:lang w:val="fr-FR"/>
        </w:rPr>
        <w:t>E1337, tout en maintenant inchangées les dispositions relatives au coefficient de freinage maximal.</w:t>
      </w:r>
    </w:p>
    <w:p w14:paraId="53FC0244" w14:textId="10CE03F5" w:rsidR="008A313E" w:rsidRPr="008A313E" w:rsidRDefault="008A313E" w:rsidP="008A313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313E" w:rsidRPr="008A313E" w:rsidSect="008A31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FF77" w14:textId="77777777" w:rsidR="000624C0" w:rsidRDefault="000624C0" w:rsidP="00F95C08">
      <w:pPr>
        <w:spacing w:line="240" w:lineRule="auto"/>
      </w:pPr>
    </w:p>
  </w:endnote>
  <w:endnote w:type="continuationSeparator" w:id="0">
    <w:p w14:paraId="34DEFF4D" w14:textId="77777777" w:rsidR="000624C0" w:rsidRPr="00AC3823" w:rsidRDefault="000624C0" w:rsidP="00AC3823">
      <w:pPr>
        <w:pStyle w:val="Pieddepage"/>
      </w:pPr>
    </w:p>
  </w:endnote>
  <w:endnote w:type="continuationNotice" w:id="1">
    <w:p w14:paraId="744D56AF" w14:textId="77777777" w:rsidR="000624C0" w:rsidRDefault="000624C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204D" w14:textId="6B49042D" w:rsidR="008A313E" w:rsidRPr="008A313E" w:rsidRDefault="008A313E" w:rsidP="008A313E">
    <w:pPr>
      <w:pStyle w:val="Pieddepage"/>
      <w:tabs>
        <w:tab w:val="right" w:pos="9638"/>
      </w:tabs>
    </w:pPr>
    <w:r w:rsidRPr="008A313E">
      <w:rPr>
        <w:b/>
        <w:sz w:val="18"/>
      </w:rPr>
      <w:fldChar w:fldCharType="begin"/>
    </w:r>
    <w:r w:rsidRPr="008A313E">
      <w:rPr>
        <w:b/>
        <w:sz w:val="18"/>
      </w:rPr>
      <w:instrText xml:space="preserve"> PAGE  \* MERGEFORMAT </w:instrText>
    </w:r>
    <w:r w:rsidRPr="008A313E">
      <w:rPr>
        <w:b/>
        <w:sz w:val="18"/>
      </w:rPr>
      <w:fldChar w:fldCharType="separate"/>
    </w:r>
    <w:r w:rsidRPr="008A313E">
      <w:rPr>
        <w:b/>
        <w:noProof/>
        <w:sz w:val="18"/>
      </w:rPr>
      <w:t>2</w:t>
    </w:r>
    <w:r w:rsidRPr="008A313E">
      <w:rPr>
        <w:b/>
        <w:sz w:val="18"/>
      </w:rPr>
      <w:fldChar w:fldCharType="end"/>
    </w:r>
    <w:r>
      <w:rPr>
        <w:b/>
        <w:sz w:val="18"/>
      </w:rPr>
      <w:tab/>
    </w:r>
    <w:r>
      <w:t>GE.22-11010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DE49" w14:textId="6E260F46" w:rsidR="008A313E" w:rsidRPr="008A313E" w:rsidRDefault="008A313E" w:rsidP="008A313E">
    <w:pPr>
      <w:pStyle w:val="Pieddepage"/>
      <w:tabs>
        <w:tab w:val="right" w:pos="9638"/>
      </w:tabs>
      <w:rPr>
        <w:b/>
        <w:sz w:val="18"/>
      </w:rPr>
    </w:pPr>
    <w:r>
      <w:t>GE.22-11010</w:t>
    </w:r>
    <w:r>
      <w:tab/>
    </w:r>
    <w:r w:rsidRPr="008A313E">
      <w:rPr>
        <w:b/>
        <w:sz w:val="18"/>
      </w:rPr>
      <w:fldChar w:fldCharType="begin"/>
    </w:r>
    <w:r w:rsidRPr="008A313E">
      <w:rPr>
        <w:b/>
        <w:sz w:val="18"/>
      </w:rPr>
      <w:instrText xml:space="preserve"> PAGE  \* MERGEFORMAT </w:instrText>
    </w:r>
    <w:r w:rsidRPr="008A313E">
      <w:rPr>
        <w:b/>
        <w:sz w:val="18"/>
      </w:rPr>
      <w:fldChar w:fldCharType="separate"/>
    </w:r>
    <w:r w:rsidRPr="008A313E">
      <w:rPr>
        <w:b/>
        <w:noProof/>
        <w:sz w:val="18"/>
      </w:rPr>
      <w:t>3</w:t>
    </w:r>
    <w:r w:rsidRPr="008A31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999B" w14:textId="071673AE" w:rsidR="007F20FA" w:rsidRPr="008A313E" w:rsidRDefault="008A313E" w:rsidP="008A313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C69CEDD" wp14:editId="04C732A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22-11010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5D7EC9E" wp14:editId="14221FE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020822    040822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07C3" w14:textId="77777777" w:rsidR="000624C0" w:rsidRPr="00AC3823" w:rsidRDefault="000624C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6EFC6D" w14:textId="77777777" w:rsidR="000624C0" w:rsidRPr="00AC3823" w:rsidRDefault="000624C0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FED8B60" w14:textId="77777777" w:rsidR="000624C0" w:rsidRPr="00AC3823" w:rsidRDefault="000624C0">
      <w:pPr>
        <w:spacing w:line="240" w:lineRule="auto"/>
        <w:rPr>
          <w:sz w:val="2"/>
          <w:szCs w:val="2"/>
        </w:rPr>
      </w:pPr>
    </w:p>
  </w:footnote>
  <w:footnote w:id="2">
    <w:p w14:paraId="5284D77E" w14:textId="7B76DBD3" w:rsidR="008A313E" w:rsidRPr="008A313E" w:rsidRDefault="008A313E">
      <w:pPr>
        <w:pStyle w:val="Notedebasdepage"/>
      </w:pPr>
      <w:r>
        <w:rPr>
          <w:rStyle w:val="Appelnotedebasdep"/>
        </w:rPr>
        <w:tab/>
      </w:r>
      <w:r w:rsidRPr="008A313E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(Sect.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</w:t>
      </w:r>
      <w:r>
        <w:t/>
      </w:r>
      <w:r>
        <w:rPr>
          <w:lang w:val="fr-FR"/>
        </w:rPr>
        <w:t xml:space="preserve"> Le présent document est soumis en vertu de ce mandat.</w:t>
      </w:r>
      <w:r>
        <w: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F124" w14:textId="6713BE43" w:rsidR="008A313E" w:rsidRPr="008A313E" w:rsidRDefault="008A313E">
    <w:pPr>
      <w:pStyle w:val="En-tte"/>
    </w:pPr>
    <w:fldSimple w:instr=" TITLE  \* MERGEFORMAT ">
      <w:r>
        <w:t>ECE/TRANS/WP.29/GRVA/2022/25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74B2" w14:textId="79DA4B26" w:rsidR="008A313E" w:rsidRPr="008A313E" w:rsidRDefault="008A313E" w:rsidP="008A313E">
    <w:pPr>
      <w:pStyle w:val="En-tte"/>
      <w:jc w:val="right"/>
    </w:pPr>
    <w:fldSimple w:instr=" TITLE  \* MERGEFORMAT ">
      <w:r>
        <w:t>ECE/TRANS/WP.29/GRVA/2022/25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C0"/>
    <w:rsid w:val="00017F94"/>
    <w:rsid w:val="00023842"/>
    <w:rsid w:val="000334F9"/>
    <w:rsid w:val="00045FEB"/>
    <w:rsid w:val="000624C0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13474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31CEE"/>
    <w:rsid w:val="007A62E6"/>
    <w:rsid w:val="007F20FA"/>
    <w:rsid w:val="0080684C"/>
    <w:rsid w:val="00871C75"/>
    <w:rsid w:val="008776DC"/>
    <w:rsid w:val="008A313E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241DB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5688A9"/>
  <w15:docId w15:val="{8E6919FC-0174-49EB-9D8B-D85EF6B3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4_GR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625</Words>
  <Characters>3515</Characters>
  <Application>Microsoft Office Word</Application>
  <DocSecurity>0</DocSecurity>
  <Lines>72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ECE/TRANS/WP.29/GRVA/2022/25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2022-08-04T06:39:00Z</dcterms:created>
  <dcterms:modified xsi:type="dcterms:W3CDTF">2022-08-04T06:39:00Z</dcterms:modified>
</cp:coreProperties>
</file>