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88FA084" w14:textId="77777777" w:rsidTr="00C97039">
        <w:trPr>
          <w:trHeight w:hRule="exact" w:val="851"/>
        </w:trPr>
        <w:tc>
          <w:tcPr>
            <w:tcW w:w="1276" w:type="dxa"/>
            <w:tcBorders>
              <w:bottom w:val="single" w:sz="4" w:space="0" w:color="auto"/>
            </w:tcBorders>
          </w:tcPr>
          <w:p w14:paraId="2807E441" w14:textId="77777777" w:rsidR="00F35BAF" w:rsidRPr="00DB58B5" w:rsidRDefault="00F35BAF" w:rsidP="00C97039"/>
        </w:tc>
        <w:tc>
          <w:tcPr>
            <w:tcW w:w="2268" w:type="dxa"/>
            <w:tcBorders>
              <w:bottom w:val="single" w:sz="4" w:space="0" w:color="auto"/>
            </w:tcBorders>
            <w:vAlign w:val="bottom"/>
          </w:tcPr>
          <w:p w14:paraId="51CC4AD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560AB12" w14:textId="32D152D6" w:rsidR="00F35BAF" w:rsidRPr="00DB58B5" w:rsidRDefault="001C0E28" w:rsidP="001C0E28">
            <w:pPr>
              <w:jc w:val="right"/>
            </w:pPr>
            <w:r w:rsidRPr="001C0E28">
              <w:rPr>
                <w:sz w:val="40"/>
              </w:rPr>
              <w:t>ECE</w:t>
            </w:r>
            <w:r>
              <w:t>/TRANS/WP.29/GRVA/2022/22</w:t>
            </w:r>
          </w:p>
        </w:tc>
      </w:tr>
      <w:tr w:rsidR="00F35BAF" w:rsidRPr="00DB58B5" w14:paraId="5F194375" w14:textId="77777777" w:rsidTr="00C97039">
        <w:trPr>
          <w:trHeight w:hRule="exact" w:val="2835"/>
        </w:trPr>
        <w:tc>
          <w:tcPr>
            <w:tcW w:w="1276" w:type="dxa"/>
            <w:tcBorders>
              <w:top w:val="single" w:sz="4" w:space="0" w:color="auto"/>
              <w:bottom w:val="single" w:sz="12" w:space="0" w:color="auto"/>
            </w:tcBorders>
          </w:tcPr>
          <w:p w14:paraId="090DACAB" w14:textId="77777777" w:rsidR="00F35BAF" w:rsidRPr="00DB58B5" w:rsidRDefault="00F35BAF" w:rsidP="00C97039">
            <w:pPr>
              <w:spacing w:before="120"/>
              <w:jc w:val="center"/>
            </w:pPr>
            <w:r>
              <w:rPr>
                <w:noProof/>
                <w:lang w:eastAsia="fr-CH"/>
              </w:rPr>
              <w:drawing>
                <wp:inline distT="0" distB="0" distL="0" distR="0" wp14:anchorId="16BB131D" wp14:editId="21D90D0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CA5BEE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3AC3C6A" w14:textId="77777777" w:rsidR="00F35BAF" w:rsidRDefault="001C0E28" w:rsidP="00C97039">
            <w:pPr>
              <w:spacing w:before="240"/>
            </w:pPr>
            <w:r>
              <w:t>Distr. générale</w:t>
            </w:r>
          </w:p>
          <w:p w14:paraId="0E14ACE0" w14:textId="3279215D" w:rsidR="001C0E28" w:rsidRDefault="001C0E28" w:rsidP="001C0E28">
            <w:pPr>
              <w:spacing w:line="240" w:lineRule="exact"/>
            </w:pPr>
            <w:r>
              <w:t>14 juillet 2022</w:t>
            </w:r>
          </w:p>
          <w:p w14:paraId="07682EA1" w14:textId="77777777" w:rsidR="001C0E28" w:rsidRDefault="001C0E28" w:rsidP="001C0E28">
            <w:pPr>
              <w:spacing w:line="240" w:lineRule="exact"/>
            </w:pPr>
            <w:r>
              <w:t>Français</w:t>
            </w:r>
          </w:p>
          <w:p w14:paraId="2D98EF18" w14:textId="18145D7E" w:rsidR="001C0E28" w:rsidRPr="00DB58B5" w:rsidRDefault="001C0E28" w:rsidP="001C0E28">
            <w:pPr>
              <w:spacing w:line="240" w:lineRule="exact"/>
            </w:pPr>
            <w:r>
              <w:t>Original : anglais</w:t>
            </w:r>
          </w:p>
        </w:tc>
      </w:tr>
    </w:tbl>
    <w:p w14:paraId="673DD43D" w14:textId="77777777" w:rsidR="007F20FA" w:rsidRPr="000312C0" w:rsidRDefault="007F20FA" w:rsidP="007F20FA">
      <w:pPr>
        <w:spacing w:before="120"/>
        <w:rPr>
          <w:b/>
          <w:sz w:val="28"/>
          <w:szCs w:val="28"/>
        </w:rPr>
      </w:pPr>
      <w:r w:rsidRPr="000312C0">
        <w:rPr>
          <w:b/>
          <w:sz w:val="28"/>
          <w:szCs w:val="28"/>
        </w:rPr>
        <w:t>Commission économique pour l’Europe</w:t>
      </w:r>
    </w:p>
    <w:p w14:paraId="4A042836" w14:textId="77777777" w:rsidR="007F20FA" w:rsidRDefault="007F20FA" w:rsidP="007F20FA">
      <w:pPr>
        <w:spacing w:before="120"/>
        <w:rPr>
          <w:sz w:val="28"/>
          <w:szCs w:val="28"/>
        </w:rPr>
      </w:pPr>
      <w:r w:rsidRPr="00685843">
        <w:rPr>
          <w:sz w:val="28"/>
          <w:szCs w:val="28"/>
        </w:rPr>
        <w:t>Comité des transports intérieurs</w:t>
      </w:r>
    </w:p>
    <w:p w14:paraId="0E4EEBF8" w14:textId="23395386" w:rsidR="001C0E28" w:rsidRDefault="001C0E28"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04BF42CB" w14:textId="77777777" w:rsidR="001C0E28" w:rsidRDefault="001C0E28"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387213FA" w14:textId="242AE3A7" w:rsidR="001C0E28" w:rsidRDefault="001C0E28" w:rsidP="00A3029F">
      <w:pPr>
        <w:spacing w:before="120"/>
        <w:rPr>
          <w:b/>
        </w:rPr>
      </w:pPr>
      <w:r>
        <w:rPr>
          <w:b/>
        </w:rPr>
        <w:t>Quatorzième session</w:t>
      </w:r>
    </w:p>
    <w:p w14:paraId="0B753A6F" w14:textId="2782C116" w:rsidR="001C0E28" w:rsidRDefault="001C0E28" w:rsidP="00A3029F">
      <w:pPr>
        <w:spacing w:line="240" w:lineRule="exact"/>
      </w:pPr>
      <w:r>
        <w:t>Genève, 26-30 septembre 2022</w:t>
      </w:r>
    </w:p>
    <w:p w14:paraId="2B4F7B48" w14:textId="7781A737" w:rsidR="001C0E28" w:rsidRDefault="001C0E28" w:rsidP="00A3029F">
      <w:pPr>
        <w:spacing w:line="240" w:lineRule="exact"/>
      </w:pPr>
      <w:r>
        <w:t>Point 7 de l’ordre du jour provisoire</w:t>
      </w:r>
    </w:p>
    <w:p w14:paraId="139635FE" w14:textId="77777777" w:rsidR="001C0E28" w:rsidRPr="000A3E65" w:rsidRDefault="001C0E28" w:rsidP="001C0E28">
      <w:pPr>
        <w:rPr>
          <w:b/>
          <w:bCs/>
        </w:rPr>
      </w:pPr>
      <w:r>
        <w:rPr>
          <w:b/>
          <w:bCs/>
          <w:lang w:val="fr-FR"/>
        </w:rPr>
        <w:t>Systèmes actifs de freinage d’urgence</w:t>
      </w:r>
    </w:p>
    <w:p w14:paraId="04A217A3" w14:textId="30679C93" w:rsidR="001C0E28" w:rsidRPr="000A3E65" w:rsidRDefault="001C0E28" w:rsidP="001C0E28">
      <w:pPr>
        <w:pStyle w:val="HChG"/>
        <w:rPr>
          <w:lang w:val="fr-FR"/>
        </w:rPr>
      </w:pPr>
      <w:r>
        <w:rPr>
          <w:lang w:val="fr-FR"/>
        </w:rPr>
        <w:tab/>
      </w:r>
      <w:r>
        <w:rPr>
          <w:lang w:val="fr-FR"/>
        </w:rPr>
        <w:tab/>
        <w:t>Proposition de complément à la série</w:t>
      </w:r>
      <w:r>
        <w:rPr>
          <w:lang w:val="fr-FR"/>
        </w:rPr>
        <w:t> </w:t>
      </w:r>
      <w:r>
        <w:rPr>
          <w:lang w:val="fr-FR"/>
        </w:rPr>
        <w:t xml:space="preserve">02 d’amendements au </w:t>
      </w:r>
      <w:r w:rsidRPr="001C0E28">
        <w:rPr>
          <w:spacing w:val="-3"/>
          <w:lang w:val="fr-FR"/>
        </w:rPr>
        <w:t>Règlement ONU n</w:t>
      </w:r>
      <w:r w:rsidRPr="001C0E28">
        <w:rPr>
          <w:spacing w:val="-3"/>
          <w:vertAlign w:val="superscript"/>
          <w:lang w:val="fr-FR"/>
        </w:rPr>
        <w:t>o</w:t>
      </w:r>
      <w:r w:rsidRPr="001C0E28">
        <w:rPr>
          <w:spacing w:val="-3"/>
          <w:lang w:val="fr-FR"/>
        </w:rPr>
        <w:t> </w:t>
      </w:r>
      <w:r w:rsidRPr="001C0E28">
        <w:rPr>
          <w:spacing w:val="-3"/>
          <w:lang w:val="fr-FR"/>
        </w:rPr>
        <w:t>131 (Système actif de freinage d’urgence)</w:t>
      </w:r>
    </w:p>
    <w:p w14:paraId="59716AD5" w14:textId="3A1117E7" w:rsidR="001C0E28" w:rsidRPr="000A3E65" w:rsidRDefault="001C0E28" w:rsidP="001C0E28">
      <w:pPr>
        <w:pStyle w:val="H1G"/>
        <w:rPr>
          <w:szCs w:val="24"/>
          <w:lang w:val="fr-FR"/>
        </w:rPr>
      </w:pPr>
      <w:r>
        <w:rPr>
          <w:lang w:val="fr-FR"/>
        </w:rPr>
        <w:tab/>
      </w:r>
      <w:r>
        <w:rPr>
          <w:lang w:val="fr-FR"/>
        </w:rPr>
        <w:tab/>
        <w:t xml:space="preserve">Communication des experts du groupe de travail informel des systèmes </w:t>
      </w:r>
      <w:r w:rsidRPr="001C0E28">
        <w:rPr>
          <w:spacing w:val="-2"/>
          <w:lang w:val="fr-FR"/>
        </w:rPr>
        <w:t>actifs de freinage d’urgence pour les véhicules utilitaires lourds (groupe</w:t>
      </w:r>
      <w:r>
        <w:rPr>
          <w:lang w:val="fr-FR"/>
        </w:rPr>
        <w:t xml:space="preserve"> AEBS pour les véhicules utilitaires lourds)</w:t>
      </w:r>
      <w:r w:rsidRPr="001C0E28">
        <w:rPr>
          <w:rStyle w:val="Appelnotedebasdep"/>
          <w:b w:val="0"/>
          <w:bCs/>
          <w:sz w:val="20"/>
          <w:vertAlign w:val="baseline"/>
        </w:rPr>
        <w:footnoteReference w:customMarkFollows="1" w:id="2"/>
        <w:t>*</w:t>
      </w:r>
    </w:p>
    <w:p w14:paraId="3ED99914" w14:textId="70C51AA0" w:rsidR="001C0E28" w:rsidRDefault="001C0E28" w:rsidP="001C0E28">
      <w:pPr>
        <w:pStyle w:val="SingleTxtG"/>
        <w:ind w:firstLine="567"/>
        <w:rPr>
          <w:lang w:val="fr-FR"/>
        </w:rPr>
      </w:pPr>
      <w:bookmarkStart w:id="0" w:name="_Hlk102054740"/>
      <w:r>
        <w:rPr>
          <w:lang w:val="fr-FR"/>
        </w:rPr>
        <w:t xml:space="preserve">Le texte ci-après a été établi par les experts du groupe de travail informel des systèmes actifs de freinage d’urgence pour les véhicules utilitaires lourds en vue d’aligner une partie du Règlement sur les paragraphes correspondants du Règlement ONU </w:t>
      </w:r>
      <w:r>
        <w:rPr>
          <w:lang w:val="fr-FR"/>
        </w:rPr>
        <w:t>n</w:t>
      </w:r>
      <w:r w:rsidRPr="001C0E28">
        <w:rPr>
          <w:vertAlign w:val="superscript"/>
          <w:lang w:val="fr-FR"/>
        </w:rPr>
        <w:t>o</w:t>
      </w:r>
      <w:r>
        <w:rPr>
          <w:lang w:val="fr-FR"/>
        </w:rPr>
        <w:t> 152 et de clarifier l’interprétation des dispositions relatives à la fiabilité des systèmes lorsque celles-ci s’appliquent aux véhicules utilitaires lourds. Les modifications qu’il est proposé d’apporter au texte actuel du Règlement figurent en caractères gras pour les ajouts et biffés pour les suppressions.</w:t>
      </w:r>
      <w:bookmarkEnd w:id="0"/>
    </w:p>
    <w:p w14:paraId="62C7B1CC" w14:textId="77A65011" w:rsidR="001C0E28" w:rsidRDefault="001C0E28" w:rsidP="001C0E28">
      <w:pPr>
        <w:rPr>
          <w:lang w:val="fr-FR"/>
        </w:rPr>
      </w:pPr>
      <w:r>
        <w:rPr>
          <w:lang w:val="fr-FR"/>
        </w:rPr>
        <w:br w:type="page"/>
      </w:r>
    </w:p>
    <w:p w14:paraId="1C9ECD9C" w14:textId="593D00E9" w:rsidR="001C0E28" w:rsidRPr="00F600A8" w:rsidRDefault="001C0E28" w:rsidP="001C0E28">
      <w:pPr>
        <w:pStyle w:val="HChG"/>
        <w:rPr>
          <w:rFonts w:asciiTheme="majorBidi" w:hAnsiTheme="majorBidi" w:cstheme="majorBidi"/>
        </w:rPr>
      </w:pPr>
      <w:r>
        <w:rPr>
          <w:lang w:val="fr-FR"/>
        </w:rPr>
        <w:lastRenderedPageBreak/>
        <w:tab/>
        <w:t>I.</w:t>
      </w:r>
      <w:r>
        <w:rPr>
          <w:lang w:val="fr-FR"/>
        </w:rPr>
        <w:tab/>
      </w:r>
      <w:r>
        <w:rPr>
          <w:lang w:val="fr-FR"/>
        </w:rPr>
        <w:t>Proposition</w:t>
      </w:r>
    </w:p>
    <w:p w14:paraId="1342ADBF" w14:textId="4931FA49" w:rsidR="001C0E28" w:rsidRPr="005F391A" w:rsidRDefault="001C0E28" w:rsidP="001C0E28">
      <w:pPr>
        <w:pStyle w:val="SingleTxtG"/>
        <w:rPr>
          <w:rFonts w:asciiTheme="majorBidi" w:hAnsiTheme="majorBidi"/>
        </w:rPr>
      </w:pPr>
      <w:r w:rsidRPr="001C0E28">
        <w:rPr>
          <w:i/>
          <w:iCs/>
          <w:lang w:val="fr-FR"/>
        </w:rPr>
        <w:t>Paragraphe 5.4.1.1</w:t>
      </w:r>
      <w:r w:rsidRPr="005F391A">
        <w:rPr>
          <w:lang w:val="fr-FR"/>
        </w:rPr>
        <w:t>, lire</w:t>
      </w:r>
      <w:r>
        <w:rPr>
          <w:lang w:val="fr-FR"/>
        </w:rPr>
        <w:t> </w:t>
      </w:r>
      <w:r w:rsidRPr="005F391A">
        <w:rPr>
          <w:lang w:val="fr-FR"/>
        </w:rPr>
        <w:t>:</w:t>
      </w:r>
    </w:p>
    <w:p w14:paraId="00102439" w14:textId="364213A6" w:rsidR="001C0E28" w:rsidRPr="000A3E65" w:rsidRDefault="001C0E28" w:rsidP="001C0E28">
      <w:pPr>
        <w:pStyle w:val="SingleTxtG"/>
        <w:ind w:left="2268" w:hanging="1134"/>
        <w:rPr>
          <w:rFonts w:asciiTheme="majorBidi" w:hAnsiTheme="majorBidi"/>
          <w:lang w:val="fr-FR"/>
        </w:rPr>
      </w:pPr>
      <w:r>
        <w:rPr>
          <w:lang w:val="fr-FR"/>
        </w:rPr>
        <w:t>« </w:t>
      </w:r>
      <w:r w:rsidRPr="005F391A">
        <w:rPr>
          <w:lang w:val="fr-FR"/>
        </w:rPr>
        <w:t>5.4.1.1</w:t>
      </w:r>
      <w:r w:rsidRPr="005F391A">
        <w:rPr>
          <w:lang w:val="fr-FR"/>
        </w:rPr>
        <w:tab/>
        <w:t>La fonction AEBS doit être réactivée automatiquement chaque fois que le contacteur de mise en marche du véhicule est actionné</w:t>
      </w:r>
      <w:r>
        <w:rPr>
          <w:lang w:val="fr-FR"/>
        </w:rPr>
        <w:t>,</w:t>
      </w:r>
      <w:r w:rsidRPr="005F391A">
        <w:rPr>
          <w:lang w:val="fr-FR"/>
        </w:rPr>
        <w:t xml:space="preserve"> à chaque nouveau </w:t>
      </w:r>
      <w:r w:rsidRPr="005F391A">
        <w:rPr>
          <w:b/>
          <w:bCs/>
          <w:lang w:val="fr-FR"/>
        </w:rPr>
        <w:t>démarrage du moteur</w:t>
      </w:r>
      <w:r w:rsidRPr="005F391A">
        <w:rPr>
          <w:lang w:val="fr-FR"/>
        </w:rPr>
        <w:t xml:space="preserve">. </w:t>
      </w:r>
      <w:r w:rsidRPr="005F391A">
        <w:rPr>
          <w:b/>
          <w:bCs/>
          <w:lang w:val="fr-FR"/>
        </w:rPr>
        <w:t>Cette prescription n</w:t>
      </w:r>
      <w:r>
        <w:rPr>
          <w:b/>
          <w:bCs/>
          <w:lang w:val="fr-FR"/>
        </w:rPr>
        <w:t>’</w:t>
      </w:r>
      <w:r w:rsidRPr="005F391A">
        <w:rPr>
          <w:b/>
          <w:bCs/>
          <w:lang w:val="fr-FR"/>
        </w:rPr>
        <w:t>est pas applicable aux redémarrages automatiques du moteur liés, par exemple, au fonctionnement d</w:t>
      </w:r>
      <w:r>
        <w:rPr>
          <w:b/>
          <w:bCs/>
          <w:lang w:val="fr-FR"/>
        </w:rPr>
        <w:t>’</w:t>
      </w:r>
      <w:r w:rsidRPr="005F391A">
        <w:rPr>
          <w:b/>
          <w:bCs/>
          <w:lang w:val="fr-FR"/>
        </w:rPr>
        <w:t>un système arrêt-démarrage automatique.</w:t>
      </w:r>
      <w:r>
        <w:rPr>
          <w:lang w:val="fr-FR"/>
        </w:rPr>
        <w:t> »</w:t>
      </w:r>
      <w:r>
        <w:rPr>
          <w:lang w:val="fr-FR"/>
        </w:rPr>
        <w:t>.</w:t>
      </w:r>
    </w:p>
    <w:p w14:paraId="064A5C27" w14:textId="6BF1BFEA" w:rsidR="001C0E28" w:rsidRPr="000A3E65" w:rsidRDefault="001C0E28" w:rsidP="001C0E28">
      <w:pPr>
        <w:pStyle w:val="SingleTxtG"/>
        <w:rPr>
          <w:rFonts w:asciiTheme="majorBidi" w:hAnsiTheme="majorBidi"/>
          <w:lang w:val="fr-FR"/>
        </w:rPr>
      </w:pPr>
      <w:r w:rsidRPr="001C0E28">
        <w:rPr>
          <w:i/>
          <w:iCs/>
          <w:lang w:val="fr-FR"/>
        </w:rPr>
        <w:t>Paragraphe 6.9</w:t>
      </w:r>
      <w:r>
        <w:rPr>
          <w:lang w:val="fr-FR"/>
        </w:rPr>
        <w:t>, lire (insérer un renvoi à  la nouvelle note de bas de page</w:t>
      </w:r>
      <w:r>
        <w:rPr>
          <w:lang w:val="fr-FR"/>
        </w:rPr>
        <w:t> </w:t>
      </w:r>
      <w:r>
        <w:rPr>
          <w:lang w:val="fr-FR"/>
        </w:rPr>
        <w:t>5 et ajouter  la nouvelle note de bas de page</w:t>
      </w:r>
      <w:r>
        <w:rPr>
          <w:lang w:val="fr-FR"/>
        </w:rPr>
        <w:t> </w:t>
      </w:r>
      <w:r>
        <w:rPr>
          <w:lang w:val="fr-FR"/>
        </w:rPr>
        <w:t>5) :</w:t>
      </w:r>
    </w:p>
    <w:p w14:paraId="6DBDF58B" w14:textId="038185F8" w:rsidR="001C0E28" w:rsidRPr="000A3E65" w:rsidRDefault="001C0E28" w:rsidP="001C0E28">
      <w:pPr>
        <w:pStyle w:val="SingleTxtG"/>
        <w:ind w:left="2268" w:hanging="1134"/>
        <w:rPr>
          <w:rFonts w:asciiTheme="majorBidi" w:hAnsiTheme="majorBidi"/>
          <w:lang w:val="fr-FR"/>
        </w:rPr>
      </w:pPr>
      <w:r>
        <w:rPr>
          <w:lang w:val="fr-FR"/>
        </w:rPr>
        <w:t>« </w:t>
      </w:r>
      <w:r>
        <w:rPr>
          <w:lang w:val="fr-FR"/>
        </w:rPr>
        <w:t>6.9</w:t>
      </w:r>
      <w:r>
        <w:rPr>
          <w:lang w:val="fr-FR"/>
        </w:rPr>
        <w:tab/>
        <w:t>Fiabilité du système</w:t>
      </w:r>
    </w:p>
    <w:p w14:paraId="2B81D7E4" w14:textId="343A3B98" w:rsidR="001C0E28" w:rsidRPr="000A3E65" w:rsidRDefault="001C0E28" w:rsidP="001C0E28">
      <w:pPr>
        <w:pStyle w:val="SingleTxtG"/>
        <w:ind w:left="2268" w:hanging="1134"/>
        <w:rPr>
          <w:lang w:val="fr-FR"/>
        </w:rPr>
      </w:pPr>
      <w:r>
        <w:rPr>
          <w:lang w:val="fr-FR"/>
        </w:rPr>
        <w:t>6.9.1</w:t>
      </w:r>
      <w:r>
        <w:rPr>
          <w:lang w:val="fr-FR"/>
        </w:rPr>
        <w:tab/>
        <w:t>Chacun des scénarios d’essai ci-dessus, sachant qu’un scénario correspond à une configuration donnée, pour une vitesse du véhicule mis à l’essai, pour une configuration de charge et pour une catégorie (véhicule contre véhicule, véhicule contre piéton), doit être appliqué deux fois. Si l’un de ces deux essais ne satisfait pas aux prescriptions, il peut être répété une fois. Un scénario d’essai est jugé satisfaisant si deux essais répondent aux prescriptions. Le</w:t>
      </w:r>
      <w:r>
        <w:rPr>
          <w:lang w:val="fr-FR"/>
        </w:rPr>
        <w:t> </w:t>
      </w:r>
      <w:r>
        <w:rPr>
          <w:lang w:val="fr-FR"/>
        </w:rPr>
        <w:t>nombre d’essais insatisfaisants dans une catégorie ne doit pas dépasser</w:t>
      </w:r>
      <w:r>
        <w:rPr>
          <w:lang w:val="fr-FR"/>
        </w:rPr>
        <w:t> </w:t>
      </w:r>
      <w:r>
        <w:rPr>
          <w:lang w:val="fr-FR"/>
        </w:rPr>
        <w:t>:</w:t>
      </w:r>
    </w:p>
    <w:p w14:paraId="655E5064" w14:textId="77777777" w:rsidR="001C0E28" w:rsidRDefault="001C0E28" w:rsidP="001C0E28">
      <w:pPr>
        <w:pStyle w:val="SingleTxtG"/>
        <w:ind w:left="2835" w:hanging="567"/>
        <w:rPr>
          <w:color w:val="000000"/>
          <w:sz w:val="22"/>
          <w:szCs w:val="22"/>
          <w:lang w:val="fr-FR"/>
        </w:rPr>
      </w:pPr>
      <w:r>
        <w:rPr>
          <w:lang w:val="fr-FR"/>
        </w:rPr>
        <w:t>a)</w:t>
      </w:r>
      <w:r>
        <w:rPr>
          <w:lang w:val="fr-FR"/>
        </w:rPr>
        <w:tab/>
        <w:t>10,0</w:t>
      </w:r>
      <w:r>
        <w:rPr>
          <w:lang w:val="fr-FR"/>
        </w:rPr>
        <w:t> </w:t>
      </w:r>
      <w:r>
        <w:rPr>
          <w:lang w:val="fr-FR"/>
        </w:rPr>
        <w:t>% du nombre d’essais effectués pour les scénarios véhicule contre véhicule</w:t>
      </w:r>
      <w:r>
        <w:rPr>
          <w:lang w:val="fr-FR"/>
        </w:rPr>
        <w:t> </w:t>
      </w:r>
      <w:r>
        <w:rPr>
          <w:lang w:val="fr-FR"/>
        </w:rPr>
        <w:t>; et</w:t>
      </w:r>
    </w:p>
    <w:p w14:paraId="62A53E9F" w14:textId="4276DF38" w:rsidR="001C0E28" w:rsidRPr="001C0E28" w:rsidRDefault="001C0E28" w:rsidP="001C0E28">
      <w:pPr>
        <w:pStyle w:val="SingleTxtG"/>
        <w:ind w:left="2835" w:hanging="567"/>
        <w:rPr>
          <w:color w:val="000000"/>
          <w:sz w:val="22"/>
          <w:szCs w:val="22"/>
          <w:lang w:val="fr-FR"/>
        </w:rPr>
      </w:pPr>
      <w:r>
        <w:rPr>
          <w:lang w:val="fr-FR"/>
        </w:rPr>
        <w:t>b)</w:t>
      </w:r>
      <w:r>
        <w:rPr>
          <w:lang w:val="fr-FR"/>
        </w:rPr>
        <w:tab/>
        <w:t>10,0 % du nombre d’essais effectués pour les scénarios véhicule contre piéton</w:t>
      </w:r>
      <w:r>
        <w:rPr>
          <w:vertAlign w:val="superscript"/>
          <w:lang w:val="fr-FR"/>
        </w:rPr>
        <w:t>5</w:t>
      </w:r>
      <w:r>
        <w:rPr>
          <w:lang w:val="fr-FR"/>
        </w:rPr>
        <w:t>.</w:t>
      </w:r>
    </w:p>
    <w:p w14:paraId="78603971" w14:textId="33EB52C9" w:rsidR="001C0E28" w:rsidRPr="000A3E65" w:rsidRDefault="001C0E28" w:rsidP="001C0E28">
      <w:pPr>
        <w:pStyle w:val="SingleTxtG"/>
        <w:ind w:left="2835" w:hanging="567"/>
        <w:rPr>
          <w:lang w:val="fr-FR"/>
        </w:rPr>
      </w:pPr>
      <w:r>
        <w:rPr>
          <w:b/>
          <w:bCs/>
          <w:vertAlign w:val="superscript"/>
          <w:lang w:val="fr-FR"/>
        </w:rPr>
        <w:t>5</w:t>
      </w:r>
      <w:r>
        <w:rPr>
          <w:lang w:val="fr-FR"/>
        </w:rPr>
        <w:tab/>
      </w:r>
      <w:r>
        <w:rPr>
          <w:b/>
          <w:bCs/>
          <w:lang w:val="fr-FR"/>
        </w:rPr>
        <w:t>Au cas où le nombre total d’essais dans une catégorie serait encore inférieur à 10, des essais supplémentaires  pour cette catégorie peuvent être effectués, y</w:t>
      </w:r>
      <w:r>
        <w:rPr>
          <w:b/>
          <w:bCs/>
          <w:lang w:val="fr-FR"/>
        </w:rPr>
        <w:t> </w:t>
      </w:r>
      <w:r>
        <w:rPr>
          <w:b/>
          <w:bCs/>
          <w:lang w:val="fr-FR"/>
        </w:rPr>
        <w:t>compris le scénario d’essai insatisfaisant, pour atteindre un nombre total d’essais au moins égal à 10.</w:t>
      </w:r>
    </w:p>
    <w:p w14:paraId="1E88A288" w14:textId="3CDC9B48" w:rsidR="001C0E28" w:rsidRPr="000A3E65" w:rsidRDefault="001C0E28" w:rsidP="001C0E28">
      <w:pPr>
        <w:pStyle w:val="SingleTxtG"/>
        <w:ind w:left="2268" w:hanging="1134"/>
        <w:rPr>
          <w:lang w:val="fr-FR"/>
        </w:rPr>
      </w:pPr>
      <w:r>
        <w:rPr>
          <w:lang w:val="fr-FR"/>
        </w:rPr>
        <w:t>6.9.2</w:t>
      </w:r>
      <w:r>
        <w:rPr>
          <w:lang w:val="fr-FR"/>
        </w:rPr>
        <w:tab/>
        <w:t>La cause principale de tout essai insatisfaisant doit être analysée avec le service technique et annexée au procès-verbal d’essai. Si la cause principale ne peut être imputée à une variation des paramètres de la configuration d’essai, le service technique peut effectuer des essais à toute autre vitesse dans la plage de vitesses définie aux paragraphes</w:t>
      </w:r>
      <w:r>
        <w:rPr>
          <w:lang w:val="fr-FR"/>
        </w:rPr>
        <w:t> </w:t>
      </w:r>
      <w:r>
        <w:rPr>
          <w:lang w:val="fr-FR"/>
        </w:rPr>
        <w:t>5.2.1.3, 5.2.1.4, 5.2.2.3 ou 5.2.2.4, selon le</w:t>
      </w:r>
      <w:r>
        <w:rPr>
          <w:lang w:val="fr-FR"/>
        </w:rPr>
        <w:t> </w:t>
      </w:r>
      <w:r>
        <w:rPr>
          <w:lang w:val="fr-FR"/>
        </w:rPr>
        <w:t>cas.</w:t>
      </w:r>
    </w:p>
    <w:p w14:paraId="7AD00642" w14:textId="7F51CE96" w:rsidR="001C0E28" w:rsidRPr="000A3E65" w:rsidRDefault="001C0E28" w:rsidP="001C0E28">
      <w:pPr>
        <w:pStyle w:val="SingleTxtG"/>
        <w:ind w:left="2268" w:hanging="1134"/>
        <w:rPr>
          <w:lang w:val="fr-FR"/>
        </w:rPr>
      </w:pPr>
      <w:r>
        <w:rPr>
          <w:lang w:val="fr-FR"/>
        </w:rPr>
        <w:t>6.9.3</w:t>
      </w:r>
      <w:r>
        <w:rPr>
          <w:lang w:val="fr-FR"/>
        </w:rPr>
        <w:tab/>
        <w:t>Dans le cadre de l’évaluation visée à l’annexe</w:t>
      </w:r>
      <w:r>
        <w:rPr>
          <w:lang w:val="fr-FR"/>
        </w:rPr>
        <w:t> </w:t>
      </w:r>
      <w:r>
        <w:rPr>
          <w:lang w:val="fr-FR"/>
        </w:rPr>
        <w:t>3, le constructeur doit démontrer, dossier à l’appui, que le système peut satisfaire aux prescriptions.</w:t>
      </w:r>
      <w:r>
        <w:rPr>
          <w:lang w:val="fr-FR"/>
        </w:rPr>
        <w:t> »</w:t>
      </w:r>
      <w:r>
        <w:rPr>
          <w:lang w:val="fr-FR"/>
        </w:rPr>
        <w:t>.</w:t>
      </w:r>
    </w:p>
    <w:p w14:paraId="198CFD6D" w14:textId="77777777" w:rsidR="001C0E28" w:rsidRPr="000A3E65" w:rsidRDefault="001C0E28" w:rsidP="001C0E28">
      <w:pPr>
        <w:pStyle w:val="SingleTxtG"/>
        <w:rPr>
          <w:rFonts w:asciiTheme="majorBidi" w:hAnsiTheme="majorBidi"/>
          <w:lang w:val="fr-FR"/>
        </w:rPr>
      </w:pPr>
      <w:r w:rsidRPr="001C0E28">
        <w:rPr>
          <w:i/>
          <w:iCs/>
          <w:lang w:val="fr-FR"/>
        </w:rPr>
        <w:t>Les notes de bas de page suivantes</w:t>
      </w:r>
      <w:r>
        <w:rPr>
          <w:lang w:val="fr-FR"/>
        </w:rPr>
        <w:t xml:space="preserve"> sont renumérotées.</w:t>
      </w:r>
    </w:p>
    <w:p w14:paraId="50E3045B" w14:textId="47528709" w:rsidR="001C0E28" w:rsidRPr="000A3E65" w:rsidRDefault="001C0E28" w:rsidP="001C0E28">
      <w:pPr>
        <w:pStyle w:val="HChG"/>
        <w:rPr>
          <w:rFonts w:asciiTheme="majorBidi" w:eastAsiaTheme="minorEastAsia" w:hAnsiTheme="majorBidi"/>
          <w:lang w:val="fr-FR"/>
        </w:rPr>
      </w:pPr>
      <w:bookmarkStart w:id="1" w:name="_Hlk102056025"/>
      <w:r>
        <w:rPr>
          <w:lang w:val="fr-FR"/>
        </w:rPr>
        <w:tab/>
      </w:r>
      <w:r>
        <w:rPr>
          <w:lang w:val="fr-FR"/>
        </w:rPr>
        <w:t>II.</w:t>
      </w:r>
      <w:r>
        <w:rPr>
          <w:lang w:val="fr-FR"/>
        </w:rPr>
        <w:tab/>
        <w:t>Justification</w:t>
      </w:r>
    </w:p>
    <w:bookmarkEnd w:id="1"/>
    <w:p w14:paraId="302AF505" w14:textId="29368DC0" w:rsidR="001C0E28" w:rsidRPr="000A3E65" w:rsidRDefault="001C0E28" w:rsidP="001C0E28">
      <w:pPr>
        <w:pStyle w:val="SingleTxtG"/>
        <w:rPr>
          <w:lang w:val="fr-FR"/>
        </w:rPr>
      </w:pPr>
      <w:r>
        <w:rPr>
          <w:lang w:val="fr-FR"/>
        </w:rPr>
        <w:t>1.</w:t>
      </w:r>
      <w:r>
        <w:rPr>
          <w:lang w:val="fr-FR"/>
        </w:rPr>
        <w:tab/>
        <w:t>Les modifications proposées pour le paragraphe</w:t>
      </w:r>
      <w:r>
        <w:rPr>
          <w:lang w:val="fr-FR"/>
        </w:rPr>
        <w:t> </w:t>
      </w:r>
      <w:r>
        <w:rPr>
          <w:lang w:val="fr-FR"/>
        </w:rPr>
        <w:t xml:space="preserve">5.4.1.1 (réactivation de l’AEBS) </w:t>
      </w:r>
      <w:r w:rsidRPr="00DA1D80">
        <w:rPr>
          <w:lang w:val="fr-FR"/>
        </w:rPr>
        <w:t>correspondent à un alignement sur le libellé adopté pour le Règlement ONU n</w:t>
      </w:r>
      <w:r w:rsidRPr="001C0E28">
        <w:rPr>
          <w:vertAlign w:val="superscript"/>
          <w:lang w:val="fr-FR"/>
        </w:rPr>
        <w:t>o</w:t>
      </w:r>
      <w:r>
        <w:rPr>
          <w:lang w:val="fr-FR"/>
        </w:rPr>
        <w:t> </w:t>
      </w:r>
      <w:r w:rsidRPr="00DA1D80">
        <w:rPr>
          <w:lang w:val="fr-FR"/>
        </w:rPr>
        <w:t>152 (AEBS pour les véhicules légers)</w:t>
      </w:r>
      <w:r>
        <w:rPr>
          <w:lang w:val="fr-FR"/>
        </w:rPr>
        <w:t>,</w:t>
      </w:r>
      <w:r w:rsidRPr="00DA1D80">
        <w:rPr>
          <w:lang w:val="fr-FR"/>
        </w:rPr>
        <w:t xml:space="preserve"> tel qu</w:t>
      </w:r>
      <w:r>
        <w:rPr>
          <w:lang w:val="fr-FR"/>
        </w:rPr>
        <w:t>’</w:t>
      </w:r>
      <w:r w:rsidRPr="00DA1D80">
        <w:rPr>
          <w:lang w:val="fr-FR"/>
        </w:rPr>
        <w:t xml:space="preserve">il figure dans le document ECE/TRANS/WP.29/2021/142. </w:t>
      </w:r>
      <w:r>
        <w:rPr>
          <w:lang w:val="fr-FR"/>
        </w:rPr>
        <w:t>Sachant qu’i</w:t>
      </w:r>
      <w:r w:rsidRPr="00DA1D80">
        <w:rPr>
          <w:lang w:val="fr-FR"/>
        </w:rPr>
        <w:t>l n</w:t>
      </w:r>
      <w:r>
        <w:rPr>
          <w:lang w:val="fr-FR"/>
        </w:rPr>
        <w:t>’</w:t>
      </w:r>
      <w:r w:rsidRPr="00DA1D80">
        <w:rPr>
          <w:lang w:val="fr-FR"/>
        </w:rPr>
        <w:t xml:space="preserve">y a pas de différence de technologie </w:t>
      </w:r>
      <w:r>
        <w:rPr>
          <w:lang w:val="fr-FR"/>
        </w:rPr>
        <w:t xml:space="preserve">pour la </w:t>
      </w:r>
      <w:r w:rsidRPr="00DA1D80">
        <w:rPr>
          <w:lang w:val="fr-FR"/>
        </w:rPr>
        <w:t>désactivation de l</w:t>
      </w:r>
      <w:r>
        <w:rPr>
          <w:lang w:val="fr-FR"/>
        </w:rPr>
        <w:t>’</w:t>
      </w:r>
      <w:r w:rsidRPr="00DA1D80">
        <w:rPr>
          <w:lang w:val="fr-FR"/>
        </w:rPr>
        <w:t>AEBS entre les véhicules légers et les véhicules lourds</w:t>
      </w:r>
      <w:r>
        <w:rPr>
          <w:lang w:val="fr-FR"/>
        </w:rPr>
        <w:t>,</w:t>
      </w:r>
      <w:r w:rsidRPr="00DA1D80">
        <w:rPr>
          <w:lang w:val="fr-FR"/>
        </w:rPr>
        <w:t xml:space="preserve"> le plein alignement des dispositions est par conséquent judicieux. Le groupe AEBS pour les véhicules utilitaires lourds estime en outre que l</w:t>
      </w:r>
      <w:r>
        <w:rPr>
          <w:lang w:val="fr-FR"/>
        </w:rPr>
        <w:t>’</w:t>
      </w:r>
      <w:r w:rsidRPr="00DA1D80">
        <w:rPr>
          <w:lang w:val="fr-FR"/>
        </w:rPr>
        <w:t>alignement sur un texte qui a fait l</w:t>
      </w:r>
      <w:r>
        <w:rPr>
          <w:lang w:val="fr-FR"/>
        </w:rPr>
        <w:t>’</w:t>
      </w:r>
      <w:r w:rsidRPr="00DA1D80">
        <w:rPr>
          <w:lang w:val="fr-FR"/>
        </w:rPr>
        <w:t>objet d</w:t>
      </w:r>
      <w:r>
        <w:rPr>
          <w:lang w:val="fr-FR"/>
        </w:rPr>
        <w:t>’</w:t>
      </w:r>
      <w:r w:rsidRPr="00DA1D80">
        <w:rPr>
          <w:lang w:val="fr-FR"/>
        </w:rPr>
        <w:t>un consensus à la dixième session du GRVA, en mai 2021, favorise l</w:t>
      </w:r>
      <w:r>
        <w:rPr>
          <w:lang w:val="fr-FR"/>
        </w:rPr>
        <w:t>’</w:t>
      </w:r>
      <w:r w:rsidRPr="00DA1D80">
        <w:rPr>
          <w:lang w:val="fr-FR"/>
        </w:rPr>
        <w:t>harmonisation et est bénéfique pour l</w:t>
      </w:r>
      <w:r>
        <w:rPr>
          <w:lang w:val="fr-FR"/>
        </w:rPr>
        <w:t>’</w:t>
      </w:r>
      <w:r w:rsidRPr="00DA1D80">
        <w:rPr>
          <w:lang w:val="fr-FR"/>
        </w:rPr>
        <w:t>ensemble de la communauté.</w:t>
      </w:r>
    </w:p>
    <w:p w14:paraId="425A9363" w14:textId="14B48129" w:rsidR="001C0E28" w:rsidRDefault="001C0E28" w:rsidP="001C0E28">
      <w:pPr>
        <w:pStyle w:val="SingleTxtG"/>
        <w:rPr>
          <w:lang w:val="fr-FR"/>
        </w:rPr>
      </w:pPr>
      <w:r>
        <w:rPr>
          <w:lang w:val="fr-FR"/>
        </w:rPr>
        <w:t>2.</w:t>
      </w:r>
      <w:r>
        <w:rPr>
          <w:lang w:val="fr-FR"/>
        </w:rPr>
        <w:tab/>
        <w:t>L’ajout d’une note de bas de page explicative au paragraphe</w:t>
      </w:r>
      <w:r>
        <w:rPr>
          <w:lang w:val="fr-FR"/>
        </w:rPr>
        <w:t> </w:t>
      </w:r>
      <w:r>
        <w:rPr>
          <w:lang w:val="fr-FR"/>
        </w:rPr>
        <w:t>6.9.1</w:t>
      </w:r>
      <w:r>
        <w:rPr>
          <w:lang w:val="fr-FR"/>
        </w:rPr>
        <w:t> </w:t>
      </w:r>
      <w:r>
        <w:rPr>
          <w:lang w:val="fr-FR"/>
        </w:rPr>
        <w:t xml:space="preserve">b) (Fiabilité du système) permet d’offrir la possibilité d’effectuer des essais supplémentaires lorsqu’un essai se révèle insatisfaisant. Un alignement complet sur le libellé du Règlement ONU </w:t>
      </w:r>
      <w:r w:rsidRPr="00DA1D80">
        <w:rPr>
          <w:lang w:val="fr-FR"/>
        </w:rPr>
        <w:t>n</w:t>
      </w:r>
      <w:r w:rsidRPr="001C0E28">
        <w:rPr>
          <w:vertAlign w:val="superscript"/>
          <w:lang w:val="fr-FR"/>
        </w:rPr>
        <w:t>o</w:t>
      </w:r>
      <w:r>
        <w:rPr>
          <w:lang w:val="fr-FR"/>
        </w:rPr>
        <w:t> </w:t>
      </w:r>
      <w:r w:rsidRPr="00DA1D80">
        <w:rPr>
          <w:lang w:val="fr-FR"/>
        </w:rPr>
        <w:t>152</w:t>
      </w:r>
      <w:r>
        <w:rPr>
          <w:lang w:val="fr-FR"/>
        </w:rPr>
        <w:t xml:space="preserve"> ne serait pas approprié dans ce cas étant donné que le nombre d’essais prévu dans le Règlement ONU </w:t>
      </w:r>
      <w:r w:rsidRPr="00DA1D80">
        <w:rPr>
          <w:lang w:val="fr-FR"/>
        </w:rPr>
        <w:t>n</w:t>
      </w:r>
      <w:r w:rsidRPr="001C0E28">
        <w:rPr>
          <w:vertAlign w:val="superscript"/>
          <w:lang w:val="fr-FR"/>
        </w:rPr>
        <w:t>o</w:t>
      </w:r>
      <w:r>
        <w:rPr>
          <w:lang w:val="fr-FR"/>
        </w:rPr>
        <w:t xml:space="preserve"> 131 tel que révisé est inférieur à celui prévu dans le Règlement </w:t>
      </w:r>
      <w:r w:rsidRPr="00DA1D80">
        <w:rPr>
          <w:lang w:val="fr-FR"/>
        </w:rPr>
        <w:t>n</w:t>
      </w:r>
      <w:r w:rsidRPr="001C0E28">
        <w:rPr>
          <w:vertAlign w:val="superscript"/>
          <w:lang w:val="fr-FR"/>
        </w:rPr>
        <w:t>o</w:t>
      </w:r>
      <w:r>
        <w:rPr>
          <w:lang w:val="fr-FR"/>
        </w:rPr>
        <w:t> </w:t>
      </w:r>
      <w:r w:rsidRPr="00DA1D80">
        <w:rPr>
          <w:lang w:val="fr-FR"/>
        </w:rPr>
        <w:t>152</w:t>
      </w:r>
      <w:r>
        <w:rPr>
          <w:lang w:val="fr-FR"/>
        </w:rPr>
        <w:t xml:space="preserve">. Si l’on ne modifie pas le texte actuel, un seul essai insatisfaisant a pour conséquence immédiate le non-respect du critère de 10 % au maximum d’essais insatisfaisants, compte tenu du faible </w:t>
      </w:r>
      <w:r>
        <w:rPr>
          <w:lang w:val="fr-FR"/>
        </w:rPr>
        <w:lastRenderedPageBreak/>
        <w:t xml:space="preserve">nombre d’essais. Grâce à la note de bas de page, le nombre d’essais autorisés est augmenté, ce qui diminue le </w:t>
      </w:r>
      <w:r>
        <w:rPr>
          <w:lang w:val="fr-FR"/>
        </w:rPr>
        <w:t>« </w:t>
      </w:r>
      <w:r>
        <w:rPr>
          <w:lang w:val="fr-FR"/>
        </w:rPr>
        <w:t>poids</w:t>
      </w:r>
      <w:r>
        <w:rPr>
          <w:lang w:val="fr-FR"/>
        </w:rPr>
        <w:t> »</w:t>
      </w:r>
      <w:r>
        <w:rPr>
          <w:lang w:val="fr-FR"/>
        </w:rPr>
        <w:t xml:space="preserve"> d’un seul essai insatisfaisant et rend les prescriptions plus acceptables. Il convient de noter qu’il s’agit d’une précision ; en effet, le service technique a déjà la possibilité d’effectuer autant d’essais supplémentaires qu’il le juge nécessaire pour évaluer la qualité et la fiabilité du système.</w:t>
      </w:r>
    </w:p>
    <w:p w14:paraId="2088F42F" w14:textId="152A5602" w:rsidR="001C0E28" w:rsidRPr="001C0E28" w:rsidRDefault="001C0E28" w:rsidP="001C0E28">
      <w:pPr>
        <w:pStyle w:val="SingleTxtG"/>
        <w:spacing w:before="240" w:after="0"/>
        <w:jc w:val="center"/>
        <w:rPr>
          <w:u w:val="single"/>
        </w:rPr>
      </w:pPr>
      <w:r>
        <w:rPr>
          <w:u w:val="single"/>
        </w:rPr>
        <w:tab/>
      </w:r>
      <w:r>
        <w:rPr>
          <w:u w:val="single"/>
        </w:rPr>
        <w:tab/>
      </w:r>
      <w:r>
        <w:rPr>
          <w:u w:val="single"/>
        </w:rPr>
        <w:tab/>
      </w:r>
      <w:r>
        <w:rPr>
          <w:u w:val="single"/>
        </w:rPr>
        <w:tab/>
      </w:r>
    </w:p>
    <w:sectPr w:rsidR="001C0E28" w:rsidRPr="001C0E28" w:rsidSect="001C0E2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5BE2C" w14:textId="77777777" w:rsidR="005361FE" w:rsidRDefault="005361FE" w:rsidP="00F95C08">
      <w:pPr>
        <w:spacing w:line="240" w:lineRule="auto"/>
      </w:pPr>
    </w:p>
  </w:endnote>
  <w:endnote w:type="continuationSeparator" w:id="0">
    <w:p w14:paraId="470C3104" w14:textId="77777777" w:rsidR="005361FE" w:rsidRPr="00AC3823" w:rsidRDefault="005361FE" w:rsidP="00AC3823">
      <w:pPr>
        <w:pStyle w:val="Pieddepage"/>
      </w:pPr>
    </w:p>
  </w:endnote>
  <w:endnote w:type="continuationNotice" w:id="1">
    <w:p w14:paraId="4428A1CD" w14:textId="77777777" w:rsidR="005361FE" w:rsidRDefault="005361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593" w14:textId="48F22120" w:rsidR="001C0E28" w:rsidRPr="001C0E28" w:rsidRDefault="001C0E28" w:rsidP="001C0E28">
    <w:pPr>
      <w:pStyle w:val="Pieddepage"/>
      <w:tabs>
        <w:tab w:val="right" w:pos="9638"/>
      </w:tabs>
    </w:pPr>
    <w:r w:rsidRPr="001C0E28">
      <w:rPr>
        <w:b/>
        <w:sz w:val="18"/>
      </w:rPr>
      <w:fldChar w:fldCharType="begin"/>
    </w:r>
    <w:r w:rsidRPr="001C0E28">
      <w:rPr>
        <w:b/>
        <w:sz w:val="18"/>
      </w:rPr>
      <w:instrText xml:space="preserve"> PAGE  \* MERGEFORMAT </w:instrText>
    </w:r>
    <w:r w:rsidRPr="001C0E28">
      <w:rPr>
        <w:b/>
        <w:sz w:val="18"/>
      </w:rPr>
      <w:fldChar w:fldCharType="separate"/>
    </w:r>
    <w:r w:rsidRPr="001C0E28">
      <w:rPr>
        <w:b/>
        <w:noProof/>
        <w:sz w:val="18"/>
      </w:rPr>
      <w:t>2</w:t>
    </w:r>
    <w:r w:rsidRPr="001C0E28">
      <w:rPr>
        <w:b/>
        <w:sz w:val="18"/>
      </w:rPr>
      <w:fldChar w:fldCharType="end"/>
    </w:r>
    <w:r>
      <w:rPr>
        <w:b/>
        <w:sz w:val="18"/>
      </w:rPr>
      <w:tab/>
    </w:r>
    <w:r>
      <w:t>GE.22-11028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2A8B" w14:textId="06EFC497" w:rsidR="001C0E28" w:rsidRPr="001C0E28" w:rsidRDefault="001C0E28" w:rsidP="001C0E28">
    <w:pPr>
      <w:pStyle w:val="Pieddepage"/>
      <w:tabs>
        <w:tab w:val="right" w:pos="9638"/>
      </w:tabs>
      <w:rPr>
        <w:b/>
        <w:sz w:val="18"/>
      </w:rPr>
    </w:pPr>
    <w:r>
      <w:t>GE.22-11028</w:t>
    </w:r>
    <w:r>
      <w:tab/>
    </w:r>
    <w:r w:rsidRPr="001C0E28">
      <w:rPr>
        <w:b/>
        <w:sz w:val="18"/>
      </w:rPr>
      <w:fldChar w:fldCharType="begin"/>
    </w:r>
    <w:r w:rsidRPr="001C0E28">
      <w:rPr>
        <w:b/>
        <w:sz w:val="18"/>
      </w:rPr>
      <w:instrText xml:space="preserve"> PAGE  \* MERGEFORMAT </w:instrText>
    </w:r>
    <w:r w:rsidRPr="001C0E28">
      <w:rPr>
        <w:b/>
        <w:sz w:val="18"/>
      </w:rPr>
      <w:fldChar w:fldCharType="separate"/>
    </w:r>
    <w:r w:rsidRPr="001C0E28">
      <w:rPr>
        <w:b/>
        <w:noProof/>
        <w:sz w:val="18"/>
      </w:rPr>
      <w:t>3</w:t>
    </w:r>
    <w:r w:rsidRPr="001C0E2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5777" w14:textId="1FFE92C5" w:rsidR="007F20FA" w:rsidRPr="001C0E28" w:rsidRDefault="001C0E28" w:rsidP="001C0E28">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D10A905" wp14:editId="20D7083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22-11028  (F)</w:t>
    </w:r>
    <w:r>
      <w:rPr>
        <w:noProof/>
        <w:sz w:val="20"/>
      </w:rPr>
      <w:drawing>
        <wp:anchor distT="0" distB="0" distL="114300" distR="114300" simplePos="0" relativeHeight="251660288" behindDoc="0" locked="0" layoutInCell="1" allowOverlap="1" wp14:anchorId="2314C930" wp14:editId="6B3E97D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020822    040822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FEE3" w14:textId="77777777" w:rsidR="005361FE" w:rsidRPr="00AC3823" w:rsidRDefault="005361FE" w:rsidP="00AC3823">
      <w:pPr>
        <w:pStyle w:val="Pieddepage"/>
        <w:tabs>
          <w:tab w:val="right" w:pos="2155"/>
        </w:tabs>
        <w:spacing w:after="80" w:line="240" w:lineRule="atLeast"/>
        <w:ind w:left="680"/>
        <w:rPr>
          <w:u w:val="single"/>
        </w:rPr>
      </w:pPr>
      <w:r>
        <w:rPr>
          <w:u w:val="single"/>
        </w:rPr>
        <w:tab/>
      </w:r>
    </w:p>
  </w:footnote>
  <w:footnote w:type="continuationSeparator" w:id="0">
    <w:p w14:paraId="652E0904" w14:textId="77777777" w:rsidR="005361FE" w:rsidRPr="00AC3823" w:rsidRDefault="005361FE" w:rsidP="00AC3823">
      <w:pPr>
        <w:pStyle w:val="Pieddepage"/>
        <w:tabs>
          <w:tab w:val="right" w:pos="2155"/>
        </w:tabs>
        <w:spacing w:after="80" w:line="240" w:lineRule="atLeast"/>
        <w:ind w:left="680"/>
        <w:rPr>
          <w:u w:val="single"/>
        </w:rPr>
      </w:pPr>
      <w:r>
        <w:rPr>
          <w:u w:val="single"/>
        </w:rPr>
        <w:tab/>
      </w:r>
    </w:p>
  </w:footnote>
  <w:footnote w:type="continuationNotice" w:id="1">
    <w:p w14:paraId="1754B331" w14:textId="77777777" w:rsidR="005361FE" w:rsidRPr="00AC3823" w:rsidRDefault="005361FE">
      <w:pPr>
        <w:spacing w:line="240" w:lineRule="auto"/>
        <w:rPr>
          <w:sz w:val="2"/>
          <w:szCs w:val="2"/>
        </w:rPr>
      </w:pPr>
    </w:p>
  </w:footnote>
  <w:footnote w:id="2">
    <w:p w14:paraId="3CCEBD07" w14:textId="478F7993" w:rsidR="001C0E28" w:rsidRPr="001C0E28" w:rsidRDefault="001C0E28">
      <w:pPr>
        <w:pStyle w:val="Notedebasdepage"/>
      </w:pPr>
      <w:r>
        <w:rPr>
          <w:rStyle w:val="Appelnotedebasdep"/>
        </w:rPr>
        <w:tab/>
      </w:r>
      <w:r w:rsidRPr="001C0E28">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A12D" w14:textId="243B65AD" w:rsidR="001C0E28" w:rsidRPr="001C0E28" w:rsidRDefault="001C0E28">
    <w:pPr>
      <w:pStyle w:val="En-tte"/>
    </w:pPr>
    <w:fldSimple w:instr=" TITLE  \* MERGEFORMAT ">
      <w:r>
        <w:t>ECE/TRANS/WP.29/GRVA/2022/22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BA1" w14:textId="443B4D0B" w:rsidR="001C0E28" w:rsidRPr="001C0E28" w:rsidRDefault="001C0E28" w:rsidP="001C0E28">
    <w:pPr>
      <w:pStyle w:val="En-tte"/>
      <w:jc w:val="right"/>
    </w:pPr>
    <w:fldSimple w:instr=" TITLE  \* MERGEFORMAT ">
      <w:r>
        <w:t>ECE/TRANS/WP.29/GRVA/2022/22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FE"/>
    <w:rsid w:val="00017F94"/>
    <w:rsid w:val="00023842"/>
    <w:rsid w:val="000334F9"/>
    <w:rsid w:val="00045FEB"/>
    <w:rsid w:val="0007796D"/>
    <w:rsid w:val="000B7790"/>
    <w:rsid w:val="00111F2F"/>
    <w:rsid w:val="0014365E"/>
    <w:rsid w:val="00143C66"/>
    <w:rsid w:val="00176178"/>
    <w:rsid w:val="001C0E2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361FE"/>
    <w:rsid w:val="005505B7"/>
    <w:rsid w:val="00573BE5"/>
    <w:rsid w:val="00586ED3"/>
    <w:rsid w:val="00596AA9"/>
    <w:rsid w:val="0071601D"/>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35220"/>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C5A3E3"/>
  <w15:docId w15:val="{F0AFA67B-7C88-4603-A59E-F2295C3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805</Words>
  <Characters>4452</Characters>
  <Application>Microsoft Office Word</Application>
  <DocSecurity>0</DocSecurity>
  <Lines>87</Lines>
  <Paragraphs>33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ECE/TRANS/WP.29/GRVA/2022/22</dc:title>
  <dc:subject/>
  <dc:creator>Marie DESCHAMPS</dc:creator>
  <cp:keywords/>
  <cp:lastModifiedBy>Marie Deschamps</cp:lastModifiedBy>
  <cp:revision>2</cp:revision>
  <cp:lastPrinted>2014-05-14T10:59:00Z</cp:lastPrinted>
  <dcterms:created xsi:type="dcterms:W3CDTF">2022-08-04T06:04:00Z</dcterms:created>
  <dcterms:modified xsi:type="dcterms:W3CDTF">2022-08-04T06:04:00Z</dcterms:modified>
</cp:coreProperties>
</file>