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FD69BC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FD69BC" w:rsidRDefault="00785AC2" w:rsidP="008A4549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FD69BC" w:rsidRDefault="00785AC2" w:rsidP="008A4549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D69BC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2A784127" w:rsidR="00785AC2" w:rsidRPr="00FD69BC" w:rsidRDefault="00785AC2" w:rsidP="008A4549">
            <w:pPr>
              <w:jc w:val="right"/>
              <w:rPr>
                <w:rFonts w:asciiTheme="majorBidi" w:hAnsiTheme="majorBidi" w:cstheme="majorBidi"/>
              </w:rPr>
            </w:pPr>
            <w:r w:rsidRPr="00FD69BC">
              <w:rPr>
                <w:rFonts w:asciiTheme="majorBidi" w:hAnsiTheme="majorBidi" w:cstheme="majorBidi"/>
                <w:sz w:val="40"/>
              </w:rPr>
              <w:t>ECE</w:t>
            </w:r>
            <w:r w:rsidRPr="00FD69BC">
              <w:rPr>
                <w:rFonts w:asciiTheme="majorBidi" w:hAnsiTheme="majorBidi" w:cstheme="majorBidi"/>
              </w:rPr>
              <w:t>/TRANS/WP.29/GRSG/20</w:t>
            </w:r>
            <w:r w:rsidR="002B4811" w:rsidRPr="00FD69BC">
              <w:rPr>
                <w:rFonts w:asciiTheme="majorBidi" w:hAnsiTheme="majorBidi" w:cstheme="majorBidi"/>
              </w:rPr>
              <w:t>2</w:t>
            </w:r>
            <w:r w:rsidR="005D3C17" w:rsidRPr="00FD69BC">
              <w:rPr>
                <w:rFonts w:asciiTheme="majorBidi" w:hAnsiTheme="majorBidi" w:cstheme="majorBidi"/>
                <w:lang w:eastAsia="ja-JP"/>
              </w:rPr>
              <w:t>2</w:t>
            </w:r>
            <w:r w:rsidRPr="00FD69BC">
              <w:rPr>
                <w:rFonts w:asciiTheme="majorBidi" w:hAnsiTheme="majorBidi" w:cstheme="majorBidi"/>
              </w:rPr>
              <w:t>/</w:t>
            </w:r>
            <w:r w:rsidR="00C344D8" w:rsidRPr="00FD69BC">
              <w:rPr>
                <w:rFonts w:asciiTheme="majorBidi" w:hAnsiTheme="majorBidi" w:cstheme="majorBidi"/>
                <w:lang w:eastAsia="ja-JP"/>
              </w:rPr>
              <w:t>30</w:t>
            </w:r>
          </w:p>
        </w:tc>
      </w:tr>
      <w:tr w:rsidR="00785AC2" w:rsidRPr="00FD69BC" w14:paraId="3392CB4C" w14:textId="77777777" w:rsidTr="008A454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FD69BC" w:rsidRDefault="00785AC2" w:rsidP="008A4549">
            <w:pPr>
              <w:spacing w:before="120"/>
              <w:rPr>
                <w:rFonts w:asciiTheme="majorBidi" w:hAnsiTheme="majorBidi" w:cstheme="majorBidi"/>
              </w:rPr>
            </w:pPr>
            <w:r w:rsidRPr="00FD69BC">
              <w:rPr>
                <w:rFonts w:asciiTheme="majorBidi" w:hAnsiTheme="majorBidi" w:cstheme="majorBidi"/>
                <w:noProof/>
                <w:lang w:eastAsia="ja-JP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121DFF48" w:rsidR="00151208" w:rsidRPr="00FD69BC" w:rsidRDefault="00785AC2" w:rsidP="002C0C47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FD69BC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FD69BC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FD69BC" w:rsidRDefault="00785AC2" w:rsidP="008A4549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FD69BC">
              <w:rPr>
                <w:rFonts w:asciiTheme="majorBidi" w:hAnsiTheme="majorBidi" w:cstheme="majorBidi"/>
              </w:rPr>
              <w:t>Distr.: General</w:t>
            </w:r>
          </w:p>
          <w:p w14:paraId="2288E497" w14:textId="72E01003" w:rsidR="00785AC2" w:rsidRPr="00FD69BC" w:rsidRDefault="00272487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 w:rsidRPr="00FD69BC">
              <w:rPr>
                <w:rFonts w:asciiTheme="majorBidi" w:hAnsiTheme="majorBidi" w:cstheme="majorBidi"/>
                <w:lang w:eastAsia="ja-JP"/>
              </w:rPr>
              <w:t>2</w:t>
            </w:r>
            <w:r w:rsidR="00EB3300">
              <w:rPr>
                <w:rFonts w:asciiTheme="majorBidi" w:hAnsiTheme="majorBidi" w:cstheme="majorBidi"/>
                <w:lang w:eastAsia="ja-JP"/>
              </w:rPr>
              <w:t>2</w:t>
            </w:r>
            <w:r w:rsidR="00F877FE" w:rsidRPr="00FD69BC">
              <w:rPr>
                <w:rFonts w:asciiTheme="majorBidi" w:hAnsiTheme="majorBidi" w:cstheme="majorBidi"/>
              </w:rPr>
              <w:t xml:space="preserve"> </w:t>
            </w:r>
            <w:r w:rsidR="00B53DE5" w:rsidRPr="00FD69BC">
              <w:rPr>
                <w:rFonts w:asciiTheme="majorBidi" w:hAnsiTheme="majorBidi" w:cstheme="majorBidi"/>
                <w:lang w:eastAsia="ja-JP"/>
              </w:rPr>
              <w:t>July</w:t>
            </w:r>
            <w:r w:rsidR="00A2214E" w:rsidRPr="00FD69BC">
              <w:rPr>
                <w:rFonts w:asciiTheme="majorBidi" w:hAnsiTheme="majorBidi" w:cstheme="majorBidi"/>
                <w:lang w:eastAsia="ja-JP"/>
              </w:rPr>
              <w:t xml:space="preserve"> 202</w:t>
            </w:r>
            <w:r w:rsidR="00B53DE5" w:rsidRPr="00FD69BC">
              <w:rPr>
                <w:rFonts w:asciiTheme="majorBidi" w:hAnsiTheme="majorBidi" w:cstheme="majorBidi"/>
                <w:lang w:eastAsia="ja-JP"/>
              </w:rPr>
              <w:t>2</w:t>
            </w:r>
          </w:p>
          <w:p w14:paraId="78B62AA7" w14:textId="77777777" w:rsidR="00785AC2" w:rsidRPr="00FD69BC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FD69BC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 w:rsidRPr="00FD69BC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FD69BC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FD69BC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FD69BC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FD69BC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FD69BC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FD69BC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FD69BC" w:rsidRDefault="00F607C0">
      <w:pPr>
        <w:spacing w:before="120"/>
        <w:rPr>
          <w:rFonts w:asciiTheme="majorBidi" w:hAnsiTheme="majorBidi" w:cstheme="majorBidi"/>
          <w:b/>
        </w:rPr>
      </w:pPr>
      <w:r w:rsidRPr="00FD69BC">
        <w:rPr>
          <w:rFonts w:asciiTheme="majorBidi" w:hAnsiTheme="majorBidi" w:cstheme="majorBidi"/>
          <w:b/>
        </w:rPr>
        <w:t>Working Party on General Safety Provisions</w:t>
      </w:r>
    </w:p>
    <w:p w14:paraId="742C4543" w14:textId="4B8AF828" w:rsidR="0082103C" w:rsidRPr="00FD69BC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FD69BC">
        <w:rPr>
          <w:rFonts w:asciiTheme="majorBidi" w:hAnsiTheme="majorBidi" w:cstheme="majorBidi"/>
          <w:b/>
        </w:rPr>
        <w:t>1</w:t>
      </w:r>
      <w:r w:rsidR="00810A73" w:rsidRPr="00FD69BC">
        <w:rPr>
          <w:rFonts w:asciiTheme="majorBidi" w:hAnsiTheme="majorBidi" w:cstheme="majorBidi"/>
          <w:b/>
        </w:rPr>
        <w:t>2</w:t>
      </w:r>
      <w:r w:rsidR="00B53DE5" w:rsidRPr="00FD69BC">
        <w:rPr>
          <w:rFonts w:asciiTheme="majorBidi" w:hAnsiTheme="majorBidi" w:cstheme="majorBidi"/>
          <w:b/>
        </w:rPr>
        <w:t>4</w:t>
      </w:r>
      <w:r w:rsidR="00B53DE5" w:rsidRPr="00FD69BC">
        <w:rPr>
          <w:rFonts w:asciiTheme="majorBidi" w:hAnsiTheme="majorBidi" w:cstheme="majorBidi"/>
          <w:b/>
          <w:lang w:eastAsia="ja-JP"/>
        </w:rPr>
        <w:t>th</w:t>
      </w:r>
      <w:r w:rsidR="00A2214E" w:rsidRPr="00FD69BC">
        <w:rPr>
          <w:rFonts w:asciiTheme="majorBidi" w:hAnsiTheme="majorBidi" w:cstheme="majorBidi"/>
          <w:b/>
          <w:lang w:eastAsia="ja-JP"/>
        </w:rPr>
        <w:t xml:space="preserve"> </w:t>
      </w:r>
      <w:r w:rsidRPr="00FD69BC">
        <w:rPr>
          <w:rFonts w:asciiTheme="majorBidi" w:hAnsiTheme="majorBidi" w:cstheme="majorBidi"/>
          <w:b/>
        </w:rPr>
        <w:t>session</w:t>
      </w:r>
    </w:p>
    <w:p w14:paraId="70536F53" w14:textId="77777777" w:rsidR="002C2C9F" w:rsidRPr="00FD69BC" w:rsidRDefault="002C2C9F" w:rsidP="002C2C9F">
      <w:pPr>
        <w:rPr>
          <w:rFonts w:asciiTheme="majorBidi" w:hAnsiTheme="majorBidi" w:cstheme="majorBidi"/>
        </w:rPr>
      </w:pPr>
      <w:r w:rsidRPr="00FD69BC">
        <w:rPr>
          <w:rFonts w:asciiTheme="majorBidi" w:hAnsiTheme="majorBidi" w:cstheme="majorBidi"/>
        </w:rPr>
        <w:t>Geneva, 11–14 October 2022</w:t>
      </w:r>
    </w:p>
    <w:p w14:paraId="5CD4B858" w14:textId="77777777" w:rsidR="009F71D2" w:rsidRDefault="0082103C" w:rsidP="0082103C">
      <w:pPr>
        <w:rPr>
          <w:b/>
          <w:bCs/>
        </w:rPr>
      </w:pPr>
      <w:r w:rsidRPr="00FD69BC">
        <w:rPr>
          <w:rFonts w:asciiTheme="majorBidi" w:hAnsiTheme="majorBidi" w:cstheme="majorBidi"/>
        </w:rPr>
        <w:t xml:space="preserve">Item </w:t>
      </w:r>
      <w:r w:rsidR="00923AB3" w:rsidRPr="00FD69BC">
        <w:rPr>
          <w:rFonts w:asciiTheme="majorBidi" w:hAnsiTheme="majorBidi" w:cstheme="majorBidi"/>
          <w:lang w:eastAsia="ja-JP"/>
        </w:rPr>
        <w:t xml:space="preserve">4 </w:t>
      </w:r>
      <w:r w:rsidR="00C344D8" w:rsidRPr="00FD69BC">
        <w:rPr>
          <w:rFonts w:asciiTheme="majorBidi" w:hAnsiTheme="majorBidi" w:cstheme="majorBidi"/>
          <w:lang w:eastAsia="ja-JP"/>
        </w:rPr>
        <w:t>(</w:t>
      </w:r>
      <w:r w:rsidR="00923AB3" w:rsidRPr="00FD69BC">
        <w:rPr>
          <w:rFonts w:asciiTheme="majorBidi" w:hAnsiTheme="majorBidi" w:cstheme="majorBidi"/>
          <w:lang w:eastAsia="ja-JP"/>
        </w:rPr>
        <w:t>d</w:t>
      </w:r>
      <w:r w:rsidR="00C344D8" w:rsidRPr="00FD69BC">
        <w:rPr>
          <w:rFonts w:asciiTheme="majorBidi" w:hAnsiTheme="majorBidi" w:cstheme="majorBidi"/>
          <w:lang w:eastAsia="ja-JP"/>
        </w:rPr>
        <w:t>)</w:t>
      </w:r>
      <w:r w:rsidR="00170E8B" w:rsidRPr="00FD69BC">
        <w:rPr>
          <w:rFonts w:asciiTheme="majorBidi" w:hAnsiTheme="majorBidi" w:cstheme="majorBidi"/>
        </w:rPr>
        <w:t xml:space="preserve"> </w:t>
      </w:r>
      <w:r w:rsidRPr="00FD69BC">
        <w:rPr>
          <w:rFonts w:asciiTheme="majorBidi" w:hAnsiTheme="majorBidi" w:cstheme="majorBidi"/>
        </w:rPr>
        <w:t>of the provisional agenda</w:t>
      </w:r>
      <w:r w:rsidR="0033342F" w:rsidRPr="00FD69BC">
        <w:rPr>
          <w:rFonts w:asciiTheme="majorBidi" w:hAnsiTheme="majorBidi" w:cstheme="majorBidi"/>
        </w:rPr>
        <w:br/>
      </w:r>
      <w:r w:rsidR="009F71D2" w:rsidRPr="009F71D2">
        <w:rPr>
          <w:b/>
          <w:bCs/>
        </w:rPr>
        <w:t>Awareness of the Proximity of Vulnerable Road Users:</w:t>
      </w:r>
    </w:p>
    <w:p w14:paraId="3AC72240" w14:textId="66FB96CA" w:rsidR="0082103C" w:rsidRPr="00FD69BC" w:rsidRDefault="0033342F" w:rsidP="0082103C">
      <w:pPr>
        <w:rPr>
          <w:rFonts w:asciiTheme="majorBidi" w:hAnsiTheme="majorBidi" w:cstheme="majorBidi"/>
        </w:rPr>
      </w:pPr>
      <w:r w:rsidRPr="00FD69BC">
        <w:rPr>
          <w:b/>
          <w:bCs/>
        </w:rPr>
        <w:t>UN Regulation No. XXX (</w:t>
      </w:r>
      <w:r w:rsidR="00876D85" w:rsidRPr="00FD69BC">
        <w:rPr>
          <w:b/>
          <w:bCs/>
        </w:rPr>
        <w:t>Vulnerable Road Users Direct Vision</w:t>
      </w:r>
      <w:r w:rsidRPr="00FD69BC">
        <w:rPr>
          <w:b/>
          <w:bCs/>
        </w:rPr>
        <w:t>)</w:t>
      </w:r>
    </w:p>
    <w:p w14:paraId="2074CE97" w14:textId="43E5C470" w:rsidR="00DF5B41" w:rsidRPr="00FD69BC" w:rsidRDefault="002C0C47" w:rsidP="0092022B">
      <w:pPr>
        <w:pStyle w:val="HChG"/>
        <w:jc w:val="both"/>
      </w:pPr>
      <w:r w:rsidRPr="00FD69BC">
        <w:tab/>
      </w:r>
      <w:r w:rsidRPr="00FD69BC">
        <w:tab/>
      </w:r>
      <w:r w:rsidR="00DF5B41" w:rsidRPr="00FD69BC">
        <w:t xml:space="preserve">Proposal for </w:t>
      </w:r>
      <w:r w:rsidR="00FD69BC">
        <w:t>an A</w:t>
      </w:r>
      <w:r w:rsidR="00DF5B41" w:rsidRPr="00FD69BC">
        <w:t xml:space="preserve">mendment to </w:t>
      </w:r>
      <w:r w:rsidR="00FD69BC">
        <w:t>the N</w:t>
      </w:r>
      <w:r w:rsidR="00A22B26" w:rsidRPr="00FD69BC">
        <w:t xml:space="preserve">ew </w:t>
      </w:r>
      <w:r w:rsidR="00DF5B41" w:rsidRPr="00FD69BC">
        <w:t xml:space="preserve">UN Regulation No. </w:t>
      </w:r>
      <w:r w:rsidR="009E4458" w:rsidRPr="00FD69BC">
        <w:t>[</w:t>
      </w:r>
      <w:r w:rsidR="009E4458" w:rsidRPr="00FD69BC">
        <w:rPr>
          <w:lang w:eastAsia="ja-JP"/>
        </w:rPr>
        <w:t>XXX]</w:t>
      </w:r>
      <w:r w:rsidR="00DF5B41" w:rsidRPr="00FD69BC">
        <w:t xml:space="preserve"> (</w:t>
      </w:r>
      <w:r w:rsidR="00876D85" w:rsidRPr="00FD69BC">
        <w:t>Vulnerable Road Users Direct Vision</w:t>
      </w:r>
      <w:r w:rsidR="00A22B26" w:rsidRPr="00FD69BC">
        <w:t>)</w:t>
      </w:r>
    </w:p>
    <w:p w14:paraId="2B381787" w14:textId="76AD56D2" w:rsidR="002E5C78" w:rsidRPr="00FD69BC" w:rsidRDefault="002C0C47" w:rsidP="0092022B">
      <w:pPr>
        <w:pStyle w:val="H1G"/>
        <w:jc w:val="both"/>
      </w:pPr>
      <w:r w:rsidRPr="00FD69BC">
        <w:tab/>
      </w:r>
      <w:r w:rsidRPr="00FD69BC">
        <w:tab/>
      </w:r>
      <w:r w:rsidR="007B4AD8" w:rsidRPr="00FD69BC">
        <w:t xml:space="preserve">Submitted by the expert from </w:t>
      </w:r>
      <w:r w:rsidR="001E6F5C" w:rsidRPr="00FD69BC">
        <w:t>the Informal Working Group on Awareness of Vulnerable Road Users Proximity</w:t>
      </w:r>
      <w:r w:rsidR="001E762C" w:rsidRPr="00FD69BC">
        <w:t xml:space="preserve"> </w:t>
      </w:r>
      <w:r w:rsidR="001E762C" w:rsidRPr="00FD69BC">
        <w:rPr>
          <w:vertAlign w:val="superscript"/>
        </w:rPr>
        <w:footnoteReference w:customMarkFollows="1" w:id="2"/>
        <w:t>*</w:t>
      </w:r>
    </w:p>
    <w:p w14:paraId="2BE18D52" w14:textId="624C3CCD" w:rsidR="00645F5C" w:rsidRPr="00FD69BC" w:rsidRDefault="00044292" w:rsidP="00C344D8">
      <w:pPr>
        <w:pStyle w:val="SingleTxtG"/>
        <w:ind w:left="1138" w:right="1138" w:firstLine="563"/>
      </w:pPr>
      <w:r w:rsidRPr="00FD69BC">
        <w:t>The text was reproduced below was prepared by the experts from the VRU-</w:t>
      </w:r>
      <w:proofErr w:type="spellStart"/>
      <w:r w:rsidRPr="00FD69BC">
        <w:t>Proxi</w:t>
      </w:r>
      <w:proofErr w:type="spellEnd"/>
      <w:r w:rsidRPr="00FD69BC">
        <w:t xml:space="preserve"> Informal Working Group (VRU-</w:t>
      </w:r>
      <w:proofErr w:type="spellStart"/>
      <w:r w:rsidRPr="00FD69BC">
        <w:t>Proxi</w:t>
      </w:r>
      <w:proofErr w:type="spellEnd"/>
      <w:r w:rsidRPr="00FD69BC">
        <w:t xml:space="preserve">) to amend </w:t>
      </w:r>
      <w:r w:rsidR="00A22B26" w:rsidRPr="00FD69BC">
        <w:t>the new U</w:t>
      </w:r>
      <w:r w:rsidRPr="00FD69BC">
        <w:t xml:space="preserve">N Regulation No. </w:t>
      </w:r>
      <w:r w:rsidR="008E07E5" w:rsidRPr="00FD69BC">
        <w:t>[</w:t>
      </w:r>
      <w:r w:rsidR="00575F5A" w:rsidRPr="00FD69BC">
        <w:t>XXX</w:t>
      </w:r>
      <w:r w:rsidR="008E07E5" w:rsidRPr="00FD69BC">
        <w:t>]</w:t>
      </w:r>
      <w:r w:rsidR="00A54562" w:rsidRPr="00FD69BC">
        <w:t xml:space="preserve"> for Direct Vision of Heavy Vehicles</w:t>
      </w:r>
      <w:r w:rsidR="009E7F2B" w:rsidRPr="00FD69BC">
        <w:t xml:space="preserve"> as adopted </w:t>
      </w:r>
      <w:r w:rsidR="005C6068" w:rsidRPr="00FD69BC">
        <w:t>at the 123</w:t>
      </w:r>
      <w:r w:rsidR="005C6068" w:rsidRPr="00FD69BC">
        <w:rPr>
          <w:vertAlign w:val="superscript"/>
        </w:rPr>
        <w:t>rd</w:t>
      </w:r>
      <w:r w:rsidR="005C6068" w:rsidRPr="00FD69BC">
        <w:t xml:space="preserve"> session of the Working Party on General Safety Provisions </w:t>
      </w:r>
      <w:r w:rsidR="00F02FF3" w:rsidRPr="00FD69BC">
        <w:t>(GRSG</w:t>
      </w:r>
      <w:proofErr w:type="gramStart"/>
      <w:r w:rsidR="00F02FF3" w:rsidRPr="00FD69BC">
        <w:t>)(</w:t>
      </w:r>
      <w:proofErr w:type="gramEnd"/>
      <w:r w:rsidR="00F02FF3" w:rsidRPr="00FD69BC">
        <w:t xml:space="preserve">see </w:t>
      </w:r>
      <w:r w:rsidR="00214535" w:rsidRPr="00FD69BC">
        <w:t>ECE/TRANS/WP.29/GRSG/102, para</w:t>
      </w:r>
      <w:r w:rsidR="00FD69BC">
        <w:t>graph</w:t>
      </w:r>
      <w:r w:rsidR="00214535" w:rsidRPr="00FD69BC">
        <w:t xml:space="preserve"> </w:t>
      </w:r>
      <w:r w:rsidR="001757F1" w:rsidRPr="00FD69BC">
        <w:t>28)</w:t>
      </w:r>
      <w:r w:rsidR="00436B20" w:rsidRPr="00FD69BC">
        <w:t>.</w:t>
      </w:r>
      <w:r w:rsidRPr="00FD69BC">
        <w:t xml:space="preserve"> The modifications to the </w:t>
      </w:r>
      <w:r w:rsidR="009E7F2B" w:rsidRPr="00FD69BC">
        <w:t>adopted</w:t>
      </w:r>
      <w:r w:rsidRPr="00FD69BC">
        <w:t xml:space="preserve"> text </w:t>
      </w:r>
      <w:r w:rsidR="000B1C41" w:rsidRPr="00FD69BC">
        <w:t>(</w:t>
      </w:r>
      <w:r w:rsidR="00645F5C" w:rsidRPr="00FD69BC">
        <w:rPr>
          <w:rFonts w:eastAsia="Times New Roman"/>
          <w:lang w:eastAsia="en-GB"/>
        </w:rPr>
        <w:t xml:space="preserve">ECE/TRANS/WP.29/GRSG/2022/7 as amended by annex VII of </w:t>
      </w:r>
      <w:r w:rsidR="00645F5C" w:rsidRPr="00FD69BC">
        <w:t xml:space="preserve">ECE/TRANS/WP.29/GRSG/102) </w:t>
      </w:r>
      <w:r w:rsidRPr="00FD69BC">
        <w:t>are marked in bold for new or strikethrough for deleted characters.</w:t>
      </w:r>
    </w:p>
    <w:p w14:paraId="5B284FB2" w14:textId="77777777" w:rsidR="00645F5C" w:rsidRPr="00FD69BC" w:rsidRDefault="00645F5C">
      <w:pPr>
        <w:suppressAutoHyphens w:val="0"/>
        <w:spacing w:line="240" w:lineRule="auto"/>
      </w:pPr>
      <w:r w:rsidRPr="00FD69BC">
        <w:br w:type="page"/>
      </w:r>
    </w:p>
    <w:p w14:paraId="1B09980F" w14:textId="15F2F4E8" w:rsidR="005E59DF" w:rsidRPr="00FD69BC" w:rsidRDefault="00F5463A" w:rsidP="00F5463A">
      <w:pPr>
        <w:pStyle w:val="HChG"/>
      </w:pPr>
      <w:r w:rsidRPr="00FD69BC">
        <w:lastRenderedPageBreak/>
        <w:tab/>
        <w:t>I.</w:t>
      </w:r>
      <w:r w:rsidRPr="00FD69BC">
        <w:tab/>
        <w:t>Proposal</w:t>
      </w:r>
    </w:p>
    <w:p w14:paraId="5A1B3C4F" w14:textId="7AB5CFD3" w:rsidR="005E59DF" w:rsidRPr="00FD69BC" w:rsidRDefault="005E59DF" w:rsidP="00885656">
      <w:pPr>
        <w:pStyle w:val="SingleTxtG"/>
      </w:pPr>
      <w:r w:rsidRPr="00FD69BC">
        <w:rPr>
          <w:i/>
        </w:rPr>
        <w:t xml:space="preserve">Paragraph </w:t>
      </w:r>
      <w:r w:rsidR="00EB3300">
        <w:rPr>
          <w:i/>
        </w:rPr>
        <w:t>2</w:t>
      </w:r>
      <w:r w:rsidRPr="00FD69BC">
        <w:rPr>
          <w:i/>
        </w:rPr>
        <w:t>.</w:t>
      </w:r>
      <w:r w:rsidR="00EB3300">
        <w:rPr>
          <w:i/>
        </w:rPr>
        <w:t>2</w:t>
      </w:r>
      <w:r w:rsidRPr="00FD69BC">
        <w:rPr>
          <w:i/>
        </w:rPr>
        <w:t>.</w:t>
      </w:r>
      <w:r w:rsidRPr="00FD69BC">
        <w:t>, amend to read:</w:t>
      </w:r>
    </w:p>
    <w:p w14:paraId="77F8C1D4" w14:textId="67B0F690" w:rsidR="002B5A9F" w:rsidRPr="00FD69BC" w:rsidRDefault="005E59DF" w:rsidP="00885656">
      <w:pPr>
        <w:pStyle w:val="SingleTxtG"/>
        <w:ind w:left="2268" w:hanging="1134"/>
      </w:pPr>
      <w:r w:rsidRPr="00FD69BC">
        <w:t>"</w:t>
      </w:r>
      <w:r w:rsidR="002B5A9F" w:rsidRPr="00FD69BC">
        <w:t>2.2</w:t>
      </w:r>
      <w:r w:rsidR="009F71D2">
        <w:t>.</w:t>
      </w:r>
      <w:r w:rsidR="002B5A9F" w:rsidRPr="00FD69BC">
        <w:tab/>
        <w:t>"Vehicle type with regard to its Direct Vision" means vehicles which do not differ in such essential respects as:</w:t>
      </w:r>
    </w:p>
    <w:p w14:paraId="2CBBAD82" w14:textId="3DB5D35A" w:rsidR="002B5A9F" w:rsidRPr="00FD69BC" w:rsidRDefault="002B5A9F" w:rsidP="00885656">
      <w:pPr>
        <w:suppressAutoHyphens w:val="0"/>
        <w:spacing w:before="120" w:after="120" w:line="240" w:lineRule="auto"/>
        <w:ind w:left="2835" w:right="1134" w:hanging="567"/>
        <w:jc w:val="both"/>
      </w:pPr>
      <w:r w:rsidRPr="00FD69BC">
        <w:t>(a)</w:t>
      </w:r>
      <w:r w:rsidRPr="00FD69BC">
        <w:tab/>
        <w:t>The manufacturer's trade name or mark;</w:t>
      </w:r>
    </w:p>
    <w:p w14:paraId="3C0DFB16" w14:textId="1B4488EF" w:rsidR="002B5A9F" w:rsidRPr="00FD69BC" w:rsidRDefault="002B5A9F" w:rsidP="00885656">
      <w:pPr>
        <w:suppressAutoHyphens w:val="0"/>
        <w:spacing w:before="120" w:after="120" w:line="240" w:lineRule="auto"/>
        <w:ind w:left="2835" w:right="1134" w:hanging="567"/>
        <w:jc w:val="both"/>
      </w:pPr>
      <w:r w:rsidRPr="00FD69BC">
        <w:t>(b)</w:t>
      </w:r>
      <w:r w:rsidRPr="00FD69BC">
        <w:tab/>
        <w:t>The dimensions and shapes of the components of the vehicle structure situated in front of a vertical plane positioned 1000mm behind the driver’s eye point</w:t>
      </w:r>
      <w:r w:rsidR="00C0230A">
        <w:t xml:space="preserve"> </w:t>
      </w:r>
      <w:r w:rsidRPr="00FD69BC">
        <w:t xml:space="preserve">(E2) and perpendicular to the longitudinal plane of the </w:t>
      </w:r>
      <w:proofErr w:type="gramStart"/>
      <w:r w:rsidRPr="00FD69BC">
        <w:t>vehicle;</w:t>
      </w:r>
      <w:proofErr w:type="gramEnd"/>
    </w:p>
    <w:p w14:paraId="7FB19FAF" w14:textId="6481FC16" w:rsidR="002B5A9F" w:rsidRPr="00FD69BC" w:rsidRDefault="002B5A9F" w:rsidP="00885656">
      <w:pPr>
        <w:suppressAutoHyphens w:val="0"/>
        <w:spacing w:before="120" w:after="120" w:line="240" w:lineRule="auto"/>
        <w:ind w:left="2835" w:right="1134" w:hanging="567"/>
        <w:jc w:val="both"/>
      </w:pPr>
      <w:r w:rsidRPr="00FD69BC">
        <w:t>(c)</w:t>
      </w:r>
      <w:r w:rsidRPr="00FD69BC">
        <w:tab/>
        <w:t xml:space="preserve">The distance in the X axis between the </w:t>
      </w:r>
      <w:r w:rsidRPr="00FD69BC">
        <w:rPr>
          <w:strike/>
        </w:rPr>
        <w:t xml:space="preserve">centre of the front axle </w:t>
      </w:r>
      <w:r w:rsidR="00D70F41" w:rsidRPr="00FD69BC">
        <w:rPr>
          <w:strike/>
        </w:rPr>
        <w:t>of the vehicle</w:t>
      </w:r>
      <w:r w:rsidR="00D70F41" w:rsidRPr="00FD69BC">
        <w:t xml:space="preserve"> </w:t>
      </w:r>
      <w:r w:rsidRPr="00FD69BC">
        <w:rPr>
          <w:b/>
          <w:bCs/>
        </w:rPr>
        <w:t>Accelerator Heel</w:t>
      </w:r>
      <w:r w:rsidR="00D70F41" w:rsidRPr="00FD69BC">
        <w:rPr>
          <w:b/>
          <w:bCs/>
        </w:rPr>
        <w:t xml:space="preserve"> </w:t>
      </w:r>
      <w:r w:rsidRPr="00FD69BC">
        <w:rPr>
          <w:b/>
          <w:bCs/>
        </w:rPr>
        <w:t>Point</w:t>
      </w:r>
      <w:r w:rsidRPr="00FD69BC">
        <w:t xml:space="preserve"> and the foremost point of the vehicle;</w:t>
      </w:r>
    </w:p>
    <w:p w14:paraId="5C480C49" w14:textId="3B52622A" w:rsidR="002B5A9F" w:rsidRPr="00FD69BC" w:rsidRDefault="002B5A9F" w:rsidP="00885656">
      <w:pPr>
        <w:suppressAutoHyphens w:val="0"/>
        <w:spacing w:before="120" w:after="120" w:line="240" w:lineRule="auto"/>
        <w:ind w:left="2835" w:right="1134" w:hanging="567"/>
        <w:jc w:val="both"/>
      </w:pPr>
      <w:r w:rsidRPr="00FD69BC">
        <w:t>(d)</w:t>
      </w:r>
      <w:r w:rsidRPr="00FD69BC">
        <w:tab/>
        <w:t>The number, size, shape or location of transparent areas of the vehicle situated in front of a vertical plane positioned 1,000 mm behind the driver’s eye point (E2) and perpendicular to the longitudinal plane of the vehicle;</w:t>
      </w:r>
    </w:p>
    <w:p w14:paraId="1DDCA1AB" w14:textId="2F45FFB5" w:rsidR="002B5A9F" w:rsidRPr="00FD69BC" w:rsidRDefault="002B5A9F" w:rsidP="00885656">
      <w:pPr>
        <w:suppressAutoHyphens w:val="0"/>
        <w:spacing w:before="120" w:after="120" w:line="240" w:lineRule="auto"/>
        <w:ind w:left="2835" w:right="1134" w:hanging="567"/>
        <w:jc w:val="both"/>
      </w:pPr>
      <w:r w:rsidRPr="00FD69BC">
        <w:t>(e)</w:t>
      </w:r>
      <w:r w:rsidRPr="00FD69BC">
        <w:tab/>
        <w:t>The direct vision level, as defined by the table in Annex 5, that the vehicle will fall into.</w:t>
      </w:r>
      <w:r w:rsidR="00885656" w:rsidRPr="00FD69BC">
        <w:t>"</w:t>
      </w:r>
    </w:p>
    <w:p w14:paraId="38EDFC92" w14:textId="6EF1A418" w:rsidR="005E59DF" w:rsidRPr="00FD69BC" w:rsidRDefault="009E0861" w:rsidP="009E0861">
      <w:pPr>
        <w:pStyle w:val="HChG"/>
      </w:pPr>
      <w:r w:rsidRPr="00FD69BC">
        <w:tab/>
        <w:t>II.</w:t>
      </w:r>
      <w:r w:rsidRPr="00FD69BC">
        <w:tab/>
      </w:r>
      <w:r w:rsidR="005E59DF" w:rsidRPr="00FD69BC">
        <w:t>Justification</w:t>
      </w:r>
    </w:p>
    <w:p w14:paraId="14DF1601" w14:textId="36A6B549" w:rsidR="009D6211" w:rsidRPr="00FD69BC" w:rsidRDefault="00A213C6" w:rsidP="00EB3300">
      <w:pPr>
        <w:pStyle w:val="SingleTxtG"/>
      </w:pPr>
      <w:r>
        <w:t>T</w:t>
      </w:r>
      <w:r w:rsidR="00F24465" w:rsidRPr="00FD69BC">
        <w:t xml:space="preserve">he testing procedure </w:t>
      </w:r>
      <w:r>
        <w:t xml:space="preserve">has been seen to be </w:t>
      </w:r>
      <w:r w:rsidR="00F24465" w:rsidRPr="00FD69BC">
        <w:t xml:space="preserve">independent of the distance between the front axle and the foremost point of the vehicle. The reference point is the </w:t>
      </w:r>
      <w:r w:rsidR="004878E5" w:rsidRPr="00FD69BC">
        <w:t>Accelerator Heel Point</w:t>
      </w:r>
      <w:r w:rsidR="00BB0FB5" w:rsidRPr="00FD69BC">
        <w:t xml:space="preserve">. </w:t>
      </w:r>
      <w:r w:rsidR="00C0230A">
        <w:t>Further</w:t>
      </w:r>
      <w:r w:rsidR="00C0230A" w:rsidRPr="00FD69BC">
        <w:t xml:space="preserve"> </w:t>
      </w:r>
      <w:r w:rsidR="00BB0FB5" w:rsidRPr="00FD69BC">
        <w:t>explanation</w:t>
      </w:r>
      <w:r w:rsidR="00C0230A">
        <w:t>s</w:t>
      </w:r>
      <w:r w:rsidR="00BB0FB5" w:rsidRPr="00FD69BC">
        <w:t xml:space="preserve"> </w:t>
      </w:r>
      <w:r w:rsidR="00C0230A">
        <w:t>are</w:t>
      </w:r>
      <w:r w:rsidR="00BB0FB5" w:rsidRPr="00FD69BC">
        <w:t xml:space="preserve"> given in </w:t>
      </w:r>
      <w:r w:rsidR="00F24465" w:rsidRPr="00FD69BC">
        <w:t>figures 1 to 3</w:t>
      </w:r>
      <w:r w:rsidR="00BB0FB5" w:rsidRPr="00FD69BC">
        <w:t xml:space="preserve"> below.</w:t>
      </w:r>
    </w:p>
    <w:p w14:paraId="79DD124F" w14:textId="3A2BF3BD" w:rsidR="009D6211" w:rsidRPr="00EB3300" w:rsidRDefault="009D6211" w:rsidP="00EB3300">
      <w:pPr>
        <w:pStyle w:val="SingleTxtG"/>
        <w:jc w:val="left"/>
        <w:rPr>
          <w:b/>
          <w:bCs/>
        </w:rPr>
      </w:pPr>
      <w:r w:rsidRPr="00FD69BC">
        <w:t>Figure 1</w:t>
      </w:r>
    </w:p>
    <w:p w14:paraId="48E5B5D9" w14:textId="33136F49" w:rsidR="001D38EF" w:rsidRPr="00FD69BC" w:rsidRDefault="006F4684" w:rsidP="00EB3300">
      <w:pPr>
        <w:pStyle w:val="SingleTxtG"/>
        <w:ind w:left="0"/>
      </w:pPr>
      <w:r w:rsidRPr="00FD69BC">
        <w:rPr>
          <w:noProof/>
        </w:rPr>
        <w:drawing>
          <wp:inline distT="0" distB="0" distL="0" distR="0" wp14:anchorId="4765253A" wp14:editId="7CEC9E46">
            <wp:extent cx="6120000" cy="3445200"/>
            <wp:effectExtent l="0" t="0" r="0" b="3175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E1FBF" w14:textId="2D2F1E52" w:rsidR="001D38EF" w:rsidRPr="00FD69BC" w:rsidRDefault="001D38EF" w:rsidP="006F4684">
      <w:pPr>
        <w:pStyle w:val="ListParagraph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CAA610D" w14:textId="4F5A001F" w:rsidR="006F4684" w:rsidRPr="00FD69BC" w:rsidRDefault="006F4684" w:rsidP="006F4684">
      <w:pPr>
        <w:pStyle w:val="ListParagraph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786468A2" w14:textId="23552506" w:rsidR="009D6211" w:rsidRPr="00EB3300" w:rsidRDefault="009D6211" w:rsidP="00EB3300">
      <w:pPr>
        <w:pStyle w:val="SingleTxtG"/>
        <w:keepNext/>
        <w:jc w:val="left"/>
        <w:rPr>
          <w:b/>
          <w:bCs/>
        </w:rPr>
      </w:pPr>
      <w:r w:rsidRPr="00FD69BC">
        <w:lastRenderedPageBreak/>
        <w:t>Figure 2</w:t>
      </w:r>
    </w:p>
    <w:p w14:paraId="28D7D0D0" w14:textId="6F8B28E3" w:rsidR="001D38EF" w:rsidRPr="00FD69BC" w:rsidRDefault="00000CC1" w:rsidP="00EB3300">
      <w:pPr>
        <w:pStyle w:val="SingleTxtG"/>
        <w:ind w:left="0"/>
      </w:pPr>
      <w:r w:rsidRPr="00FD69BC">
        <w:rPr>
          <w:noProof/>
        </w:rPr>
        <w:drawing>
          <wp:inline distT="0" distB="0" distL="0" distR="0" wp14:anchorId="48AC797C" wp14:editId="14AE4729">
            <wp:extent cx="6120000" cy="3445200"/>
            <wp:effectExtent l="0" t="0" r="0" b="317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A16CD" w14:textId="147A25DB" w:rsidR="00A213C6" w:rsidRDefault="001D38EF" w:rsidP="00EB3300">
      <w:pPr>
        <w:pStyle w:val="SingleTxtG"/>
      </w:pPr>
      <w:r w:rsidRPr="00FD69BC">
        <w:t xml:space="preserve"> </w:t>
      </w:r>
    </w:p>
    <w:p w14:paraId="172B357E" w14:textId="0473A03F" w:rsidR="001D38EF" w:rsidRPr="00FD69BC" w:rsidRDefault="001D38EF" w:rsidP="00EB3300">
      <w:pPr>
        <w:pStyle w:val="SingleTxtG"/>
        <w:jc w:val="left"/>
      </w:pPr>
      <w:r w:rsidRPr="00FD69BC">
        <w:t xml:space="preserve">Figure </w:t>
      </w:r>
      <w:r w:rsidR="009C4E9C" w:rsidRPr="00FD69BC">
        <w:t>3</w:t>
      </w:r>
    </w:p>
    <w:p w14:paraId="581E8796" w14:textId="77777777" w:rsidR="001D38EF" w:rsidRPr="00FD69BC" w:rsidRDefault="001D38EF" w:rsidP="006F4684">
      <w:pPr>
        <w:contextualSpacing/>
        <w:jc w:val="both"/>
      </w:pPr>
    </w:p>
    <w:p w14:paraId="26447523" w14:textId="699A17B7" w:rsidR="001D38EF" w:rsidRPr="00FD69BC" w:rsidRDefault="003C680E" w:rsidP="00EB3300">
      <w:pPr>
        <w:pStyle w:val="SingleTxtG"/>
        <w:ind w:left="0"/>
      </w:pPr>
      <w:r w:rsidRPr="00FD69BC">
        <w:rPr>
          <w:noProof/>
        </w:rPr>
        <w:drawing>
          <wp:inline distT="0" distB="0" distL="0" distR="0" wp14:anchorId="4506B5EF" wp14:editId="0CF84AE0">
            <wp:extent cx="6120000" cy="3589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4"/>
                    <a:srcRect l="4129"/>
                    <a:stretch/>
                  </pic:blipFill>
                  <pic:spPr bwMode="auto">
                    <a:xfrm>
                      <a:off x="0" y="0"/>
                      <a:ext cx="6120000" cy="35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9708E" w14:textId="77777777" w:rsidR="005E59DF" w:rsidRPr="00FD69BC" w:rsidRDefault="005E59DF" w:rsidP="005E59DF"/>
    <w:p w14:paraId="3D9EEF9D" w14:textId="7AAA273A" w:rsidR="00DA42EC" w:rsidRPr="00FD69BC" w:rsidRDefault="005E59DF" w:rsidP="00081759">
      <w:pPr>
        <w:tabs>
          <w:tab w:val="left" w:pos="3695"/>
        </w:tabs>
      </w:pPr>
      <w:r w:rsidRPr="00FD69BC">
        <w:tab/>
        <w:t>________________</w:t>
      </w:r>
    </w:p>
    <w:sectPr w:rsidR="00DA42EC" w:rsidRPr="00FD69BC" w:rsidSect="002312DA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02BB" w14:textId="77777777" w:rsidR="007950CA" w:rsidRDefault="007950CA" w:rsidP="00203C11">
      <w:pPr>
        <w:spacing w:line="240" w:lineRule="auto"/>
      </w:pPr>
      <w:r>
        <w:separator/>
      </w:r>
    </w:p>
  </w:endnote>
  <w:endnote w:type="continuationSeparator" w:id="0">
    <w:p w14:paraId="41099039" w14:textId="77777777" w:rsidR="007950CA" w:rsidRDefault="007950CA" w:rsidP="00203C11">
      <w:pPr>
        <w:spacing w:line="240" w:lineRule="auto"/>
      </w:pPr>
      <w:r>
        <w:continuationSeparator/>
      </w:r>
    </w:p>
  </w:endnote>
  <w:endnote w:type="continuationNotice" w:id="1">
    <w:p w14:paraId="2CAB6664" w14:textId="77777777" w:rsidR="007950CA" w:rsidRDefault="007950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6D4D1C91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EA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33F" w14:textId="787FEB48" w:rsidR="00503EF5" w:rsidRDefault="00503EF5" w:rsidP="00503EF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77A1D1A" wp14:editId="52BB5A3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3" name="Picture 3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20F0F" w14:textId="694A7AF1" w:rsidR="00503EF5" w:rsidRPr="00503EF5" w:rsidRDefault="00503EF5" w:rsidP="00503EF5">
    <w:pPr>
      <w:pStyle w:val="Footer"/>
      <w:ind w:right="1134"/>
      <w:rPr>
        <w:sz w:val="20"/>
      </w:rPr>
    </w:pPr>
    <w:r>
      <w:rPr>
        <w:sz w:val="20"/>
      </w:rPr>
      <w:t>GE.22-11560(E)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201CBBB" wp14:editId="68E4C28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D880" w14:textId="77777777" w:rsidR="007950CA" w:rsidRPr="00E378AC" w:rsidRDefault="007950CA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E3B881" w14:textId="77777777" w:rsidR="007950CA" w:rsidRDefault="007950CA">
      <w:r>
        <w:continuationSeparator/>
      </w:r>
    </w:p>
  </w:footnote>
  <w:footnote w:type="continuationNotice" w:id="1">
    <w:p w14:paraId="6CD6E78C" w14:textId="77777777" w:rsidR="007950CA" w:rsidRDefault="007950CA">
      <w:pPr>
        <w:spacing w:line="240" w:lineRule="auto"/>
      </w:pPr>
    </w:p>
  </w:footnote>
  <w:footnote w:id="2">
    <w:p w14:paraId="72E8B404" w14:textId="3273F137" w:rsidR="001E762C" w:rsidRPr="00551AD5" w:rsidRDefault="001E762C" w:rsidP="004866F4">
      <w:pPr>
        <w:pStyle w:val="FootnoteText"/>
        <w:spacing w:line="220" w:lineRule="exact"/>
        <w:ind w:left="1135" w:right="1134" w:hanging="284"/>
        <w:rPr>
          <w:rStyle w:val="FootnoteReference"/>
          <w:vertAlign w:val="baseline"/>
        </w:rPr>
      </w:pPr>
      <w:r w:rsidRPr="00452BC5">
        <w:rPr>
          <w:rStyle w:val="FootnoteReference"/>
          <w:color w:val="000000" w:themeColor="text1"/>
        </w:rPr>
        <w:t>*</w:t>
      </w:r>
      <w:r w:rsidRPr="005D1F62">
        <w:rPr>
          <w:color w:val="000000" w:themeColor="text1"/>
          <w:sz w:val="18"/>
          <w:szCs w:val="18"/>
        </w:rPr>
        <w:tab/>
      </w:r>
      <w:r w:rsidRPr="00551AD5">
        <w:rPr>
          <w:rStyle w:val="FootnoteReference"/>
          <w:rFonts w:eastAsia="Times New Roman" w:hint="eastAsia"/>
          <w:szCs w:val="18"/>
          <w:vertAlign w:val="baseline"/>
          <w:lang w:eastAsia="fr-FR"/>
        </w:rPr>
        <w:t xml:space="preserve">In accordance with the programme of work of the Inland Transport Committee for 2022 as outlined in </w:t>
      </w:r>
      <w:r w:rsidR="00FD69BC" w:rsidRPr="00551AD5">
        <w:rPr>
          <w:rStyle w:val="FootnoteReference"/>
          <w:rFonts w:eastAsia="Times New Roman"/>
          <w:szCs w:val="18"/>
          <w:vertAlign w:val="baseline"/>
          <w:lang w:eastAsia="fr-FR"/>
        </w:rPr>
        <w:t xml:space="preserve">the </w:t>
      </w:r>
      <w:r w:rsidRPr="00551AD5">
        <w:rPr>
          <w:rStyle w:val="FootnoteReference"/>
          <w:rFonts w:eastAsia="Times New Roman" w:hint="eastAsia"/>
          <w:szCs w:val="18"/>
          <w:vertAlign w:val="baseline"/>
          <w:lang w:eastAsia="fr-FR"/>
        </w:rPr>
        <w:t>proposed programme budget for 2022 (A/76/6</w:t>
      </w:r>
      <w:r w:rsidR="00EB3300" w:rsidRPr="00551AD5">
        <w:rPr>
          <w:rStyle w:val="FootnoteReference"/>
          <w:rFonts w:eastAsia="Times New Roman"/>
          <w:szCs w:val="18"/>
          <w:vertAlign w:val="baseline"/>
          <w:lang w:eastAsia="fr-FR"/>
        </w:rPr>
        <w:t xml:space="preserve">, </w:t>
      </w:r>
      <w:r w:rsidRPr="00551AD5">
        <w:rPr>
          <w:rStyle w:val="FootnoteReference"/>
          <w:rFonts w:eastAsia="Times New Roman" w:hint="eastAsia"/>
          <w:szCs w:val="18"/>
          <w:vertAlign w:val="baseline"/>
          <w:lang w:eastAsia="fr-FR"/>
        </w:rPr>
        <w:t>part V, sect. 20</w:t>
      </w:r>
      <w:r w:rsidR="00EB3300" w:rsidRPr="00551AD5">
        <w:rPr>
          <w:rStyle w:val="FootnoteReference"/>
          <w:rFonts w:eastAsia="Times New Roman"/>
          <w:szCs w:val="18"/>
          <w:vertAlign w:val="baseline"/>
          <w:lang w:eastAsia="fr-FR"/>
        </w:rPr>
        <w:t>,</w:t>
      </w:r>
      <w:r w:rsidRPr="00551AD5">
        <w:rPr>
          <w:rStyle w:val="FootnoteReference"/>
          <w:rFonts w:eastAsia="Times New Roman" w:hint="eastAsia"/>
          <w:szCs w:val="18"/>
          <w:vertAlign w:val="baseline"/>
          <w:lang w:eastAsia="fr-FR"/>
        </w:rPr>
        <w:t xml:space="preserve"> para. 20.76), the World Forum will develop, harmonize and update UN Regulations in order to enhance the performance of vehicles. The present document is submitted in conformity with that mandate</w:t>
      </w:r>
      <w:r w:rsidRPr="00551AD5">
        <w:rPr>
          <w:rStyle w:val="FootnoteReference"/>
          <w:rFonts w:hint="eastAsia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26F" w14:textId="505D4907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055FA8">
      <w:rPr>
        <w:rFonts w:hint="eastAsia"/>
        <w:lang w:eastAsia="ja-JP"/>
      </w:rPr>
      <w:t>2/</w:t>
    </w:r>
    <w:r w:rsidR="00C344D8">
      <w:rPr>
        <w:lang w:eastAsia="ja-JP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30726DEB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</w:t>
    </w:r>
    <w:r w:rsidR="00055FA8">
      <w:rPr>
        <w:rFonts w:hint="eastAsia"/>
        <w:lang w:eastAsia="ja-JP"/>
      </w:rPr>
      <w:t>2/</w:t>
    </w:r>
    <w:r w:rsidR="00885656">
      <w:rPr>
        <w:lang w:eastAsia="ja-JP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0437"/>
    <w:multiLevelType w:val="hybridMultilevel"/>
    <w:tmpl w:val="69E87E60"/>
    <w:lvl w:ilvl="0" w:tplc="20A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5" w15:restartNumberingAfterBreak="0">
    <w:nsid w:val="35301EC9"/>
    <w:multiLevelType w:val="hybridMultilevel"/>
    <w:tmpl w:val="527A8F18"/>
    <w:lvl w:ilvl="0" w:tplc="E8FA73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1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D220C3"/>
    <w:multiLevelType w:val="hybridMultilevel"/>
    <w:tmpl w:val="13060E6A"/>
    <w:lvl w:ilvl="0" w:tplc="26167F3E">
      <w:start w:val="1"/>
      <w:numFmt w:val="upperRoman"/>
      <w:lvlText w:val="%1."/>
      <w:lvlJc w:val="left"/>
      <w:pPr>
        <w:ind w:left="24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9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9"/>
  </w:num>
  <w:num w:numId="23">
    <w:abstractNumId w:val="19"/>
  </w:num>
  <w:num w:numId="24">
    <w:abstractNumId w:val="27"/>
  </w:num>
  <w:num w:numId="25">
    <w:abstractNumId w:val="26"/>
  </w:num>
  <w:num w:numId="26">
    <w:abstractNumId w:val="16"/>
  </w:num>
  <w:num w:numId="27">
    <w:abstractNumId w:val="23"/>
  </w:num>
  <w:num w:numId="28">
    <w:abstractNumId w:val="18"/>
  </w:num>
  <w:num w:numId="29">
    <w:abstractNumId w:val="20"/>
  </w:num>
  <w:num w:numId="30">
    <w:abstractNumId w:val="17"/>
  </w:num>
  <w:num w:numId="31">
    <w:abstractNumId w:val="21"/>
  </w:num>
  <w:num w:numId="32">
    <w:abstractNumId w:val="11"/>
  </w:num>
  <w:num w:numId="33">
    <w:abstractNumId w:val="14"/>
  </w:num>
  <w:num w:numId="34">
    <w:abstractNumId w:val="22"/>
  </w:num>
  <w:num w:numId="35">
    <w:abstractNumId w:val="24"/>
  </w:num>
  <w:num w:numId="36">
    <w:abstractNumId w:val="13"/>
  </w:num>
  <w:num w:numId="37">
    <w:abstractNumId w:val="25"/>
  </w:num>
  <w:num w:numId="38">
    <w:abstractNumId w:val="15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567"/>
  <w:hyphenationZone w:val="425"/>
  <w:evenAndOddHeaders/>
  <w:characterSpacingControl w:val="doNotCompress"/>
  <w:hdrShapeDefaults>
    <o:shapedefaults v:ext="edit" spidmax="4098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0CC1"/>
    <w:rsid w:val="00001812"/>
    <w:rsid w:val="000107D8"/>
    <w:rsid w:val="00025CF8"/>
    <w:rsid w:val="000313AB"/>
    <w:rsid w:val="000350BE"/>
    <w:rsid w:val="00044292"/>
    <w:rsid w:val="00055FA8"/>
    <w:rsid w:val="00056FD9"/>
    <w:rsid w:val="0005715A"/>
    <w:rsid w:val="00066E26"/>
    <w:rsid w:val="00071608"/>
    <w:rsid w:val="00081759"/>
    <w:rsid w:val="00093C25"/>
    <w:rsid w:val="000A219B"/>
    <w:rsid w:val="000B1C41"/>
    <w:rsid w:val="000B7E36"/>
    <w:rsid w:val="000C356D"/>
    <w:rsid w:val="000C75E6"/>
    <w:rsid w:val="000D367D"/>
    <w:rsid w:val="000E252E"/>
    <w:rsid w:val="00101BEF"/>
    <w:rsid w:val="0011327F"/>
    <w:rsid w:val="00115362"/>
    <w:rsid w:val="00117DC5"/>
    <w:rsid w:val="00120BF2"/>
    <w:rsid w:val="001309F4"/>
    <w:rsid w:val="00151208"/>
    <w:rsid w:val="00156754"/>
    <w:rsid w:val="0016717E"/>
    <w:rsid w:val="0017097E"/>
    <w:rsid w:val="00170E8B"/>
    <w:rsid w:val="00174CAC"/>
    <w:rsid w:val="001757F1"/>
    <w:rsid w:val="00192C4B"/>
    <w:rsid w:val="00197A14"/>
    <w:rsid w:val="00197E0D"/>
    <w:rsid w:val="001A3756"/>
    <w:rsid w:val="001B5B00"/>
    <w:rsid w:val="001C03BD"/>
    <w:rsid w:val="001C3ACD"/>
    <w:rsid w:val="001D0DAC"/>
    <w:rsid w:val="001D38EF"/>
    <w:rsid w:val="001D6C5C"/>
    <w:rsid w:val="001E50C1"/>
    <w:rsid w:val="001E6F5C"/>
    <w:rsid w:val="001E762C"/>
    <w:rsid w:val="001F067D"/>
    <w:rsid w:val="001F1DCE"/>
    <w:rsid w:val="001F27DC"/>
    <w:rsid w:val="00203BAB"/>
    <w:rsid w:val="00203C11"/>
    <w:rsid w:val="00214421"/>
    <w:rsid w:val="00214535"/>
    <w:rsid w:val="00216BF2"/>
    <w:rsid w:val="00222D9F"/>
    <w:rsid w:val="00223E27"/>
    <w:rsid w:val="002312DA"/>
    <w:rsid w:val="00242021"/>
    <w:rsid w:val="002474FC"/>
    <w:rsid w:val="00253068"/>
    <w:rsid w:val="00254D5C"/>
    <w:rsid w:val="00255851"/>
    <w:rsid w:val="00255A96"/>
    <w:rsid w:val="00265779"/>
    <w:rsid w:val="00272487"/>
    <w:rsid w:val="0027542D"/>
    <w:rsid w:val="002879CA"/>
    <w:rsid w:val="00295EEE"/>
    <w:rsid w:val="002B3BEA"/>
    <w:rsid w:val="002B4811"/>
    <w:rsid w:val="002B5A9F"/>
    <w:rsid w:val="002C0C47"/>
    <w:rsid w:val="002C2C9F"/>
    <w:rsid w:val="002D24E5"/>
    <w:rsid w:val="002E1A58"/>
    <w:rsid w:val="002E3A07"/>
    <w:rsid w:val="002E5C78"/>
    <w:rsid w:val="002E6B62"/>
    <w:rsid w:val="0031013E"/>
    <w:rsid w:val="00321351"/>
    <w:rsid w:val="00323083"/>
    <w:rsid w:val="00326F61"/>
    <w:rsid w:val="003303C9"/>
    <w:rsid w:val="0033342F"/>
    <w:rsid w:val="00340A6E"/>
    <w:rsid w:val="00340ADC"/>
    <w:rsid w:val="00343F08"/>
    <w:rsid w:val="00351879"/>
    <w:rsid w:val="00363633"/>
    <w:rsid w:val="00363C7A"/>
    <w:rsid w:val="003668EB"/>
    <w:rsid w:val="00372C05"/>
    <w:rsid w:val="00377777"/>
    <w:rsid w:val="003828E4"/>
    <w:rsid w:val="00386259"/>
    <w:rsid w:val="003866DA"/>
    <w:rsid w:val="0039598B"/>
    <w:rsid w:val="00395AF4"/>
    <w:rsid w:val="00397754"/>
    <w:rsid w:val="003A4A40"/>
    <w:rsid w:val="003C10A9"/>
    <w:rsid w:val="003C680E"/>
    <w:rsid w:val="003C7D56"/>
    <w:rsid w:val="003D7EF1"/>
    <w:rsid w:val="003E46C0"/>
    <w:rsid w:val="003F6A1F"/>
    <w:rsid w:val="003F6F21"/>
    <w:rsid w:val="0040340A"/>
    <w:rsid w:val="0040382E"/>
    <w:rsid w:val="00411DA6"/>
    <w:rsid w:val="00416C08"/>
    <w:rsid w:val="004310B1"/>
    <w:rsid w:val="00432AB5"/>
    <w:rsid w:val="00436A7E"/>
    <w:rsid w:val="00436B20"/>
    <w:rsid w:val="00443D8B"/>
    <w:rsid w:val="00454729"/>
    <w:rsid w:val="00461D8F"/>
    <w:rsid w:val="00482B36"/>
    <w:rsid w:val="004866F4"/>
    <w:rsid w:val="004878E5"/>
    <w:rsid w:val="004A29E9"/>
    <w:rsid w:val="004C01D3"/>
    <w:rsid w:val="004C7EC4"/>
    <w:rsid w:val="004D0240"/>
    <w:rsid w:val="004D0435"/>
    <w:rsid w:val="004D133E"/>
    <w:rsid w:val="004D3868"/>
    <w:rsid w:val="004D4317"/>
    <w:rsid w:val="004D5A4F"/>
    <w:rsid w:val="004E1C7E"/>
    <w:rsid w:val="004E39C6"/>
    <w:rsid w:val="004E652D"/>
    <w:rsid w:val="004F2445"/>
    <w:rsid w:val="00501AE7"/>
    <w:rsid w:val="00502847"/>
    <w:rsid w:val="00503EF5"/>
    <w:rsid w:val="00504ACC"/>
    <w:rsid w:val="00541748"/>
    <w:rsid w:val="0054299C"/>
    <w:rsid w:val="00547077"/>
    <w:rsid w:val="00551AD5"/>
    <w:rsid w:val="005750C8"/>
    <w:rsid w:val="00575F5A"/>
    <w:rsid w:val="005762BC"/>
    <w:rsid w:val="00577F18"/>
    <w:rsid w:val="00592DED"/>
    <w:rsid w:val="0059330F"/>
    <w:rsid w:val="005A393A"/>
    <w:rsid w:val="005A39FD"/>
    <w:rsid w:val="005A4DB7"/>
    <w:rsid w:val="005B07E6"/>
    <w:rsid w:val="005B3E3F"/>
    <w:rsid w:val="005B6C32"/>
    <w:rsid w:val="005C38F3"/>
    <w:rsid w:val="005C6068"/>
    <w:rsid w:val="005D0473"/>
    <w:rsid w:val="005D1F62"/>
    <w:rsid w:val="005D37CC"/>
    <w:rsid w:val="005D3C17"/>
    <w:rsid w:val="005D69EF"/>
    <w:rsid w:val="005E59DF"/>
    <w:rsid w:val="006007D4"/>
    <w:rsid w:val="00602464"/>
    <w:rsid w:val="0060374F"/>
    <w:rsid w:val="00603B01"/>
    <w:rsid w:val="00605F2E"/>
    <w:rsid w:val="00606343"/>
    <w:rsid w:val="0062604B"/>
    <w:rsid w:val="00627026"/>
    <w:rsid w:val="006321A9"/>
    <w:rsid w:val="00645F5C"/>
    <w:rsid w:val="0065651D"/>
    <w:rsid w:val="0068126D"/>
    <w:rsid w:val="00686461"/>
    <w:rsid w:val="00696EE7"/>
    <w:rsid w:val="006A2B1F"/>
    <w:rsid w:val="006B40F3"/>
    <w:rsid w:val="006C2F16"/>
    <w:rsid w:val="006D2651"/>
    <w:rsid w:val="006F13D9"/>
    <w:rsid w:val="006F2B2E"/>
    <w:rsid w:val="006F4684"/>
    <w:rsid w:val="006F4C48"/>
    <w:rsid w:val="006F6664"/>
    <w:rsid w:val="00700741"/>
    <w:rsid w:val="007021CC"/>
    <w:rsid w:val="00714027"/>
    <w:rsid w:val="00717F9C"/>
    <w:rsid w:val="00723B3A"/>
    <w:rsid w:val="00741F61"/>
    <w:rsid w:val="00750D10"/>
    <w:rsid w:val="00750E06"/>
    <w:rsid w:val="0078308E"/>
    <w:rsid w:val="00785AC2"/>
    <w:rsid w:val="007950CA"/>
    <w:rsid w:val="007B4AD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68D2"/>
    <w:rsid w:val="008058D9"/>
    <w:rsid w:val="00810A73"/>
    <w:rsid w:val="00813236"/>
    <w:rsid w:val="008162AE"/>
    <w:rsid w:val="0082103C"/>
    <w:rsid w:val="00831DAA"/>
    <w:rsid w:val="00840DF3"/>
    <w:rsid w:val="008432E0"/>
    <w:rsid w:val="0084718D"/>
    <w:rsid w:val="00851340"/>
    <w:rsid w:val="00851740"/>
    <w:rsid w:val="00852CAE"/>
    <w:rsid w:val="00862068"/>
    <w:rsid w:val="00864117"/>
    <w:rsid w:val="008647A4"/>
    <w:rsid w:val="00873DD3"/>
    <w:rsid w:val="00874127"/>
    <w:rsid w:val="00875329"/>
    <w:rsid w:val="00876D85"/>
    <w:rsid w:val="0088312E"/>
    <w:rsid w:val="00885656"/>
    <w:rsid w:val="00890C66"/>
    <w:rsid w:val="00891C12"/>
    <w:rsid w:val="008A4549"/>
    <w:rsid w:val="008B5987"/>
    <w:rsid w:val="008D28DC"/>
    <w:rsid w:val="008D5A13"/>
    <w:rsid w:val="008E07E5"/>
    <w:rsid w:val="008F1276"/>
    <w:rsid w:val="008F3F56"/>
    <w:rsid w:val="00915571"/>
    <w:rsid w:val="0092022B"/>
    <w:rsid w:val="00923AB3"/>
    <w:rsid w:val="0092617C"/>
    <w:rsid w:val="00926B71"/>
    <w:rsid w:val="00933439"/>
    <w:rsid w:val="00941811"/>
    <w:rsid w:val="009523F1"/>
    <w:rsid w:val="00955848"/>
    <w:rsid w:val="0097132E"/>
    <w:rsid w:val="00973A7E"/>
    <w:rsid w:val="009A2543"/>
    <w:rsid w:val="009B0B1C"/>
    <w:rsid w:val="009B1D25"/>
    <w:rsid w:val="009B279C"/>
    <w:rsid w:val="009B4427"/>
    <w:rsid w:val="009B55B4"/>
    <w:rsid w:val="009B6B25"/>
    <w:rsid w:val="009C2EAF"/>
    <w:rsid w:val="009C403A"/>
    <w:rsid w:val="009C4E9C"/>
    <w:rsid w:val="009C5365"/>
    <w:rsid w:val="009C681F"/>
    <w:rsid w:val="009D0DA6"/>
    <w:rsid w:val="009D6211"/>
    <w:rsid w:val="009E0861"/>
    <w:rsid w:val="009E1190"/>
    <w:rsid w:val="009E4458"/>
    <w:rsid w:val="009E646F"/>
    <w:rsid w:val="009E6A52"/>
    <w:rsid w:val="009E7F2B"/>
    <w:rsid w:val="009F71D2"/>
    <w:rsid w:val="00A04921"/>
    <w:rsid w:val="00A06818"/>
    <w:rsid w:val="00A06F32"/>
    <w:rsid w:val="00A11034"/>
    <w:rsid w:val="00A1240F"/>
    <w:rsid w:val="00A14AE5"/>
    <w:rsid w:val="00A213C6"/>
    <w:rsid w:val="00A21BD6"/>
    <w:rsid w:val="00A2214E"/>
    <w:rsid w:val="00A22B26"/>
    <w:rsid w:val="00A240E8"/>
    <w:rsid w:val="00A30A47"/>
    <w:rsid w:val="00A31792"/>
    <w:rsid w:val="00A333A6"/>
    <w:rsid w:val="00A35240"/>
    <w:rsid w:val="00A40BF6"/>
    <w:rsid w:val="00A540DB"/>
    <w:rsid w:val="00A54562"/>
    <w:rsid w:val="00A83E8D"/>
    <w:rsid w:val="00A968BD"/>
    <w:rsid w:val="00AA28F4"/>
    <w:rsid w:val="00AA6F27"/>
    <w:rsid w:val="00AA7959"/>
    <w:rsid w:val="00AC4428"/>
    <w:rsid w:val="00AD4908"/>
    <w:rsid w:val="00AD58C9"/>
    <w:rsid w:val="00AD7A91"/>
    <w:rsid w:val="00AE23A3"/>
    <w:rsid w:val="00AE439A"/>
    <w:rsid w:val="00AE6268"/>
    <w:rsid w:val="00AE6E78"/>
    <w:rsid w:val="00AF54A0"/>
    <w:rsid w:val="00AF702D"/>
    <w:rsid w:val="00B00785"/>
    <w:rsid w:val="00B10910"/>
    <w:rsid w:val="00B22616"/>
    <w:rsid w:val="00B477C3"/>
    <w:rsid w:val="00B47A63"/>
    <w:rsid w:val="00B53DE5"/>
    <w:rsid w:val="00B641B7"/>
    <w:rsid w:val="00B72022"/>
    <w:rsid w:val="00B724F9"/>
    <w:rsid w:val="00B77E7A"/>
    <w:rsid w:val="00B82ED8"/>
    <w:rsid w:val="00B9350C"/>
    <w:rsid w:val="00BA2AF9"/>
    <w:rsid w:val="00BA51DC"/>
    <w:rsid w:val="00BA5A6C"/>
    <w:rsid w:val="00BB0FB5"/>
    <w:rsid w:val="00BE257A"/>
    <w:rsid w:val="00BE40B1"/>
    <w:rsid w:val="00BE7A0C"/>
    <w:rsid w:val="00BF7CB6"/>
    <w:rsid w:val="00C0230A"/>
    <w:rsid w:val="00C026FB"/>
    <w:rsid w:val="00C03188"/>
    <w:rsid w:val="00C04036"/>
    <w:rsid w:val="00C05EAD"/>
    <w:rsid w:val="00C121DB"/>
    <w:rsid w:val="00C174CE"/>
    <w:rsid w:val="00C344D8"/>
    <w:rsid w:val="00C40355"/>
    <w:rsid w:val="00C41001"/>
    <w:rsid w:val="00C45436"/>
    <w:rsid w:val="00C539CE"/>
    <w:rsid w:val="00C61D52"/>
    <w:rsid w:val="00C74127"/>
    <w:rsid w:val="00C756B1"/>
    <w:rsid w:val="00C77684"/>
    <w:rsid w:val="00C97203"/>
    <w:rsid w:val="00CA2168"/>
    <w:rsid w:val="00CD1564"/>
    <w:rsid w:val="00CD29FA"/>
    <w:rsid w:val="00CF3016"/>
    <w:rsid w:val="00CF59E5"/>
    <w:rsid w:val="00CF5AE2"/>
    <w:rsid w:val="00CF6DD0"/>
    <w:rsid w:val="00D01EAC"/>
    <w:rsid w:val="00D06F91"/>
    <w:rsid w:val="00D25ADF"/>
    <w:rsid w:val="00D26521"/>
    <w:rsid w:val="00D55DBE"/>
    <w:rsid w:val="00D70F41"/>
    <w:rsid w:val="00D71217"/>
    <w:rsid w:val="00D7196E"/>
    <w:rsid w:val="00D7493A"/>
    <w:rsid w:val="00D82442"/>
    <w:rsid w:val="00D84DB0"/>
    <w:rsid w:val="00D87149"/>
    <w:rsid w:val="00D8788E"/>
    <w:rsid w:val="00D87F6B"/>
    <w:rsid w:val="00D9262A"/>
    <w:rsid w:val="00D93D8E"/>
    <w:rsid w:val="00D97F19"/>
    <w:rsid w:val="00DA42EC"/>
    <w:rsid w:val="00DB7AD1"/>
    <w:rsid w:val="00DC0D2A"/>
    <w:rsid w:val="00DC3EA1"/>
    <w:rsid w:val="00DC6A9F"/>
    <w:rsid w:val="00DF0E34"/>
    <w:rsid w:val="00DF5B41"/>
    <w:rsid w:val="00E00D92"/>
    <w:rsid w:val="00E01D68"/>
    <w:rsid w:val="00E20B39"/>
    <w:rsid w:val="00E24FB7"/>
    <w:rsid w:val="00E25EA4"/>
    <w:rsid w:val="00E3089E"/>
    <w:rsid w:val="00E378AC"/>
    <w:rsid w:val="00E37B92"/>
    <w:rsid w:val="00E43A91"/>
    <w:rsid w:val="00E63B7E"/>
    <w:rsid w:val="00E70DDA"/>
    <w:rsid w:val="00E807AB"/>
    <w:rsid w:val="00E8137B"/>
    <w:rsid w:val="00E860AC"/>
    <w:rsid w:val="00E866A5"/>
    <w:rsid w:val="00E87D2A"/>
    <w:rsid w:val="00E967C3"/>
    <w:rsid w:val="00E97B60"/>
    <w:rsid w:val="00EA2E0D"/>
    <w:rsid w:val="00EB2713"/>
    <w:rsid w:val="00EB3300"/>
    <w:rsid w:val="00EC6C24"/>
    <w:rsid w:val="00ED2A2A"/>
    <w:rsid w:val="00EE1470"/>
    <w:rsid w:val="00EE1CA3"/>
    <w:rsid w:val="00EE415B"/>
    <w:rsid w:val="00EF0E0D"/>
    <w:rsid w:val="00EF3BC6"/>
    <w:rsid w:val="00F00C55"/>
    <w:rsid w:val="00F02FF3"/>
    <w:rsid w:val="00F102C5"/>
    <w:rsid w:val="00F15B64"/>
    <w:rsid w:val="00F15C8E"/>
    <w:rsid w:val="00F24465"/>
    <w:rsid w:val="00F25052"/>
    <w:rsid w:val="00F26835"/>
    <w:rsid w:val="00F44D0B"/>
    <w:rsid w:val="00F46647"/>
    <w:rsid w:val="00F5463A"/>
    <w:rsid w:val="00F607C0"/>
    <w:rsid w:val="00F6755B"/>
    <w:rsid w:val="00F675A7"/>
    <w:rsid w:val="00F740FA"/>
    <w:rsid w:val="00F7502A"/>
    <w:rsid w:val="00F75616"/>
    <w:rsid w:val="00F77AD7"/>
    <w:rsid w:val="00F8597C"/>
    <w:rsid w:val="00F877FE"/>
    <w:rsid w:val="00F943EE"/>
    <w:rsid w:val="00FA07FE"/>
    <w:rsid w:val="00FB3167"/>
    <w:rsid w:val="00FB6628"/>
    <w:rsid w:val="00FB6924"/>
    <w:rsid w:val="00FB7AEC"/>
    <w:rsid w:val="00FC5A7E"/>
    <w:rsid w:val="00FC653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84381B9-B8B1-43EE-AC09-F63DF7279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2009</Characters>
  <Application>Microsoft Office Word</Application>
  <DocSecurity>0</DocSecurity>
  <Lines>64</Lines>
  <Paragraphs>31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ECE/TRANS/WP.29/GRSG/2021/11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ECE/TRANS/WP.29/GRSG/2022/30</dc:title>
  <dc:subject>2211560</dc:subject>
  <dc:creator>MIT</dc:creator>
  <cp:keywords/>
  <dc:description/>
  <cp:lastModifiedBy>Cecile Pacis</cp:lastModifiedBy>
  <cp:revision>2</cp:revision>
  <cp:lastPrinted>2019-07-19T11:29:00Z</cp:lastPrinted>
  <dcterms:created xsi:type="dcterms:W3CDTF">2022-07-22T14:33:00Z</dcterms:created>
  <dcterms:modified xsi:type="dcterms:W3CDTF">2022-07-22T14:33:00Z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