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E4F92C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C3B90A" w14:textId="77777777" w:rsidR="00F35BAF" w:rsidRPr="00DB58B5" w:rsidRDefault="00F35BAF" w:rsidP="00F71A7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9E6DA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E18246" w14:textId="6A554564" w:rsidR="00F35BAF" w:rsidRPr="00DB58B5" w:rsidRDefault="00F71A74" w:rsidP="00F71A74">
            <w:pPr>
              <w:jc w:val="right"/>
            </w:pPr>
            <w:r w:rsidRPr="00F71A74">
              <w:rPr>
                <w:sz w:val="40"/>
              </w:rPr>
              <w:t>ECE</w:t>
            </w:r>
            <w:r>
              <w:t>/TRANS/WP.29/GRSG/2022/29</w:t>
            </w:r>
          </w:p>
        </w:tc>
      </w:tr>
      <w:tr w:rsidR="00F35BAF" w:rsidRPr="00DB58B5" w14:paraId="56FD321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DBE532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2760FFD" wp14:editId="36504EE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88D30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B261849" w14:textId="77777777" w:rsidR="00F35BAF" w:rsidRDefault="00F71A74" w:rsidP="00C97039">
            <w:pPr>
              <w:spacing w:before="240"/>
            </w:pPr>
            <w:r>
              <w:t>Distr. générale</w:t>
            </w:r>
          </w:p>
          <w:p w14:paraId="64530469" w14:textId="77777777" w:rsidR="00F71A74" w:rsidRDefault="00F71A74" w:rsidP="00F71A74">
            <w:pPr>
              <w:spacing w:line="240" w:lineRule="exact"/>
            </w:pPr>
            <w:r>
              <w:t>22 juillet 2022</w:t>
            </w:r>
          </w:p>
          <w:p w14:paraId="19754943" w14:textId="77777777" w:rsidR="00F71A74" w:rsidRDefault="00F71A74" w:rsidP="00F71A74">
            <w:pPr>
              <w:spacing w:line="240" w:lineRule="exact"/>
            </w:pPr>
            <w:r>
              <w:t>Français</w:t>
            </w:r>
          </w:p>
          <w:p w14:paraId="6113FDD1" w14:textId="60E7B606" w:rsidR="00F71A74" w:rsidRPr="00DB58B5" w:rsidRDefault="00F71A74" w:rsidP="00F71A74">
            <w:pPr>
              <w:spacing w:line="240" w:lineRule="exact"/>
            </w:pPr>
            <w:r>
              <w:t>Original : anglais</w:t>
            </w:r>
          </w:p>
        </w:tc>
      </w:tr>
    </w:tbl>
    <w:p w14:paraId="4A76624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AA64A0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2735B62" w14:textId="77777777" w:rsidR="00F71A74" w:rsidRDefault="00F71A7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E8575AC" w14:textId="77777777" w:rsidR="00F71A74" w:rsidRDefault="00F71A74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30B15932" w14:textId="77777777" w:rsidR="00F71A74" w:rsidRPr="008604E0" w:rsidRDefault="00F71A74" w:rsidP="00F71A74">
      <w:pPr>
        <w:spacing w:before="120"/>
        <w:rPr>
          <w:rFonts w:asciiTheme="majorBidi" w:hAnsiTheme="majorBidi" w:cstheme="majorBidi"/>
          <w:b/>
          <w:lang w:val="fr-FR"/>
        </w:rPr>
      </w:pPr>
      <w:r w:rsidRPr="008604E0">
        <w:rPr>
          <w:b/>
          <w:bCs/>
          <w:lang w:val="fr-FR"/>
        </w:rPr>
        <w:t>124</w:t>
      </w:r>
      <w:r w:rsidRPr="008604E0">
        <w:rPr>
          <w:b/>
          <w:bCs/>
          <w:vertAlign w:val="superscript"/>
          <w:lang w:val="fr-FR"/>
        </w:rPr>
        <w:t>e</w:t>
      </w:r>
      <w:r w:rsidRPr="008604E0">
        <w:rPr>
          <w:b/>
          <w:bCs/>
          <w:lang w:val="fr-FR"/>
        </w:rPr>
        <w:t xml:space="preserve"> session</w:t>
      </w:r>
    </w:p>
    <w:p w14:paraId="1EB7AECE" w14:textId="77777777" w:rsidR="00F71A74" w:rsidRPr="008604E0" w:rsidRDefault="00F71A74" w:rsidP="00F71A74">
      <w:pPr>
        <w:rPr>
          <w:rFonts w:asciiTheme="majorBidi" w:hAnsiTheme="majorBidi" w:cstheme="majorBidi"/>
          <w:lang w:val="fr-FR"/>
        </w:rPr>
      </w:pPr>
      <w:r w:rsidRPr="008604E0">
        <w:rPr>
          <w:lang w:val="fr-FR"/>
        </w:rPr>
        <w:t>Genève, 11-14 octobre 2022</w:t>
      </w:r>
    </w:p>
    <w:p w14:paraId="07B9CDEF" w14:textId="77777777" w:rsidR="00F71A74" w:rsidRPr="008604E0" w:rsidRDefault="00F71A74" w:rsidP="00F71A74">
      <w:pPr>
        <w:rPr>
          <w:lang w:val="fr-FR"/>
        </w:rPr>
      </w:pPr>
      <w:r w:rsidRPr="008604E0">
        <w:rPr>
          <w:lang w:val="fr-FR"/>
        </w:rPr>
        <w:t>Point 8 de l</w:t>
      </w:r>
      <w:r>
        <w:rPr>
          <w:lang w:val="fr-FR"/>
        </w:rPr>
        <w:t>’</w:t>
      </w:r>
      <w:r w:rsidRPr="008604E0">
        <w:rPr>
          <w:lang w:val="fr-FR"/>
        </w:rPr>
        <w:t>ordre du jour provisoire</w:t>
      </w:r>
    </w:p>
    <w:p w14:paraId="7E1E0D08" w14:textId="2239F53C" w:rsidR="00F71A74" w:rsidRDefault="00F71A74" w:rsidP="00F71A74">
      <w:pPr>
        <w:rPr>
          <w:b/>
          <w:lang w:val="fr-FR"/>
        </w:rPr>
      </w:pPr>
      <w:r w:rsidRPr="008604E0">
        <w:rPr>
          <w:b/>
          <w:bCs/>
          <w:lang w:val="fr-FR"/>
        </w:rPr>
        <w:t>Règlement ONU n</w:t>
      </w:r>
      <w:r w:rsidRPr="0084458F">
        <w:rPr>
          <w:b/>
          <w:bCs/>
          <w:vertAlign w:val="superscript"/>
          <w:lang w:val="fr-FR"/>
        </w:rPr>
        <w:t xml:space="preserve">o </w:t>
      </w:r>
      <w:r w:rsidRPr="008604E0">
        <w:rPr>
          <w:b/>
          <w:bCs/>
          <w:lang w:val="fr-FR"/>
        </w:rPr>
        <w:t xml:space="preserve">105 (Véhicules destinés au transport </w:t>
      </w:r>
      <w:r w:rsidR="001A4DC8">
        <w:rPr>
          <w:b/>
          <w:bCs/>
          <w:lang w:val="fr-FR"/>
        </w:rPr>
        <w:br/>
      </w:r>
      <w:r w:rsidRPr="008604E0">
        <w:rPr>
          <w:b/>
          <w:bCs/>
          <w:lang w:val="fr-FR"/>
        </w:rPr>
        <w:t>des marchandises dangereuses)</w:t>
      </w:r>
    </w:p>
    <w:p w14:paraId="61E6E97C" w14:textId="495C0264" w:rsidR="00F71A74" w:rsidRPr="008604E0" w:rsidRDefault="00F71A74" w:rsidP="001A4DC8">
      <w:pPr>
        <w:pStyle w:val="HChG"/>
        <w:rPr>
          <w:lang w:val="fr-FR"/>
        </w:rPr>
      </w:pPr>
      <w:r w:rsidRPr="008604E0">
        <w:rPr>
          <w:lang w:val="fr-FR"/>
        </w:rPr>
        <w:tab/>
      </w:r>
      <w:r w:rsidRPr="008604E0">
        <w:rPr>
          <w:lang w:val="fr-FR"/>
        </w:rPr>
        <w:tab/>
      </w:r>
      <w:r w:rsidRPr="008604E0">
        <w:rPr>
          <w:lang w:val="fr-FR"/>
        </w:rPr>
        <w:tab/>
        <w:t>Proposition de complément 2 à la série 06 d</w:t>
      </w:r>
      <w:r>
        <w:rPr>
          <w:lang w:val="fr-FR"/>
        </w:rPr>
        <w:t>’</w:t>
      </w:r>
      <w:r w:rsidRPr="008604E0">
        <w:rPr>
          <w:lang w:val="fr-FR"/>
        </w:rPr>
        <w:t xml:space="preserve">amendements </w:t>
      </w:r>
      <w:r w:rsidR="001A4DC8">
        <w:rPr>
          <w:lang w:val="fr-FR"/>
        </w:rPr>
        <w:br/>
      </w:r>
      <w:r w:rsidRPr="008604E0">
        <w:rPr>
          <w:lang w:val="fr-FR"/>
        </w:rPr>
        <w:t>au Règlement ONU n</w:t>
      </w:r>
      <w:r w:rsidRPr="0084458F">
        <w:rPr>
          <w:vertAlign w:val="superscript"/>
          <w:lang w:val="fr-FR"/>
        </w:rPr>
        <w:t>o</w:t>
      </w:r>
      <w:r w:rsidRPr="008604E0">
        <w:rPr>
          <w:lang w:val="fr-FR"/>
        </w:rPr>
        <w:t xml:space="preserve"> 105 (Véhicules destinés au transport des marchandises dangereuses)</w:t>
      </w:r>
    </w:p>
    <w:p w14:paraId="7298245E" w14:textId="2AAC4F8B" w:rsidR="00F71A74" w:rsidRDefault="00F71A74" w:rsidP="001A4DC8">
      <w:pPr>
        <w:pStyle w:val="H1G"/>
        <w:rPr>
          <w:lang w:val="fr-FR"/>
        </w:rPr>
      </w:pPr>
      <w:r w:rsidRPr="008604E0">
        <w:rPr>
          <w:lang w:val="fr-FR"/>
        </w:rPr>
        <w:tab/>
      </w:r>
      <w:r w:rsidRPr="008604E0">
        <w:rPr>
          <w:lang w:val="fr-FR"/>
        </w:rPr>
        <w:tab/>
        <w:t>Communication de l</w:t>
      </w:r>
      <w:r>
        <w:rPr>
          <w:lang w:val="fr-FR"/>
        </w:rPr>
        <w:t>’</w:t>
      </w:r>
      <w:r w:rsidRPr="008604E0">
        <w:rPr>
          <w:lang w:val="fr-FR"/>
        </w:rPr>
        <w:t>expert de l</w:t>
      </w:r>
      <w:r>
        <w:rPr>
          <w:lang w:val="fr-FR"/>
        </w:rPr>
        <w:t>’</w:t>
      </w:r>
      <w:r w:rsidRPr="008604E0">
        <w:rPr>
          <w:lang w:val="fr-FR"/>
        </w:rPr>
        <w:t xml:space="preserve">Organisation internationale </w:t>
      </w:r>
      <w:r w:rsidR="001A4DC8">
        <w:rPr>
          <w:lang w:val="fr-FR"/>
        </w:rPr>
        <w:br/>
      </w:r>
      <w:r w:rsidRPr="008604E0">
        <w:rPr>
          <w:lang w:val="fr-FR"/>
        </w:rPr>
        <w:t>des constructeurs d</w:t>
      </w:r>
      <w:r>
        <w:rPr>
          <w:lang w:val="fr-FR"/>
        </w:rPr>
        <w:t>’</w:t>
      </w:r>
      <w:r w:rsidRPr="008604E0">
        <w:rPr>
          <w:lang w:val="fr-FR"/>
        </w:rPr>
        <w:t>automobiles</w:t>
      </w:r>
      <w:r w:rsidRPr="001A4DC8">
        <w:rPr>
          <w:b w:val="0"/>
          <w:bCs/>
          <w:sz w:val="20"/>
          <w:lang w:val="fr-FR"/>
        </w:rPr>
        <w:footnoteReference w:customMarkFollows="1" w:id="2"/>
        <w:t>*</w:t>
      </w:r>
      <w:r w:rsidRPr="008604E0">
        <w:rPr>
          <w:lang w:val="fr-FR"/>
        </w:rPr>
        <w:t xml:space="preserve"> </w:t>
      </w:r>
    </w:p>
    <w:p w14:paraId="51B820AF" w14:textId="0D7665C1" w:rsidR="00F71A74" w:rsidRPr="008604E0" w:rsidRDefault="001A4DC8" w:rsidP="001A4DC8">
      <w:pPr>
        <w:pStyle w:val="SingleTxtG"/>
        <w:rPr>
          <w:color w:val="000000"/>
          <w:lang w:val="fr-FR"/>
        </w:rPr>
      </w:pPr>
      <w:r>
        <w:rPr>
          <w:lang w:val="fr-FR"/>
        </w:rPr>
        <w:tab/>
      </w:r>
      <w:r w:rsidR="00F71A74" w:rsidRPr="008604E0">
        <w:rPr>
          <w:lang w:val="fr-FR"/>
        </w:rPr>
        <w:tab/>
        <w:t>Le texte ci-après, établi par l</w:t>
      </w:r>
      <w:r w:rsidR="00F71A74">
        <w:rPr>
          <w:lang w:val="fr-FR"/>
        </w:rPr>
        <w:t>’</w:t>
      </w:r>
      <w:r w:rsidR="00F71A74" w:rsidRPr="008604E0">
        <w:rPr>
          <w:lang w:val="fr-FR"/>
        </w:rPr>
        <w:t>expert de l</w:t>
      </w:r>
      <w:r w:rsidR="00F71A74">
        <w:rPr>
          <w:lang w:val="fr-FR"/>
        </w:rPr>
        <w:t>’</w:t>
      </w:r>
      <w:r w:rsidR="00F71A74" w:rsidRPr="008604E0">
        <w:rPr>
          <w:lang w:val="fr-FR"/>
        </w:rPr>
        <w:t>Organisation internationale des constructeurs d</w:t>
      </w:r>
      <w:r w:rsidR="00F71A74">
        <w:rPr>
          <w:lang w:val="fr-FR"/>
        </w:rPr>
        <w:t>’</w:t>
      </w:r>
      <w:r w:rsidR="00F71A74" w:rsidRPr="008604E0">
        <w:rPr>
          <w:lang w:val="fr-FR"/>
        </w:rPr>
        <w:t xml:space="preserve">automobiles (OICA), vise à </w:t>
      </w:r>
      <w:r w:rsidR="00F71A74" w:rsidRPr="00A76401">
        <w:rPr>
          <w:lang w:val="fr-FR"/>
        </w:rPr>
        <w:t>harmoniser les dispositions du Règlement ONU n</w:t>
      </w:r>
      <w:r w:rsidR="00F71A74" w:rsidRPr="0084458F">
        <w:rPr>
          <w:vertAlign w:val="superscript"/>
          <w:lang w:val="fr-FR"/>
        </w:rPr>
        <w:t>o</w:t>
      </w:r>
      <w:r w:rsidR="00F71A74" w:rsidRPr="00A76401">
        <w:rPr>
          <w:lang w:val="fr-FR"/>
        </w:rPr>
        <w:t xml:space="preserve"> 105 avec celles de</w:t>
      </w:r>
      <w:r w:rsidR="00F71A74" w:rsidRPr="008604E0">
        <w:rPr>
          <w:i/>
          <w:iCs/>
          <w:lang w:val="fr-FR"/>
        </w:rPr>
        <w:t xml:space="preserve"> </w:t>
      </w:r>
      <w:r w:rsidR="00F71A74" w:rsidRPr="008604E0">
        <w:rPr>
          <w:lang w:val="fr-FR"/>
        </w:rPr>
        <w:t xml:space="preserve">la nouvelle édition </w:t>
      </w:r>
      <w:r w:rsidR="00F71A74">
        <w:rPr>
          <w:lang w:val="fr-FR"/>
        </w:rPr>
        <w:t>(</w:t>
      </w:r>
      <w:r w:rsidR="00F71A74" w:rsidRPr="008604E0">
        <w:rPr>
          <w:lang w:val="fr-FR"/>
        </w:rPr>
        <w:t>2023</w:t>
      </w:r>
      <w:r w:rsidR="00F71A74">
        <w:rPr>
          <w:lang w:val="fr-FR"/>
        </w:rPr>
        <w:t>)</w:t>
      </w:r>
      <w:r w:rsidR="00F71A74" w:rsidRPr="008604E0">
        <w:rPr>
          <w:lang w:val="fr-FR"/>
        </w:rPr>
        <w:t xml:space="preserve"> de l</w:t>
      </w:r>
      <w:r w:rsidR="00F71A74">
        <w:rPr>
          <w:lang w:val="fr-FR"/>
        </w:rPr>
        <w:t>’</w:t>
      </w:r>
      <w:r w:rsidR="00F71A74" w:rsidRPr="008604E0">
        <w:rPr>
          <w:lang w:val="fr-FR"/>
        </w:rPr>
        <w:t>Accord relatif au transport international des marchandises dangereuses par route (ADR). Les modifications qu</w:t>
      </w:r>
      <w:r w:rsidR="00F71A74">
        <w:rPr>
          <w:lang w:val="fr-FR"/>
        </w:rPr>
        <w:t>’</w:t>
      </w:r>
      <w:r w:rsidR="00F71A74" w:rsidRPr="008604E0">
        <w:rPr>
          <w:lang w:val="fr-FR"/>
        </w:rPr>
        <w:t>il est proposé d</w:t>
      </w:r>
      <w:r w:rsidR="00F71A74">
        <w:rPr>
          <w:lang w:val="fr-FR"/>
        </w:rPr>
        <w:t>’</w:t>
      </w:r>
      <w:r w:rsidR="00F71A74" w:rsidRPr="008604E0">
        <w:rPr>
          <w:lang w:val="fr-FR"/>
        </w:rPr>
        <w:t>apporter au texte actuel du Règlement ONU n</w:t>
      </w:r>
      <w:r w:rsidR="00F71A74" w:rsidRPr="0084458F">
        <w:rPr>
          <w:vertAlign w:val="superscript"/>
          <w:lang w:val="fr-FR"/>
        </w:rPr>
        <w:t>o</w:t>
      </w:r>
      <w:r w:rsidR="00F71A74" w:rsidRPr="008604E0">
        <w:rPr>
          <w:lang w:val="fr-FR"/>
        </w:rPr>
        <w:t xml:space="preserve"> 105 figurent en caractères gras pour les ajouts et biffés pour les suppressions.</w:t>
      </w:r>
    </w:p>
    <w:p w14:paraId="7E3CCD2F" w14:textId="77777777" w:rsidR="001A4DC8" w:rsidRDefault="001A4DC8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b/>
          <w:sz w:val="28"/>
          <w:lang w:val="fr-FR"/>
        </w:rPr>
      </w:pPr>
      <w:r>
        <w:rPr>
          <w:lang w:val="fr-FR"/>
        </w:rPr>
        <w:br w:type="page"/>
      </w:r>
    </w:p>
    <w:p w14:paraId="1FCAC134" w14:textId="122A5CF5" w:rsidR="00F71A74" w:rsidRPr="008604E0" w:rsidRDefault="00F71A74" w:rsidP="001A4DC8">
      <w:pPr>
        <w:pStyle w:val="HChG"/>
        <w:rPr>
          <w:rFonts w:asciiTheme="majorBidi" w:hAnsiTheme="majorBidi" w:cstheme="majorBidi"/>
          <w:szCs w:val="28"/>
          <w:lang w:val="fr-FR"/>
        </w:rPr>
      </w:pPr>
      <w:r w:rsidRPr="008604E0">
        <w:rPr>
          <w:lang w:val="fr-FR"/>
        </w:rPr>
        <w:lastRenderedPageBreak/>
        <w:tab/>
        <w:t>I.</w:t>
      </w:r>
      <w:r w:rsidRPr="008604E0">
        <w:rPr>
          <w:lang w:val="fr-FR"/>
        </w:rPr>
        <w:tab/>
        <w:t>Proposition</w:t>
      </w:r>
    </w:p>
    <w:p w14:paraId="4062A362" w14:textId="08C3235F" w:rsidR="00F71A74" w:rsidRPr="008604E0" w:rsidRDefault="00F71A74" w:rsidP="001A4DC8">
      <w:pPr>
        <w:pStyle w:val="SingleTxtG"/>
        <w:rPr>
          <w:lang w:val="fr-FR"/>
        </w:rPr>
      </w:pPr>
      <w:r w:rsidRPr="008604E0">
        <w:rPr>
          <w:i/>
          <w:iCs/>
          <w:lang w:val="fr-FR"/>
        </w:rPr>
        <w:t>Paragraphe 5.1</w:t>
      </w:r>
      <w:r w:rsidRPr="008604E0">
        <w:rPr>
          <w:lang w:val="fr-FR"/>
        </w:rPr>
        <w:t>, lire</w:t>
      </w:r>
      <w:r w:rsidR="001A4DC8">
        <w:rPr>
          <w:lang w:val="fr-FR"/>
        </w:rPr>
        <w:t> </w:t>
      </w:r>
      <w:r w:rsidRPr="008604E0">
        <w:rPr>
          <w:lang w:val="fr-FR"/>
        </w:rPr>
        <w:t>:</w:t>
      </w:r>
    </w:p>
    <w:p w14:paraId="2322C8FC" w14:textId="032F81D4" w:rsidR="00F71A74" w:rsidRPr="008604E0" w:rsidRDefault="00F71A74" w:rsidP="00F71A74">
      <w:pPr>
        <w:pStyle w:val="SingleTxtG"/>
        <w:spacing w:before="120"/>
        <w:ind w:left="2268" w:hanging="1134"/>
        <w:rPr>
          <w:lang w:val="fr-FR"/>
        </w:rPr>
      </w:pPr>
      <w:r w:rsidRPr="008604E0">
        <w:rPr>
          <w:lang w:val="fr-FR"/>
        </w:rPr>
        <w:t>« 5.1</w:t>
      </w:r>
      <w:r w:rsidRPr="008604E0">
        <w:rPr>
          <w:lang w:val="fr-FR"/>
        </w:rPr>
        <w:tab/>
      </w:r>
      <w:bookmarkStart w:id="0" w:name="_Hlk110589577"/>
      <w:r w:rsidRPr="008604E0">
        <w:rPr>
          <w:lang w:val="fr-FR"/>
        </w:rPr>
        <w:t>Les véhicules doivent, selon leur désignation, respecter les dispositions ci</w:t>
      </w:r>
      <w:r w:rsidR="001A4DC8">
        <w:rPr>
          <w:lang w:val="fr-FR"/>
        </w:rPr>
        <w:noBreakHyphen/>
      </w:r>
      <w:r w:rsidRPr="008604E0">
        <w:rPr>
          <w:lang w:val="fr-FR"/>
        </w:rPr>
        <w:t>après selon les indications du tableau ci-dessous</w:t>
      </w:r>
      <w:bookmarkEnd w:id="0"/>
      <w:r w:rsidRPr="008604E0">
        <w:rPr>
          <w:vertAlign w:val="superscript"/>
          <w:lang w:val="fr-FR"/>
        </w:rPr>
        <w:t>3</w:t>
      </w:r>
      <w:r w:rsidRPr="008604E0">
        <w:rPr>
          <w:lang w:val="fr-FR"/>
        </w:rPr>
        <w:t>.</w:t>
      </w:r>
    </w:p>
    <w:p w14:paraId="088531FC" w14:textId="77777777" w:rsidR="00F71A74" w:rsidRPr="008604E0" w:rsidRDefault="00F71A74" w:rsidP="001A4DC8">
      <w:pPr>
        <w:pStyle w:val="SingleTxtG"/>
        <w:ind w:left="2268"/>
        <w:rPr>
          <w:lang w:val="fr-FR"/>
        </w:rPr>
      </w:pPr>
      <w:r w:rsidRPr="008604E0">
        <w:rPr>
          <w:lang w:val="fr-FR"/>
        </w:rPr>
        <w:t xml:space="preserve">Aux fins du présent Règlement </w:t>
      </w:r>
      <w:r w:rsidRPr="008604E0">
        <w:rPr>
          <w:b/>
          <w:bCs/>
          <w:lang w:val="fr-FR"/>
        </w:rPr>
        <w:t>ONU</w:t>
      </w:r>
      <w:r w:rsidRPr="008604E0">
        <w:rPr>
          <w:lang w:val="fr-FR"/>
        </w:rPr>
        <w:t>, les véhicules portant la désignation MEMU doivent respecter les prescriptions applicables aux véhicules portant la désignation EX/III.</w:t>
      </w:r>
    </w:p>
    <w:p w14:paraId="78DB3A21" w14:textId="77777777" w:rsidR="00F71A74" w:rsidRPr="008604E0" w:rsidRDefault="00F71A74" w:rsidP="001A4DC8">
      <w:pPr>
        <w:pStyle w:val="SingleTxtG"/>
        <w:ind w:left="2268"/>
        <w:rPr>
          <w:lang w:val="fr-FR"/>
        </w:rPr>
      </w:pPr>
      <w:r w:rsidRPr="008604E0">
        <w:rPr>
          <w:lang w:val="fr-FR"/>
        </w:rPr>
        <w:t xml:space="preserve">Les véhicules homologués, en application du présent Règlement, y compris la série </w:t>
      </w:r>
      <w:r w:rsidRPr="008604E0">
        <w:rPr>
          <w:b/>
          <w:bCs/>
          <w:lang w:val="fr-FR"/>
        </w:rPr>
        <w:t xml:space="preserve">06 </w:t>
      </w:r>
      <w:r w:rsidRPr="008604E0">
        <w:rPr>
          <w:lang w:val="fr-FR"/>
        </w:rPr>
        <w:t>d</w:t>
      </w:r>
      <w:r>
        <w:rPr>
          <w:lang w:val="fr-FR"/>
        </w:rPr>
        <w:t>’</w:t>
      </w:r>
      <w:r w:rsidRPr="008604E0">
        <w:rPr>
          <w:lang w:val="fr-FR"/>
        </w:rPr>
        <w:t>amendements, comme respectant les prescriptions applicables aux véhicules portant la désignation EX/III sont réputés satisfaire aux prescriptions applicables aux véhicules portant la désignation MEMU.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782"/>
        <w:gridCol w:w="668"/>
        <w:gridCol w:w="668"/>
        <w:gridCol w:w="668"/>
        <w:gridCol w:w="668"/>
        <w:gridCol w:w="799"/>
      </w:tblGrid>
      <w:tr w:rsidR="00F71A74" w:rsidRPr="0084458F" w14:paraId="2538A4B2" w14:textId="77777777" w:rsidTr="00E52357">
        <w:trPr>
          <w:tblHeader/>
        </w:trPr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D51FCED" w14:textId="77777777" w:rsidR="00F71A74" w:rsidRPr="008604E0" w:rsidRDefault="00F71A74" w:rsidP="00CF10E6">
            <w:pPr>
              <w:spacing w:before="60" w:after="60" w:line="240" w:lineRule="auto"/>
              <w:ind w:left="113" w:right="113"/>
              <w:rPr>
                <w:i/>
                <w:lang w:val="fr-FR"/>
              </w:rPr>
            </w:pPr>
            <w:r w:rsidRPr="008604E0">
              <w:rPr>
                <w:i/>
                <w:sz w:val="16"/>
                <w:lang w:val="fr-FR"/>
              </w:rPr>
              <w:t>Caractéristiques techniques</w:t>
            </w:r>
            <w:r w:rsidRPr="008604E0">
              <w:rPr>
                <w:i/>
                <w:lang w:val="fr-FR"/>
              </w:rPr>
              <w:t xml:space="preserve"> 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0CA2B" w14:textId="77777777" w:rsidR="00F71A74" w:rsidRPr="008604E0" w:rsidRDefault="00F71A74" w:rsidP="00CF10E6">
            <w:pPr>
              <w:spacing w:before="60" w:after="60" w:line="240" w:lineRule="auto"/>
              <w:ind w:left="113" w:right="113"/>
              <w:jc w:val="center"/>
              <w:rPr>
                <w:i/>
                <w:lang w:val="fr-FR"/>
              </w:rPr>
            </w:pPr>
            <w:r w:rsidRPr="008604E0">
              <w:rPr>
                <w:i/>
                <w:sz w:val="16"/>
                <w:lang w:val="fr-FR"/>
              </w:rPr>
              <w:t>Désignation du véhicule (selon le chapitre 9.1</w:t>
            </w:r>
            <w:r w:rsidRPr="008604E0">
              <w:rPr>
                <w:i/>
                <w:sz w:val="16"/>
                <w:lang w:val="fr-FR"/>
              </w:rPr>
              <w:br/>
              <w:t>de l</w:t>
            </w:r>
            <w:r>
              <w:rPr>
                <w:i/>
                <w:sz w:val="16"/>
                <w:lang w:val="fr-FR"/>
              </w:rPr>
              <w:t>’</w:t>
            </w:r>
            <w:r w:rsidRPr="008604E0">
              <w:rPr>
                <w:i/>
                <w:sz w:val="16"/>
                <w:lang w:val="fr-FR"/>
              </w:rPr>
              <w:t>annexe b de l</w:t>
            </w:r>
            <w:r>
              <w:rPr>
                <w:i/>
                <w:sz w:val="16"/>
                <w:lang w:val="fr-FR"/>
              </w:rPr>
              <w:t>’</w:t>
            </w:r>
            <w:r w:rsidRPr="008604E0">
              <w:rPr>
                <w:i/>
                <w:sz w:val="16"/>
                <w:lang w:val="fr-FR"/>
              </w:rPr>
              <w:t>ADR)</w:t>
            </w:r>
          </w:p>
        </w:tc>
      </w:tr>
      <w:tr w:rsidR="00F71A74" w:rsidRPr="008604E0" w14:paraId="37F3CA15" w14:textId="77777777" w:rsidTr="00E52357">
        <w:trPr>
          <w:tblHeader/>
        </w:trPr>
        <w:tc>
          <w:tcPr>
            <w:tcW w:w="3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08AD" w14:textId="77777777" w:rsidR="00F71A74" w:rsidRPr="008604E0" w:rsidRDefault="00F71A74" w:rsidP="00CF10E6">
            <w:pPr>
              <w:rPr>
                <w:i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751" w14:textId="77777777" w:rsidR="00F71A74" w:rsidRPr="008604E0" w:rsidRDefault="00F71A74" w:rsidP="00CF10E6">
            <w:pPr>
              <w:spacing w:before="60" w:after="60" w:line="240" w:lineRule="auto"/>
              <w:ind w:left="113" w:right="113"/>
              <w:jc w:val="center"/>
              <w:rPr>
                <w:lang w:val="fr-FR"/>
              </w:rPr>
            </w:pPr>
            <w:r w:rsidRPr="008604E0">
              <w:rPr>
                <w:i/>
                <w:sz w:val="16"/>
                <w:lang w:val="fr-FR"/>
              </w:rPr>
              <w:t>EX/II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272E" w14:textId="77777777" w:rsidR="00F71A74" w:rsidRPr="008604E0" w:rsidRDefault="00F71A74" w:rsidP="00CF10E6">
            <w:pPr>
              <w:spacing w:before="60" w:after="60" w:line="240" w:lineRule="auto"/>
              <w:ind w:left="113" w:right="113"/>
              <w:jc w:val="center"/>
              <w:rPr>
                <w:i/>
                <w:sz w:val="16"/>
                <w:lang w:val="fr-FR"/>
              </w:rPr>
            </w:pPr>
            <w:r w:rsidRPr="008604E0">
              <w:rPr>
                <w:i/>
                <w:sz w:val="16"/>
                <w:lang w:val="fr-FR"/>
              </w:rPr>
              <w:t>EX/III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7DD" w14:textId="77777777" w:rsidR="00F71A74" w:rsidRPr="008604E0" w:rsidRDefault="00F71A74" w:rsidP="00CF10E6">
            <w:pPr>
              <w:spacing w:before="60" w:after="60" w:line="240" w:lineRule="auto"/>
              <w:ind w:left="113" w:right="113"/>
              <w:jc w:val="center"/>
              <w:rPr>
                <w:i/>
                <w:sz w:val="16"/>
                <w:lang w:val="fr-FR"/>
              </w:rPr>
            </w:pPr>
            <w:r w:rsidRPr="008604E0">
              <w:rPr>
                <w:i/>
                <w:sz w:val="16"/>
                <w:lang w:val="fr-FR"/>
              </w:rPr>
              <w:t>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9F32" w14:textId="77777777" w:rsidR="00F71A74" w:rsidRPr="008604E0" w:rsidRDefault="00F71A74" w:rsidP="00CF10E6">
            <w:pPr>
              <w:spacing w:before="60" w:after="60" w:line="240" w:lineRule="auto"/>
              <w:ind w:left="113" w:right="113"/>
              <w:jc w:val="center"/>
              <w:rPr>
                <w:i/>
                <w:sz w:val="16"/>
                <w:lang w:val="fr-FR"/>
              </w:rPr>
            </w:pPr>
            <w:r w:rsidRPr="008604E0">
              <w:rPr>
                <w:i/>
                <w:sz w:val="16"/>
                <w:lang w:val="fr-FR"/>
              </w:rPr>
              <w:t>FL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6B3" w14:textId="509443F5" w:rsidR="00F71A74" w:rsidRPr="008604E0" w:rsidRDefault="001A4DC8" w:rsidP="00CF10E6">
            <w:pPr>
              <w:spacing w:before="60" w:after="60" w:line="240" w:lineRule="auto"/>
              <w:ind w:left="113" w:right="113"/>
              <w:jc w:val="center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>-</w:t>
            </w:r>
          </w:p>
        </w:tc>
      </w:tr>
      <w:tr w:rsidR="00F71A74" w:rsidRPr="008604E0" w14:paraId="5B21C484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654B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A3AB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 xml:space="preserve">Équipement électrique </w:t>
            </w:r>
          </w:p>
        </w:tc>
      </w:tr>
      <w:tr w:rsidR="00F71A74" w:rsidRPr="008604E0" w14:paraId="5380248E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DD49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117D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 xml:space="preserve">Dispositions générales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A554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54D9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A755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1895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405" w14:textId="62FFF2B5" w:rsidR="00F71A74" w:rsidRPr="008604E0" w:rsidRDefault="001A4DC8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1E1456CF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3306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6C6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Câbles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BC1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27F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AFAA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BA50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530" w14:textId="6A114458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65425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41E62DD6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0AE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399A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 xml:space="preserve">Protection supplémentaire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A22F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CBBA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7291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EFE8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58D8" w14:textId="3377E646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65425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510F2EC7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CA4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2782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Fusibles et disjoncteurs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8E75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C504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123A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2ADD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A6C" w14:textId="19C9D10A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65425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022E196D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77B6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5EC6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Batteries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D415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F0B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449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56E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A40" w14:textId="6E653CA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65425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2E273950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B7E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B0A7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 xml:space="preserve">Éclairage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B2EA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FF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A23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1E0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813" w14:textId="3CD4D292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65425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189B73A3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87EE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9571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Connexions électriques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040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D45E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E0CF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23B0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383" w14:textId="4B9F074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65425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36CE2697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ECCA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BA2D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 xml:space="preserve">Tension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446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57D7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E24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595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2E8" w14:textId="2EE6F946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65425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63F32B60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2D33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B5C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Coupe-circuit de batterie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CC2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BCA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8598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0F21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8F1" w14:textId="6DF5BB08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265425">
              <w:rPr>
                <w:sz w:val="18"/>
                <w:szCs w:val="18"/>
                <w:lang w:val="fr-FR"/>
              </w:rPr>
              <w:t>-</w:t>
            </w:r>
          </w:p>
        </w:tc>
      </w:tr>
      <w:tr w:rsidR="00F71A74" w:rsidRPr="008604E0" w14:paraId="1F23C840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FC50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34E6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Circuits alimentés en permanence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8FF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D62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DE8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E29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E8E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1A4DC8" w:rsidRPr="008604E0" w14:paraId="47B207C0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10D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740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BAF7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ABF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0E3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5398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A80" w14:textId="5D5C28D0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E79CD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6A89C40B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3622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5.1.1.9.2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609D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B9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47C8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3CD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4C3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601" w14:textId="33968D1A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DE79CD">
              <w:rPr>
                <w:sz w:val="18"/>
                <w:szCs w:val="18"/>
                <w:lang w:val="fr-FR"/>
              </w:rPr>
              <w:t>-</w:t>
            </w:r>
          </w:p>
        </w:tc>
      </w:tr>
      <w:tr w:rsidR="00F71A74" w:rsidRPr="008604E0" w14:paraId="3D93026F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D87A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5.1.2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B2D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 xml:space="preserve">Équipement de freinage </w:t>
            </w:r>
          </w:p>
        </w:tc>
      </w:tr>
      <w:tr w:rsidR="00F71A74" w:rsidRPr="008604E0" w14:paraId="4648339D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21EF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DD9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675F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83AC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475B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6126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8A4" w14:textId="31AFFA9C" w:rsidR="00F71A74" w:rsidRPr="008604E0" w:rsidRDefault="001A4DC8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</w:tr>
      <w:tr w:rsidR="00F71A74" w:rsidRPr="008604E0" w14:paraId="62A48067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E76C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5.1.3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0ED2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Prévention des risques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8604E0">
              <w:rPr>
                <w:sz w:val="18"/>
                <w:szCs w:val="18"/>
                <w:lang w:val="fr-FR"/>
              </w:rPr>
              <w:t>incendie</w:t>
            </w:r>
          </w:p>
        </w:tc>
      </w:tr>
      <w:tr w:rsidR="001A4DC8" w:rsidRPr="008604E0" w14:paraId="3757EFAD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E1C2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B05D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Réservoirs à carburant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8DF1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2C31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53E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3584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234" w14:textId="3423536E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FE50FC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268326FF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8ED2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F95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Moteur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2DEA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4EA3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AE2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782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409" w14:textId="4A447FB9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FE50FC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5BA63A2C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C36E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EAD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Dispositif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8604E0">
              <w:rPr>
                <w:sz w:val="18"/>
                <w:szCs w:val="18"/>
                <w:lang w:val="fr-FR"/>
              </w:rPr>
              <w:t xml:space="preserve">échappement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FA23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CAC8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5218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2ABA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EA67" w14:textId="40E4B11A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FE50FC">
              <w:rPr>
                <w:sz w:val="18"/>
                <w:szCs w:val="18"/>
                <w:lang w:val="fr-FR"/>
              </w:rPr>
              <w:t>-</w:t>
            </w:r>
          </w:p>
        </w:tc>
      </w:tr>
      <w:tr w:rsidR="00F71A74" w:rsidRPr="008604E0" w14:paraId="56551F07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223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8604E0">
              <w:rPr>
                <w:b/>
                <w:bCs/>
                <w:sz w:val="18"/>
                <w:szCs w:val="18"/>
                <w:lang w:val="fr-FR"/>
              </w:rPr>
              <w:t>5.1.3.5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E9F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b/>
                <w:bCs/>
                <w:sz w:val="18"/>
                <w:szCs w:val="18"/>
                <w:lang w:val="fr-FR"/>
              </w:rPr>
            </w:pPr>
            <w:r w:rsidRPr="008604E0">
              <w:rPr>
                <w:b/>
                <w:bCs/>
                <w:sz w:val="18"/>
                <w:szCs w:val="18"/>
                <w:lang w:val="fr-FR"/>
              </w:rPr>
              <w:t>Chaîne de traction électrique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D5A9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D73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270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604E0">
              <w:rPr>
                <w:b/>
                <w:bCs/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E79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55B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F71A74" w:rsidRPr="008604E0" w14:paraId="2BE1C126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2783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5.1.3.</w:t>
            </w:r>
            <w:r w:rsidRPr="008604E0">
              <w:rPr>
                <w:strike/>
                <w:sz w:val="18"/>
                <w:szCs w:val="18"/>
                <w:lang w:val="fr-FR"/>
              </w:rPr>
              <w:t>5</w:t>
            </w:r>
            <w:r w:rsidRPr="008604E0">
              <w:rPr>
                <w:b/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982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Frein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8604E0">
              <w:rPr>
                <w:sz w:val="18"/>
                <w:szCs w:val="18"/>
                <w:lang w:val="fr-FR"/>
              </w:rPr>
              <w:t>endurance du véhicule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0D8E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571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7D7B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439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EB2" w14:textId="206B0492" w:rsidR="00F71A74" w:rsidRPr="008604E0" w:rsidRDefault="001A4DC8" w:rsidP="00CF10E6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</w:tr>
      <w:tr w:rsidR="00F71A74" w:rsidRPr="0084458F" w14:paraId="43A91EB1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AA85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5.1.3.</w:t>
            </w:r>
            <w:r w:rsidRPr="008604E0">
              <w:rPr>
                <w:strike/>
                <w:sz w:val="18"/>
                <w:szCs w:val="18"/>
                <w:lang w:val="fr-FR"/>
              </w:rPr>
              <w:t>6</w:t>
            </w:r>
            <w:r w:rsidRPr="008604E0">
              <w:rPr>
                <w:b/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7061" w14:textId="77777777" w:rsidR="00F71A74" w:rsidRPr="008604E0" w:rsidRDefault="00F71A74" w:rsidP="00CF10E6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 xml:space="preserve">Appareils de chauffage à combustion </w:t>
            </w:r>
          </w:p>
        </w:tc>
      </w:tr>
      <w:tr w:rsidR="001A4DC8" w:rsidRPr="008604E0" w14:paraId="71ABC6AA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43E4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5.1.3.</w:t>
            </w:r>
            <w:r w:rsidRPr="008604E0">
              <w:rPr>
                <w:strike/>
                <w:sz w:val="18"/>
                <w:szCs w:val="18"/>
                <w:lang w:val="fr-FR"/>
              </w:rPr>
              <w:t>6</w:t>
            </w:r>
            <w:r w:rsidRPr="008604E0">
              <w:rPr>
                <w:b/>
                <w:bCs/>
                <w:sz w:val="18"/>
                <w:szCs w:val="18"/>
                <w:lang w:val="fr-FR"/>
              </w:rPr>
              <w:t>7</w:t>
            </w:r>
            <w:r w:rsidRPr="008604E0">
              <w:rPr>
                <w:sz w:val="18"/>
                <w:szCs w:val="18"/>
                <w:lang w:val="fr-FR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8A2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CA6B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543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D106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7D25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D21" w14:textId="444A969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530494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6B6E69E5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5321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E10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 xml:space="preserve">Dispositif de limitation de vitesse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AD4A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C4E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9828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0B47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66FA" w14:textId="7C80062E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530494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0DF347AB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7BF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901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Dispositifs d</w:t>
            </w:r>
            <w:r>
              <w:rPr>
                <w:sz w:val="18"/>
                <w:szCs w:val="18"/>
                <w:lang w:val="fr-FR"/>
              </w:rPr>
              <w:t>’</w:t>
            </w:r>
            <w:r w:rsidRPr="008604E0">
              <w:rPr>
                <w:sz w:val="18"/>
                <w:szCs w:val="18"/>
                <w:lang w:val="fr-FR"/>
              </w:rPr>
              <w:t xml:space="preserve">attelage des véhicules à moteur et des remorques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6513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811E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F14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2811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7B0" w14:textId="763D7E98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5B66C1">
              <w:rPr>
                <w:sz w:val="18"/>
                <w:szCs w:val="18"/>
                <w:lang w:val="fr-FR"/>
              </w:rPr>
              <w:t>-</w:t>
            </w:r>
          </w:p>
        </w:tc>
      </w:tr>
      <w:tr w:rsidR="001A4DC8" w:rsidRPr="008604E0" w14:paraId="6E48E6F4" w14:textId="77777777" w:rsidTr="00E52357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1E99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5.1.6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541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 xml:space="preserve">Prévention des autres risques dus aux carburants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801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C98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D89C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A4A6" w14:textId="77777777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8604E0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531" w14:textId="302E7F69" w:rsidR="001A4DC8" w:rsidRPr="008604E0" w:rsidRDefault="001A4DC8" w:rsidP="001A4DC8">
            <w:pPr>
              <w:spacing w:before="60" w:after="60" w:line="220" w:lineRule="atLeast"/>
              <w:ind w:left="57" w:right="57"/>
              <w:jc w:val="center"/>
              <w:rPr>
                <w:sz w:val="18"/>
                <w:szCs w:val="18"/>
                <w:lang w:val="fr-FR"/>
              </w:rPr>
            </w:pPr>
            <w:r w:rsidRPr="005B66C1">
              <w:rPr>
                <w:sz w:val="18"/>
                <w:szCs w:val="18"/>
                <w:lang w:val="fr-FR"/>
              </w:rPr>
              <w:t>-</w:t>
            </w:r>
          </w:p>
        </w:tc>
      </w:tr>
    </w:tbl>
    <w:p w14:paraId="7DD11AA5" w14:textId="543D09D7" w:rsidR="00F71A74" w:rsidRPr="001A4DC8" w:rsidRDefault="00E52357" w:rsidP="00E52357">
      <w:pPr>
        <w:pStyle w:val="SingleTxtG"/>
        <w:spacing w:before="120"/>
        <w:rPr>
          <w:lang w:val="fr-FR"/>
        </w:rPr>
      </w:pPr>
      <w:r>
        <w:rPr>
          <w:lang w:val="fr-FR"/>
        </w:rPr>
        <w:t>. </w:t>
      </w:r>
      <w:r w:rsidR="00F71A74" w:rsidRPr="008604E0">
        <w:rPr>
          <w:lang w:val="fr-FR"/>
        </w:rPr>
        <w:t>»</w:t>
      </w:r>
      <w:r>
        <w:rPr>
          <w:lang w:val="fr-FR"/>
        </w:rPr>
        <w:t>.</w:t>
      </w:r>
    </w:p>
    <w:p w14:paraId="59F81D75" w14:textId="75C830CD" w:rsidR="00F71A74" w:rsidRPr="008604E0" w:rsidRDefault="00F71A74" w:rsidP="00F71A74">
      <w:pPr>
        <w:pStyle w:val="SingleTxtG"/>
        <w:rPr>
          <w:lang w:val="fr-FR" w:eastAsia="fr-FR"/>
        </w:rPr>
      </w:pPr>
      <w:r w:rsidRPr="008604E0">
        <w:rPr>
          <w:i/>
          <w:lang w:val="fr-FR"/>
        </w:rPr>
        <w:lastRenderedPageBreak/>
        <w:t>Paragraphe 5.1.1.1</w:t>
      </w:r>
      <w:r w:rsidRPr="008604E0">
        <w:rPr>
          <w:lang w:val="fr-FR"/>
        </w:rPr>
        <w:t>, lire</w:t>
      </w:r>
      <w:r w:rsidR="00E52357">
        <w:rPr>
          <w:lang w:val="fr-FR"/>
        </w:rPr>
        <w:t> </w:t>
      </w:r>
      <w:r w:rsidRPr="008604E0">
        <w:rPr>
          <w:lang w:val="fr-FR"/>
        </w:rPr>
        <w:t>:</w:t>
      </w:r>
    </w:p>
    <w:p w14:paraId="1E8EF28A" w14:textId="77777777" w:rsidR="00F71A74" w:rsidRPr="008604E0" w:rsidRDefault="00F71A74" w:rsidP="001A4DC8">
      <w:pPr>
        <w:pStyle w:val="SingleTxtG"/>
        <w:rPr>
          <w:rFonts w:eastAsia="Calibri"/>
          <w:lang w:val="fr-FR"/>
        </w:rPr>
      </w:pPr>
      <w:r w:rsidRPr="008604E0">
        <w:rPr>
          <w:rFonts w:eastAsia="Calibri"/>
          <w:lang w:val="fr-FR"/>
        </w:rPr>
        <w:t>« 5.1.1.1</w:t>
      </w:r>
      <w:r w:rsidRPr="008604E0">
        <w:rPr>
          <w:rFonts w:eastAsia="Calibri"/>
          <w:lang w:val="fr-FR"/>
        </w:rPr>
        <w:tab/>
        <w:t xml:space="preserve">Dispositions </w:t>
      </w:r>
      <w:r w:rsidRPr="008604E0">
        <w:rPr>
          <w:lang w:val="fr-FR"/>
        </w:rPr>
        <w:t>générales</w:t>
      </w:r>
    </w:p>
    <w:p w14:paraId="6CFB5439" w14:textId="77777777" w:rsidR="00F71A74" w:rsidRPr="008604E0" w:rsidRDefault="00F71A74" w:rsidP="001A4DC8">
      <w:pPr>
        <w:pStyle w:val="SingleTxtG"/>
        <w:ind w:left="2268"/>
        <w:rPr>
          <w:rFonts w:eastAsia="Calibri"/>
          <w:lang w:val="fr-FR"/>
        </w:rPr>
      </w:pPr>
      <w:r w:rsidRPr="008604E0">
        <w:rPr>
          <w:rFonts w:eastAsia="Calibri"/>
          <w:lang w:val="fr-FR"/>
        </w:rPr>
        <w:tab/>
        <w:t>L</w:t>
      </w:r>
      <w:r>
        <w:rPr>
          <w:rFonts w:eastAsia="Calibri"/>
          <w:lang w:val="fr-FR"/>
        </w:rPr>
        <w:t>’</w:t>
      </w:r>
      <w:r w:rsidRPr="008604E0">
        <w:rPr>
          <w:rFonts w:eastAsia="Calibri"/>
          <w:lang w:val="fr-FR"/>
        </w:rPr>
        <w:t xml:space="preserve">installation doit être </w:t>
      </w:r>
      <w:r w:rsidRPr="008604E0">
        <w:rPr>
          <w:lang w:val="fr-FR"/>
        </w:rPr>
        <w:t>conçue</w:t>
      </w:r>
      <w:r w:rsidRPr="008604E0">
        <w:rPr>
          <w:rFonts w:eastAsia="Calibri"/>
          <w:lang w:val="fr-FR"/>
        </w:rPr>
        <w:t xml:space="preserve">, réalisée et protégée de façon à ne pouvoir </w:t>
      </w:r>
      <w:r w:rsidRPr="008604E0">
        <w:rPr>
          <w:lang w:val="fr-FR"/>
        </w:rPr>
        <w:t>provoquer</w:t>
      </w:r>
      <w:r w:rsidRPr="008604E0">
        <w:rPr>
          <w:rFonts w:eastAsia="Calibri"/>
          <w:lang w:val="fr-FR"/>
        </w:rPr>
        <w:t xml:space="preserve"> ni inflammation ni court-circuit dans des conditions normales d</w:t>
      </w:r>
      <w:r>
        <w:rPr>
          <w:rFonts w:eastAsia="Calibri"/>
          <w:lang w:val="fr-FR"/>
        </w:rPr>
        <w:t>’</w:t>
      </w:r>
      <w:r w:rsidRPr="008604E0">
        <w:rPr>
          <w:rFonts w:eastAsia="Calibri"/>
          <w:lang w:val="fr-FR"/>
        </w:rPr>
        <w:t>utilisation des véhicules.</w:t>
      </w:r>
    </w:p>
    <w:p w14:paraId="00DB027A" w14:textId="73D883D4" w:rsidR="00F71A74" w:rsidRPr="008604E0" w:rsidRDefault="00F71A74" w:rsidP="001A4DC8">
      <w:pPr>
        <w:pStyle w:val="SingleTxtG"/>
        <w:ind w:left="2268"/>
        <w:rPr>
          <w:lang w:val="fr-FR" w:eastAsia="fr-FR"/>
        </w:rPr>
      </w:pPr>
      <w:r w:rsidRPr="008604E0">
        <w:rPr>
          <w:rFonts w:eastAsia="Calibri"/>
          <w:lang w:val="fr-FR"/>
        </w:rPr>
        <w:tab/>
      </w:r>
      <w:r w:rsidRPr="008604E0">
        <w:rPr>
          <w:lang w:val="fr-FR"/>
        </w:rPr>
        <w:t>L</w:t>
      </w:r>
      <w:r>
        <w:rPr>
          <w:lang w:val="fr-FR"/>
        </w:rPr>
        <w:t>’</w:t>
      </w:r>
      <w:r w:rsidRPr="008604E0">
        <w:rPr>
          <w:lang w:val="fr-FR"/>
        </w:rPr>
        <w:t>installation</w:t>
      </w:r>
      <w:r w:rsidRPr="008604E0">
        <w:rPr>
          <w:rFonts w:eastAsia="Calibri"/>
          <w:lang w:val="fr-FR"/>
        </w:rPr>
        <w:t xml:space="preserve"> </w:t>
      </w:r>
      <w:r w:rsidRPr="008604E0">
        <w:rPr>
          <w:lang w:val="fr-FR"/>
        </w:rPr>
        <w:t>électrique</w:t>
      </w:r>
      <w:r w:rsidRPr="008604E0">
        <w:rPr>
          <w:rFonts w:eastAsia="Calibri"/>
          <w:strike/>
          <w:lang w:val="fr-FR"/>
        </w:rPr>
        <w:t xml:space="preserve"> dans son ensemble</w:t>
      </w:r>
      <w:r w:rsidRPr="008604E0">
        <w:rPr>
          <w:rFonts w:eastAsia="Calibri"/>
          <w:b/>
          <w:bCs/>
          <w:strike/>
          <w:lang w:val="fr-FR"/>
        </w:rPr>
        <w:t>,</w:t>
      </w:r>
      <w:r w:rsidRPr="008604E0">
        <w:rPr>
          <w:rFonts w:eastAsia="Calibri"/>
          <w:lang w:val="fr-FR"/>
        </w:rPr>
        <w:t xml:space="preserve"> </w:t>
      </w:r>
      <w:r w:rsidRPr="008604E0">
        <w:rPr>
          <w:rFonts w:eastAsia="Calibri"/>
          <w:b/>
          <w:bCs/>
          <w:lang w:val="fr-FR"/>
        </w:rPr>
        <w:t>à l</w:t>
      </w:r>
      <w:r>
        <w:rPr>
          <w:rFonts w:eastAsia="Calibri"/>
          <w:b/>
          <w:bCs/>
          <w:lang w:val="fr-FR"/>
        </w:rPr>
        <w:t>’</w:t>
      </w:r>
      <w:r w:rsidRPr="008604E0">
        <w:rPr>
          <w:rFonts w:eastAsia="Calibri"/>
          <w:b/>
          <w:bCs/>
          <w:lang w:val="fr-FR"/>
        </w:rPr>
        <w:t>exception de la chaîne de traction électrique conforme aux prescriptions techniques du Règlement ONU n</w:t>
      </w:r>
      <w:r w:rsidRPr="0084458F">
        <w:rPr>
          <w:rFonts w:eastAsia="Calibri"/>
          <w:b/>
          <w:bCs/>
          <w:vertAlign w:val="superscript"/>
          <w:lang w:val="fr-FR"/>
        </w:rPr>
        <w:t>o</w:t>
      </w:r>
      <w:r w:rsidRPr="008604E0">
        <w:rPr>
          <w:rFonts w:eastAsia="Calibri"/>
          <w:b/>
          <w:bCs/>
          <w:lang w:val="fr-FR"/>
        </w:rPr>
        <w:t xml:space="preserve"> 100, tel que modifié au m</w:t>
      </w:r>
      <w:r>
        <w:rPr>
          <w:rFonts w:eastAsia="Calibri"/>
          <w:b/>
          <w:bCs/>
          <w:lang w:val="fr-FR"/>
        </w:rPr>
        <w:t xml:space="preserve">inimum </w:t>
      </w:r>
      <w:r w:rsidRPr="008604E0">
        <w:rPr>
          <w:rFonts w:eastAsia="Calibri"/>
          <w:b/>
          <w:bCs/>
          <w:lang w:val="fr-FR"/>
        </w:rPr>
        <w:t>par la série 03 d</w:t>
      </w:r>
      <w:r>
        <w:rPr>
          <w:rFonts w:eastAsia="Calibri"/>
          <w:b/>
          <w:bCs/>
          <w:lang w:val="fr-FR"/>
        </w:rPr>
        <w:t>’</w:t>
      </w:r>
      <w:r w:rsidRPr="008604E0">
        <w:rPr>
          <w:rFonts w:eastAsia="Calibri"/>
          <w:b/>
          <w:bCs/>
          <w:lang w:val="fr-FR"/>
        </w:rPr>
        <w:t>amendements,</w:t>
      </w:r>
      <w:r w:rsidRPr="008604E0">
        <w:rPr>
          <w:rFonts w:eastAsia="Calibri"/>
          <w:lang w:val="fr-FR"/>
        </w:rPr>
        <w:t xml:space="preserve"> doit satisfaire aux dispositions des paragraphes 5.1.1.2 à 5.1.1.9, conformément au tableau du paragraphe 5.1.</w:t>
      </w:r>
      <w:r w:rsidR="00213147">
        <w:rPr>
          <w:rFonts w:eastAsia="Calibri"/>
          <w:lang w:val="fr-FR"/>
        </w:rPr>
        <w:t> </w:t>
      </w:r>
      <w:r w:rsidRPr="008604E0">
        <w:rPr>
          <w:rFonts w:eastAsia="Calibri"/>
          <w:lang w:val="fr-FR"/>
        </w:rPr>
        <w:t>»</w:t>
      </w:r>
    </w:p>
    <w:p w14:paraId="6CFAA7DB" w14:textId="2B3E173B" w:rsidR="00F71A74" w:rsidRPr="008604E0" w:rsidRDefault="00F71A74" w:rsidP="001A4DC8">
      <w:pPr>
        <w:pStyle w:val="SingleTxtG"/>
        <w:rPr>
          <w:lang w:val="fr-FR"/>
        </w:rPr>
      </w:pPr>
      <w:r w:rsidRPr="008604E0">
        <w:rPr>
          <w:i/>
          <w:iCs/>
          <w:lang w:val="fr-FR"/>
        </w:rPr>
        <w:t>Paragraphe 5.1.1.2.1</w:t>
      </w:r>
      <w:r w:rsidRPr="008604E0">
        <w:rPr>
          <w:lang w:val="fr-FR"/>
        </w:rPr>
        <w:t>, lire</w:t>
      </w:r>
      <w:r w:rsidR="00213147">
        <w:rPr>
          <w:lang w:val="fr-FR"/>
        </w:rPr>
        <w:t> </w:t>
      </w:r>
      <w:r w:rsidRPr="008604E0">
        <w:rPr>
          <w:lang w:val="fr-FR"/>
        </w:rPr>
        <w:t>:</w:t>
      </w:r>
    </w:p>
    <w:p w14:paraId="67067CD6" w14:textId="77777777" w:rsidR="00F71A74" w:rsidRPr="008604E0" w:rsidRDefault="00F71A74" w:rsidP="00F71A74">
      <w:pPr>
        <w:pStyle w:val="SingleTxtG"/>
        <w:ind w:left="2268" w:hanging="1134"/>
        <w:rPr>
          <w:lang w:val="fr-FR"/>
        </w:rPr>
      </w:pPr>
      <w:r w:rsidRPr="008604E0">
        <w:rPr>
          <w:lang w:val="fr-FR"/>
        </w:rPr>
        <w:t>« 5.1.1.2.1</w:t>
      </w:r>
      <w:r w:rsidRPr="008604E0">
        <w:rPr>
          <w:lang w:val="fr-FR"/>
        </w:rPr>
        <w:tab/>
        <w:t>Câbles</w:t>
      </w:r>
    </w:p>
    <w:p w14:paraId="7EF001EB" w14:textId="77777777" w:rsidR="00F71A74" w:rsidRPr="008604E0" w:rsidRDefault="00F71A74" w:rsidP="00F71A74">
      <w:pPr>
        <w:pStyle w:val="SingleTxtG"/>
        <w:ind w:left="2268"/>
        <w:rPr>
          <w:lang w:val="fr-FR"/>
        </w:rPr>
      </w:pPr>
      <w:r w:rsidRPr="008604E0">
        <w:rPr>
          <w:lang w:val="fr-FR"/>
        </w:rPr>
        <w:t xml:space="preserve">Aucun câble utilisé dans un circuit </w:t>
      </w:r>
      <w:r w:rsidRPr="008604E0">
        <w:rPr>
          <w:bCs/>
          <w:lang w:val="fr-FR"/>
        </w:rPr>
        <w:t>électrique ne doit transmettre un courant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 xml:space="preserve">une intensité </w:t>
      </w:r>
      <w:r w:rsidRPr="008604E0">
        <w:rPr>
          <w:lang w:val="fr-FR"/>
        </w:rPr>
        <w:t>supérieure</w:t>
      </w:r>
      <w:r w:rsidRPr="008604E0">
        <w:rPr>
          <w:bCs/>
          <w:lang w:val="fr-FR"/>
        </w:rPr>
        <w:t xml:space="preserve"> à celle pour laquelle il a été conçu. Les câbles doivent être convenablement isolés</w:t>
      </w:r>
      <w:r w:rsidRPr="008604E0">
        <w:rPr>
          <w:lang w:val="fr-FR"/>
        </w:rPr>
        <w:t>.</w:t>
      </w:r>
    </w:p>
    <w:p w14:paraId="58868EF4" w14:textId="77777777" w:rsidR="00F71A74" w:rsidRPr="008604E0" w:rsidRDefault="00F71A74" w:rsidP="00F71A74">
      <w:pPr>
        <w:pStyle w:val="SingleTxtG"/>
        <w:ind w:left="2268"/>
        <w:rPr>
          <w:lang w:val="fr-FR"/>
        </w:rPr>
      </w:pPr>
      <w:r w:rsidRPr="008604E0">
        <w:rPr>
          <w:bCs/>
          <w:lang w:val="fr-FR"/>
        </w:rPr>
        <w:t>Les câbles doivent être adaptés aux conditions dans lesquelles il est prévu de les utiliser, notamment les conditions de température et de compatibilité avec les fluides.</w:t>
      </w:r>
    </w:p>
    <w:p w14:paraId="3D2706C6" w14:textId="1911839F" w:rsidR="00F71A74" w:rsidRPr="008604E0" w:rsidRDefault="00F71A74" w:rsidP="00F71A74">
      <w:pPr>
        <w:pStyle w:val="SingleTxtG"/>
        <w:ind w:left="2268"/>
        <w:rPr>
          <w:lang w:val="fr-FR" w:eastAsia="fr-FR"/>
        </w:rPr>
      </w:pPr>
      <w:r w:rsidRPr="008604E0">
        <w:rPr>
          <w:bCs/>
          <w:lang w:val="fr-FR"/>
        </w:rPr>
        <w:t>Les câbles doivent être conformes à la norme ISO 6722-1:2011, y compris ses Cor</w:t>
      </w:r>
      <w:r w:rsidR="00213147">
        <w:rPr>
          <w:bCs/>
          <w:lang w:val="fr-FR"/>
        </w:rPr>
        <w:t>r.</w:t>
      </w:r>
      <w:r w:rsidRPr="008604E0">
        <w:rPr>
          <w:bCs/>
          <w:lang w:val="fr-FR"/>
        </w:rPr>
        <w:t> 01:2012</w:t>
      </w:r>
      <w:r w:rsidRPr="008604E0">
        <w:rPr>
          <w:bCs/>
          <w:strike/>
          <w:lang w:val="fr-FR"/>
        </w:rPr>
        <w:t xml:space="preserve"> ou</w:t>
      </w:r>
      <w:r w:rsidRPr="008604E0">
        <w:rPr>
          <w:b/>
          <w:lang w:val="fr-FR"/>
        </w:rPr>
        <w:t>,</w:t>
      </w:r>
      <w:r w:rsidRPr="008604E0">
        <w:rPr>
          <w:bCs/>
          <w:lang w:val="fr-FR"/>
        </w:rPr>
        <w:t xml:space="preserve"> ISO 6722-2:2013</w:t>
      </w:r>
      <w:r w:rsidRPr="008604E0">
        <w:rPr>
          <w:strike/>
          <w:lang w:val="fr-FR"/>
        </w:rPr>
        <w:t>.</w:t>
      </w:r>
      <w:r w:rsidRPr="008604E0">
        <w:rPr>
          <w:b/>
          <w:bCs/>
          <w:lang w:val="fr-FR"/>
        </w:rPr>
        <w:t>, ISO 19642-3:2019, ISO 19642-4:2019, ISO 19642-5:2019 ou ISO 19642-6:2019</w:t>
      </w:r>
      <w:r w:rsidRPr="008604E0">
        <w:rPr>
          <w:lang w:val="fr-FR" w:eastAsia="fr-FR"/>
        </w:rPr>
        <w:t>.</w:t>
      </w:r>
    </w:p>
    <w:p w14:paraId="1D3BB57F" w14:textId="4FF31B9D" w:rsidR="00F71A74" w:rsidRDefault="00F71A74" w:rsidP="001A4DC8">
      <w:pPr>
        <w:pStyle w:val="SingleTxtG"/>
        <w:ind w:left="2268"/>
        <w:rPr>
          <w:lang w:val="fr-FR" w:eastAsia="fr-FR"/>
        </w:rPr>
      </w:pPr>
      <w:r w:rsidRPr="008604E0">
        <w:rPr>
          <w:lang w:val="fr-FR" w:eastAsia="fr-FR"/>
        </w:rPr>
        <w:t>Ils doivent être solidement attachés et placés de façon à être protégés contre les agressions mécaniques et thermiques. »</w:t>
      </w:r>
      <w:r w:rsidR="00213147">
        <w:rPr>
          <w:lang w:val="fr-FR" w:eastAsia="fr-FR"/>
        </w:rPr>
        <w:t>.</w:t>
      </w:r>
    </w:p>
    <w:p w14:paraId="16AE7B44" w14:textId="45ECD998" w:rsidR="00F71A74" w:rsidRPr="008604E0" w:rsidRDefault="00F71A74" w:rsidP="001A4DC8">
      <w:pPr>
        <w:pStyle w:val="SingleTxtG"/>
        <w:rPr>
          <w:i/>
          <w:iCs/>
          <w:u w:val="single"/>
          <w:lang w:val="fr-FR"/>
        </w:rPr>
      </w:pPr>
      <w:r w:rsidRPr="008604E0">
        <w:rPr>
          <w:i/>
          <w:iCs/>
          <w:lang w:val="fr-FR"/>
        </w:rPr>
        <w:t>Paragraphe 5.1.1.2.2</w:t>
      </w:r>
      <w:r w:rsidRPr="008604E0">
        <w:rPr>
          <w:lang w:val="fr-FR"/>
        </w:rPr>
        <w:t>, lire</w:t>
      </w:r>
      <w:r w:rsidR="00213147">
        <w:rPr>
          <w:lang w:val="fr-FR"/>
        </w:rPr>
        <w:t> </w:t>
      </w:r>
      <w:r w:rsidRPr="008604E0">
        <w:rPr>
          <w:lang w:val="fr-FR"/>
        </w:rPr>
        <w:t>:</w:t>
      </w:r>
    </w:p>
    <w:p w14:paraId="3EBBA709" w14:textId="77777777" w:rsidR="00F71A74" w:rsidRPr="008604E0" w:rsidRDefault="00F71A74" w:rsidP="00F71A74">
      <w:pPr>
        <w:pStyle w:val="SingleTxtG"/>
        <w:ind w:left="2268" w:hanging="1134"/>
        <w:rPr>
          <w:lang w:val="fr-FR"/>
        </w:rPr>
      </w:pPr>
      <w:r w:rsidRPr="008604E0">
        <w:rPr>
          <w:lang w:val="fr-FR"/>
        </w:rPr>
        <w:t>« 5.1.1.2.2</w:t>
      </w:r>
      <w:r w:rsidRPr="008604E0">
        <w:rPr>
          <w:lang w:val="fr-FR"/>
        </w:rPr>
        <w:tab/>
        <w:t>Protection supplémentaire</w:t>
      </w:r>
    </w:p>
    <w:p w14:paraId="4003DB1D" w14:textId="77777777" w:rsidR="00F71A74" w:rsidRPr="008604E0" w:rsidRDefault="00F71A74" w:rsidP="00F71A74">
      <w:pPr>
        <w:pStyle w:val="SingleTxtG"/>
        <w:ind w:left="2268"/>
        <w:rPr>
          <w:lang w:val="fr-FR"/>
        </w:rPr>
      </w:pPr>
      <w:r w:rsidRPr="008604E0">
        <w:rPr>
          <w:bCs/>
          <w:lang w:val="fr-FR"/>
        </w:rPr>
        <w:t>Les câbles situés à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 xml:space="preserve">arrière de la </w:t>
      </w:r>
      <w:r w:rsidRPr="008604E0">
        <w:rPr>
          <w:lang w:val="fr-FR"/>
        </w:rPr>
        <w:t>cabine</w:t>
      </w:r>
      <w:r w:rsidRPr="008604E0">
        <w:rPr>
          <w:bCs/>
          <w:lang w:val="fr-FR"/>
        </w:rPr>
        <w:t xml:space="preserve"> de conduite et sur les remorques doivent en outre être protégés de façon à réduire au minimum les risques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inflammation ou de court-circuit accidentels en cas de choc ou de déformation</w:t>
      </w:r>
      <w:r w:rsidRPr="008604E0">
        <w:rPr>
          <w:lang w:val="fr-FR"/>
        </w:rPr>
        <w:t>.</w:t>
      </w:r>
    </w:p>
    <w:p w14:paraId="6EF9AF04" w14:textId="77777777" w:rsidR="00F71A74" w:rsidRPr="008604E0" w:rsidRDefault="00F71A74" w:rsidP="00F71A74">
      <w:pPr>
        <w:pStyle w:val="SingleTxtG"/>
        <w:ind w:left="2268"/>
        <w:rPr>
          <w:lang w:val="fr-FR"/>
        </w:rPr>
      </w:pPr>
      <w:r w:rsidRPr="008604E0">
        <w:rPr>
          <w:bCs/>
          <w:lang w:val="fr-FR"/>
        </w:rPr>
        <w:t xml:space="preserve">Cette protection supplémentaire </w:t>
      </w:r>
      <w:r w:rsidRPr="008604E0">
        <w:rPr>
          <w:lang w:val="fr-FR"/>
        </w:rPr>
        <w:t>doit</w:t>
      </w:r>
      <w:r w:rsidRPr="008604E0">
        <w:rPr>
          <w:bCs/>
          <w:lang w:val="fr-FR"/>
        </w:rPr>
        <w:t xml:space="preserve"> être adaptée aux conditions normales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utilisation du véhicule</w:t>
      </w:r>
      <w:r w:rsidRPr="008604E0">
        <w:rPr>
          <w:lang w:val="fr-FR"/>
        </w:rPr>
        <w:t>.</w:t>
      </w:r>
    </w:p>
    <w:p w14:paraId="7BBC113A" w14:textId="6D1D1795" w:rsidR="00F71A74" w:rsidRPr="008604E0" w:rsidRDefault="00F71A74" w:rsidP="00F71A74">
      <w:pPr>
        <w:pStyle w:val="SingleTxtG"/>
        <w:ind w:left="2268"/>
        <w:rPr>
          <w:lang w:val="fr-FR"/>
        </w:rPr>
      </w:pPr>
      <w:r w:rsidRPr="008604E0">
        <w:rPr>
          <w:bCs/>
          <w:lang w:val="fr-FR"/>
        </w:rPr>
        <w:t>Elle est assurée lorsqu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on utilise des câbles multifilaires conformes à la norme ISO 14572:2011</w:t>
      </w:r>
      <w:r w:rsidRPr="008604E0">
        <w:rPr>
          <w:b/>
          <w:lang w:val="fr-FR"/>
        </w:rPr>
        <w:t>, ISO 19642-7:2019, ISO 19642-8:2019, ISO 19642-9:2019 ou ISO 19642:10:2019</w:t>
      </w:r>
      <w:r w:rsidRPr="008604E0">
        <w:rPr>
          <w:bCs/>
          <w:lang w:val="fr-FR"/>
        </w:rPr>
        <w:t xml:space="preserve"> ou correspondant à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 xml:space="preserve">un des exemples donnés dans les </w:t>
      </w:r>
      <w:r w:rsidRPr="008604E0">
        <w:rPr>
          <w:lang w:val="fr-FR"/>
        </w:rPr>
        <w:t>figures</w:t>
      </w:r>
      <w:r w:rsidR="00213147">
        <w:rPr>
          <w:bCs/>
          <w:lang w:val="fr-FR"/>
        </w:rPr>
        <w:t> </w:t>
      </w:r>
      <w:r w:rsidRPr="008604E0">
        <w:rPr>
          <w:bCs/>
          <w:lang w:val="fr-FR"/>
        </w:rPr>
        <w:t>1 à 4 ci-après, ou toute autre configuration offrant une protection comparable</w:t>
      </w:r>
      <w:r w:rsidRPr="008604E0">
        <w:rPr>
          <w:lang w:val="fr-FR"/>
        </w:rPr>
        <w:t>.</w:t>
      </w:r>
    </w:p>
    <w:p w14:paraId="78EDEA1C" w14:textId="77777777" w:rsidR="00F71A74" w:rsidRPr="008604E0" w:rsidRDefault="00F71A74" w:rsidP="00F71A74">
      <w:pPr>
        <w:pStyle w:val="SingleTxtG"/>
        <w:ind w:left="2268"/>
        <w:rPr>
          <w:lang w:val="fr-FR"/>
        </w:rPr>
      </w:pPr>
      <w:r w:rsidRPr="008604E0">
        <w:rPr>
          <w:bCs/>
          <w:lang w:val="fr-FR"/>
        </w:rPr>
        <w:t>Il n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 xml:space="preserve">est pas nécessaire de prévoir </w:t>
      </w:r>
      <w:r w:rsidRPr="008604E0">
        <w:rPr>
          <w:lang w:val="fr-FR"/>
        </w:rPr>
        <w:t>une</w:t>
      </w:r>
      <w:r w:rsidRPr="008604E0">
        <w:rPr>
          <w:bCs/>
          <w:lang w:val="fr-FR"/>
        </w:rPr>
        <w:t xml:space="preserve"> protection supplémentaire pour les câbles des capteurs de vitesse des roues</w:t>
      </w:r>
      <w:r w:rsidRPr="008604E0">
        <w:rPr>
          <w:lang w:val="fr-FR"/>
        </w:rPr>
        <w:t>.</w:t>
      </w:r>
    </w:p>
    <w:p w14:paraId="5A3B20BE" w14:textId="77777777" w:rsidR="00F71A74" w:rsidRPr="008604E0" w:rsidRDefault="00F71A74" w:rsidP="00F71A74">
      <w:pPr>
        <w:pStyle w:val="SingleTxtG"/>
        <w:ind w:left="2268"/>
        <w:rPr>
          <w:lang w:val="fr-FR" w:eastAsia="fr-FR"/>
        </w:rPr>
      </w:pPr>
      <w:r w:rsidRPr="008604E0">
        <w:rPr>
          <w:bCs/>
          <w:lang w:val="fr-FR"/>
        </w:rPr>
        <w:t>Les véhicules EX/II, qui sont des fourgons construits en une seule étape sur lesquels les canalisations à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arrière de la cabine de conduite sont protégées par la carrosserie, sont réputés conformes à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exigence de protection supplémentaire.</w:t>
      </w:r>
    </w:p>
    <w:p w14:paraId="2963FA82" w14:textId="77777777" w:rsidR="00F71A74" w:rsidRPr="008604E0" w:rsidRDefault="00F71A74" w:rsidP="001A4DC8">
      <w:pPr>
        <w:pStyle w:val="SingleTxtG"/>
        <w:ind w:left="2268"/>
        <w:rPr>
          <w:lang w:val="fr-FR" w:eastAsia="fr-FR"/>
        </w:rPr>
      </w:pPr>
      <w:r w:rsidRPr="008604E0">
        <w:rPr>
          <w:lang w:val="fr-FR" w:eastAsia="fr-FR"/>
        </w:rPr>
        <w:t>Figure 1</w:t>
      </w:r>
    </w:p>
    <w:p w14:paraId="7B8E0CC3" w14:textId="101E99C1" w:rsidR="00F71A74" w:rsidRPr="008604E0" w:rsidRDefault="00F71A74" w:rsidP="001A4DC8">
      <w:pPr>
        <w:pStyle w:val="SingleTxtG"/>
        <w:ind w:left="2268"/>
        <w:rPr>
          <w:lang w:val="fr-FR" w:eastAsia="fr-FR"/>
        </w:rPr>
      </w:pPr>
      <w:r w:rsidRPr="008604E0">
        <w:rPr>
          <w:lang w:val="fr-FR" w:eastAsia="fr-FR"/>
        </w:rPr>
        <w:t>… »</w:t>
      </w:r>
      <w:r w:rsidR="00213147">
        <w:rPr>
          <w:lang w:val="fr-FR" w:eastAsia="fr-FR"/>
        </w:rPr>
        <w:t>.</w:t>
      </w:r>
    </w:p>
    <w:p w14:paraId="138C963E" w14:textId="0F94B6FA" w:rsidR="00F71A74" w:rsidRPr="008604E0" w:rsidRDefault="00F71A74" w:rsidP="00F71A74">
      <w:pPr>
        <w:pStyle w:val="SingleTxtG"/>
        <w:rPr>
          <w:lang w:val="fr-FR"/>
        </w:rPr>
      </w:pPr>
      <w:r w:rsidRPr="008604E0">
        <w:rPr>
          <w:i/>
          <w:iCs/>
          <w:lang w:val="fr-FR"/>
        </w:rPr>
        <w:t>Paragraphe 5.1.2.1</w:t>
      </w:r>
      <w:r w:rsidRPr="008604E0">
        <w:rPr>
          <w:lang w:val="fr-FR"/>
        </w:rPr>
        <w:t>, lire</w:t>
      </w:r>
      <w:r w:rsidR="00213147">
        <w:rPr>
          <w:lang w:val="fr-FR"/>
        </w:rPr>
        <w:t> </w:t>
      </w:r>
      <w:r w:rsidRPr="008604E0">
        <w:rPr>
          <w:lang w:val="fr-FR"/>
        </w:rPr>
        <w:t>:</w:t>
      </w:r>
    </w:p>
    <w:p w14:paraId="136C96AD" w14:textId="573C3FC1" w:rsidR="00F71A74" w:rsidRPr="008604E0" w:rsidRDefault="00F71A74" w:rsidP="00F71A74">
      <w:pPr>
        <w:pStyle w:val="SingleTxtG"/>
        <w:ind w:left="2268" w:hanging="1134"/>
        <w:rPr>
          <w:lang w:val="fr-FR" w:eastAsia="fr-FR"/>
        </w:rPr>
      </w:pPr>
      <w:r w:rsidRPr="008604E0">
        <w:rPr>
          <w:lang w:val="fr-FR" w:eastAsia="fr-FR"/>
        </w:rPr>
        <w:t>« 5.1.2.1</w:t>
      </w:r>
      <w:r w:rsidRPr="008604E0">
        <w:rPr>
          <w:lang w:val="fr-FR" w:eastAsia="fr-FR"/>
        </w:rPr>
        <w:tab/>
      </w:r>
      <w:r w:rsidRPr="008604E0">
        <w:rPr>
          <w:lang w:val="fr-FR" w:eastAsia="fr-FR"/>
        </w:rPr>
        <w:tab/>
        <w:t>Les véhicules portant les désignations EX/II, EX/III, AT, FL et MEMU doivent respecter toutes les prescriptions pertinentes du Règlement n</w:t>
      </w:r>
      <w:r w:rsidRPr="0084458F">
        <w:rPr>
          <w:vertAlign w:val="superscript"/>
          <w:lang w:val="fr-FR" w:eastAsia="fr-FR"/>
        </w:rPr>
        <w:t>o</w:t>
      </w:r>
      <w:r w:rsidRPr="008604E0">
        <w:rPr>
          <w:lang w:val="fr-FR" w:eastAsia="fr-FR"/>
        </w:rPr>
        <w:t xml:space="preserve"> 13, y compris celles de l</w:t>
      </w:r>
      <w:r>
        <w:rPr>
          <w:lang w:val="fr-FR" w:eastAsia="fr-FR"/>
        </w:rPr>
        <w:t>’</w:t>
      </w:r>
      <w:r w:rsidRPr="008604E0">
        <w:rPr>
          <w:lang w:val="fr-FR" w:eastAsia="fr-FR"/>
        </w:rPr>
        <w:t>annexe 5.</w:t>
      </w:r>
    </w:p>
    <w:p w14:paraId="47DD2FA2" w14:textId="3D66B787" w:rsidR="00F71A74" w:rsidRPr="008604E0" w:rsidRDefault="00F71A74" w:rsidP="001A4DC8">
      <w:pPr>
        <w:pStyle w:val="SingleTxtG"/>
        <w:ind w:left="2268"/>
        <w:rPr>
          <w:b/>
          <w:bCs/>
          <w:lang w:val="fr-FR"/>
        </w:rPr>
      </w:pPr>
      <w:r w:rsidRPr="008604E0">
        <w:rPr>
          <w:b/>
          <w:bCs/>
          <w:lang w:val="fr-FR"/>
        </w:rPr>
        <w:lastRenderedPageBreak/>
        <w:t xml:space="preserve">Les véhicules équipés </w:t>
      </w:r>
      <w:r>
        <w:rPr>
          <w:b/>
          <w:bCs/>
          <w:lang w:val="fr-FR"/>
        </w:rPr>
        <w:t>d’</w:t>
      </w:r>
      <w:r w:rsidRPr="008604E0">
        <w:rPr>
          <w:b/>
          <w:bCs/>
          <w:lang w:val="fr-FR"/>
        </w:rPr>
        <w:t>un système de freinage électrique à récupération doivent satisfaire à toutes les prescriptions techniques pertinentes du Règlement ONU n</w:t>
      </w:r>
      <w:r w:rsidRPr="0084458F">
        <w:rPr>
          <w:b/>
          <w:bCs/>
          <w:vertAlign w:val="superscript"/>
          <w:lang w:val="fr-FR"/>
        </w:rPr>
        <w:t>o</w:t>
      </w:r>
      <w:r w:rsidRPr="008604E0">
        <w:rPr>
          <w:b/>
          <w:bCs/>
          <w:lang w:val="fr-FR"/>
        </w:rPr>
        <w:t xml:space="preserve"> 13, tel que modifié au minimum par la série 11 d´amendements, selon qu</w:t>
      </w:r>
      <w:r>
        <w:rPr>
          <w:b/>
          <w:bCs/>
          <w:lang w:val="fr-FR"/>
        </w:rPr>
        <w:t>’</w:t>
      </w:r>
      <w:r w:rsidRPr="008604E0">
        <w:rPr>
          <w:b/>
          <w:bCs/>
          <w:lang w:val="fr-FR"/>
        </w:rPr>
        <w:t>il convient. »</w:t>
      </w:r>
      <w:r w:rsidR="00213147" w:rsidRPr="00213147">
        <w:rPr>
          <w:lang w:val="fr-FR"/>
        </w:rPr>
        <w:t>.</w:t>
      </w:r>
    </w:p>
    <w:p w14:paraId="0B7929F4" w14:textId="70B55C3F" w:rsidR="00F71A74" w:rsidRPr="008604E0" w:rsidRDefault="00F71A74" w:rsidP="001A4DC8">
      <w:pPr>
        <w:pStyle w:val="SingleTxtG"/>
        <w:rPr>
          <w:i/>
          <w:iCs/>
          <w:lang w:val="fr-FR"/>
        </w:rPr>
      </w:pPr>
      <w:r w:rsidRPr="008604E0">
        <w:rPr>
          <w:i/>
          <w:iCs/>
          <w:lang w:val="fr-FR"/>
        </w:rPr>
        <w:t>Paragraphe 5.1.3.2</w:t>
      </w:r>
      <w:r w:rsidRPr="008604E0">
        <w:rPr>
          <w:lang w:val="fr-FR"/>
        </w:rPr>
        <w:t>, lire</w:t>
      </w:r>
      <w:r w:rsidR="00213147">
        <w:rPr>
          <w:lang w:val="fr-FR"/>
        </w:rPr>
        <w:t> </w:t>
      </w:r>
      <w:r w:rsidRPr="008604E0">
        <w:rPr>
          <w:lang w:val="fr-FR"/>
        </w:rPr>
        <w:t>:</w:t>
      </w:r>
      <w:r w:rsidRPr="008604E0">
        <w:rPr>
          <w:i/>
          <w:iCs/>
          <w:lang w:val="fr-FR"/>
        </w:rPr>
        <w:t xml:space="preserve"> </w:t>
      </w:r>
    </w:p>
    <w:p w14:paraId="424B2FC9" w14:textId="77777777" w:rsidR="00F71A74" w:rsidRPr="008604E0" w:rsidRDefault="00F71A74" w:rsidP="001A4DC8">
      <w:pPr>
        <w:pStyle w:val="SingleTxtG"/>
        <w:ind w:left="2268" w:hanging="1134"/>
        <w:rPr>
          <w:lang w:val="fr-FR" w:eastAsia="fr-FR"/>
        </w:rPr>
      </w:pPr>
      <w:r w:rsidRPr="008604E0">
        <w:rPr>
          <w:lang w:val="fr-FR" w:eastAsia="fr-FR"/>
        </w:rPr>
        <w:t>« 5.1.3.2</w:t>
      </w:r>
      <w:r w:rsidRPr="008604E0">
        <w:rPr>
          <w:lang w:val="fr-FR" w:eastAsia="fr-FR"/>
        </w:rPr>
        <w:tab/>
        <w:t>Réservoirs et bouteilles de carburant</w:t>
      </w:r>
    </w:p>
    <w:p w14:paraId="59750A0F" w14:textId="4F2BE312" w:rsidR="00F71A74" w:rsidRPr="008604E0" w:rsidRDefault="00F71A74" w:rsidP="001A4DC8">
      <w:pPr>
        <w:pStyle w:val="SingleTxtG"/>
        <w:ind w:left="2268"/>
        <w:rPr>
          <w:b/>
          <w:bCs/>
          <w:lang w:val="fr-FR"/>
        </w:rPr>
      </w:pPr>
      <w:r w:rsidRPr="008604E0">
        <w:rPr>
          <w:b/>
          <w:bCs/>
          <w:lang w:val="fr-FR"/>
        </w:rPr>
        <w:t>NOTA</w:t>
      </w:r>
      <w:r w:rsidR="00213147">
        <w:rPr>
          <w:b/>
          <w:bCs/>
          <w:lang w:val="fr-FR"/>
        </w:rPr>
        <w:t> </w:t>
      </w:r>
      <w:r w:rsidRPr="008604E0">
        <w:rPr>
          <w:b/>
          <w:bCs/>
          <w:lang w:val="fr-FR"/>
        </w:rPr>
        <w:t>: Le 9.2.4.3 s</w:t>
      </w:r>
      <w:r>
        <w:rPr>
          <w:b/>
          <w:bCs/>
          <w:lang w:val="fr-FR"/>
        </w:rPr>
        <w:t>’</w:t>
      </w:r>
      <w:r w:rsidRPr="008604E0">
        <w:rPr>
          <w:b/>
          <w:bCs/>
          <w:lang w:val="fr-FR"/>
        </w:rPr>
        <w:t>applique également aux réservoirs et bouteilles de carburant utilisés pour les véhicules hybrides comprenant une chaîne de traction électrique associée à la transmission mécanique du moteur à combustion interne, ou qui utilisent un moteur à combustion interne pour entraîner un générateur afin d</w:t>
      </w:r>
      <w:r>
        <w:rPr>
          <w:b/>
          <w:bCs/>
          <w:lang w:val="fr-FR"/>
        </w:rPr>
        <w:t>’</w:t>
      </w:r>
      <w:r w:rsidRPr="008604E0">
        <w:rPr>
          <w:b/>
          <w:bCs/>
          <w:lang w:val="fr-FR"/>
        </w:rPr>
        <w:t xml:space="preserve">alimenter la chaîne de traction électrique. </w:t>
      </w:r>
    </w:p>
    <w:p w14:paraId="7A0FCBB2" w14:textId="77777777" w:rsidR="00F71A74" w:rsidRPr="008604E0" w:rsidRDefault="00F71A74" w:rsidP="00F71A74">
      <w:pPr>
        <w:pStyle w:val="SingleTxtG"/>
        <w:ind w:left="2268"/>
        <w:rPr>
          <w:lang w:val="fr-FR"/>
        </w:rPr>
      </w:pPr>
      <w:r w:rsidRPr="008604E0">
        <w:rPr>
          <w:lang w:val="fr-FR"/>
        </w:rPr>
        <w:t xml:space="preserve">Les réservoirs </w:t>
      </w:r>
      <w:r w:rsidRPr="008604E0">
        <w:rPr>
          <w:bCs/>
          <w:lang w:val="fr-FR"/>
        </w:rPr>
        <w:t xml:space="preserve">et bouteilles </w:t>
      </w:r>
      <w:r w:rsidRPr="008604E0">
        <w:rPr>
          <w:lang w:val="fr-FR"/>
        </w:rPr>
        <w:t>de carburant pour l</w:t>
      </w:r>
      <w:r>
        <w:rPr>
          <w:lang w:val="fr-FR"/>
        </w:rPr>
        <w:t>’</w:t>
      </w:r>
      <w:r w:rsidRPr="008604E0">
        <w:rPr>
          <w:lang w:val="fr-FR"/>
        </w:rPr>
        <w:t>alimentation du moteur du véhicule doivent répondre aux prescriptions suivantes :</w:t>
      </w:r>
    </w:p>
    <w:p w14:paraId="4B065B3B" w14:textId="77777777" w:rsidR="00F71A74" w:rsidRPr="008604E0" w:rsidRDefault="00F71A74" w:rsidP="00F71A74">
      <w:pPr>
        <w:pStyle w:val="SingleTxtG"/>
        <w:ind w:left="2835" w:hanging="567"/>
        <w:rPr>
          <w:lang w:val="fr-FR"/>
        </w:rPr>
      </w:pPr>
      <w:r w:rsidRPr="008604E0">
        <w:rPr>
          <w:lang w:val="fr-FR"/>
        </w:rPr>
        <w:t>a)</w:t>
      </w:r>
      <w:r w:rsidRPr="008604E0">
        <w:rPr>
          <w:lang w:val="fr-FR"/>
        </w:rPr>
        <w:tab/>
        <w:t xml:space="preserve">En cas de fuite </w:t>
      </w:r>
      <w:r w:rsidRPr="008604E0">
        <w:rPr>
          <w:bCs/>
          <w:lang w:val="fr-FR"/>
        </w:rPr>
        <w:t>survenant dans des conditions normales de transport</w:t>
      </w:r>
      <w:r w:rsidRPr="008604E0">
        <w:rPr>
          <w:lang w:val="fr-FR"/>
        </w:rPr>
        <w:t xml:space="preserve">, le carburant </w:t>
      </w:r>
      <w:r w:rsidRPr="008604E0">
        <w:rPr>
          <w:bCs/>
          <w:lang w:val="fr-FR"/>
        </w:rPr>
        <w:t>liquide ou la phase liquide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 xml:space="preserve">un carburant gazeux </w:t>
      </w:r>
      <w:r w:rsidRPr="008604E0">
        <w:rPr>
          <w:lang w:val="fr-FR"/>
        </w:rPr>
        <w:t>doit s</w:t>
      </w:r>
      <w:r>
        <w:rPr>
          <w:lang w:val="fr-FR"/>
        </w:rPr>
        <w:t>’</w:t>
      </w:r>
      <w:r w:rsidRPr="008604E0">
        <w:rPr>
          <w:lang w:val="fr-FR"/>
        </w:rPr>
        <w:t>écouler sur le sol e</w:t>
      </w:r>
      <w:r w:rsidRPr="008604E0">
        <w:rPr>
          <w:bCs/>
          <w:lang w:val="fr-FR"/>
        </w:rPr>
        <w:t>t ne doit pas entrer</w:t>
      </w:r>
      <w:r w:rsidRPr="008604E0">
        <w:rPr>
          <w:lang w:val="fr-FR"/>
        </w:rPr>
        <w:t xml:space="preserve"> en contact avec le </w:t>
      </w:r>
      <w:r w:rsidRPr="008604E0">
        <w:rPr>
          <w:bCs/>
          <w:lang w:val="fr-FR"/>
        </w:rPr>
        <w:t xml:space="preserve">chargement ou </w:t>
      </w:r>
      <w:r w:rsidRPr="008604E0">
        <w:rPr>
          <w:lang w:val="fr-FR"/>
        </w:rPr>
        <w:t>des parties chaudes du véhicule ;</w:t>
      </w:r>
    </w:p>
    <w:p w14:paraId="4DE6D21B" w14:textId="56811DE5" w:rsidR="00F71A74" w:rsidRPr="008604E0" w:rsidRDefault="00F71A74" w:rsidP="00F71A74">
      <w:pPr>
        <w:pStyle w:val="SingleTxtG"/>
        <w:ind w:left="2835" w:hanging="567"/>
        <w:rPr>
          <w:bCs/>
          <w:lang w:val="fr-FR"/>
        </w:rPr>
      </w:pPr>
      <w:r w:rsidRPr="008604E0">
        <w:rPr>
          <w:lang w:val="fr-FR"/>
        </w:rPr>
        <w:t>b)</w:t>
      </w:r>
      <w:r w:rsidRPr="008604E0">
        <w:rPr>
          <w:lang w:val="fr-FR"/>
        </w:rPr>
        <w:tab/>
      </w:r>
      <w:r w:rsidRPr="008604E0">
        <w:rPr>
          <w:bCs/>
          <w:lang w:val="fr-FR"/>
        </w:rPr>
        <w:t xml:space="preserve">Les réservoirs de carburant pour les combustibles liquides doivent être conformes aux dispositions du </w:t>
      </w:r>
      <w:r w:rsidRPr="008604E0">
        <w:rPr>
          <w:lang w:val="fr-FR"/>
        </w:rPr>
        <w:t>Règlement</w:t>
      </w:r>
      <w:r w:rsidRPr="008604E0">
        <w:rPr>
          <w:bCs/>
          <w:lang w:val="fr-FR"/>
        </w:rPr>
        <w:t xml:space="preserve"> </w:t>
      </w:r>
      <w:r w:rsidRPr="009C0F48">
        <w:rPr>
          <w:b/>
          <w:lang w:val="fr-FR"/>
        </w:rPr>
        <w:t>ONU</w:t>
      </w:r>
      <w:r w:rsidRPr="008604E0">
        <w:rPr>
          <w:bCs/>
          <w:lang w:val="fr-FR"/>
        </w:rPr>
        <w:t xml:space="preserve"> </w:t>
      </w:r>
      <w:r w:rsidRPr="008604E0">
        <w:rPr>
          <w:rFonts w:eastAsia="MS Mincho"/>
          <w:lang w:val="fr-FR"/>
        </w:rPr>
        <w:t>n</w:t>
      </w:r>
      <w:r w:rsidRPr="0084458F">
        <w:rPr>
          <w:rFonts w:eastAsia="MS Mincho"/>
          <w:vertAlign w:val="superscript"/>
          <w:lang w:val="fr-FR"/>
        </w:rPr>
        <w:t>o</w:t>
      </w:r>
      <w:r w:rsidRPr="008604E0">
        <w:rPr>
          <w:lang w:val="fr-FR"/>
        </w:rPr>
        <w:t> </w:t>
      </w:r>
      <w:r w:rsidRPr="008604E0">
        <w:rPr>
          <w:bCs/>
          <w:lang w:val="fr-FR"/>
        </w:rPr>
        <w:t>34 ; les réservoirs contenant de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essence doivent être équipés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un dispositif coupe</w:t>
      </w:r>
      <w:r w:rsidR="00B46A4F">
        <w:rPr>
          <w:bCs/>
          <w:lang w:val="fr-FR"/>
        </w:rPr>
        <w:noBreakHyphen/>
      </w:r>
      <w:r w:rsidRPr="008604E0">
        <w:rPr>
          <w:bCs/>
          <w:lang w:val="fr-FR"/>
        </w:rPr>
        <w:t>flammes efficace s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adaptant à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orifice de remplissage, ou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un dispositif permettant de maintenir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 xml:space="preserve">orifice de remplissage hermétiquement fermé. Les réservoirs de GNL et les bouteilles de GNC doivent satisfaire aux prescriptions pertinentes du Règlement </w:t>
      </w:r>
      <w:r w:rsidRPr="009C0F48">
        <w:rPr>
          <w:b/>
          <w:lang w:val="fr-FR"/>
        </w:rPr>
        <w:t>ONU</w:t>
      </w:r>
      <w:r>
        <w:rPr>
          <w:bCs/>
          <w:lang w:val="fr-FR"/>
        </w:rPr>
        <w:t xml:space="preserve"> </w:t>
      </w:r>
      <w:r w:rsidRPr="008604E0">
        <w:rPr>
          <w:rFonts w:eastAsia="MS Mincho"/>
          <w:bCs/>
          <w:lang w:val="fr-FR"/>
        </w:rPr>
        <w:t>n</w:t>
      </w:r>
      <w:r w:rsidRPr="0084458F">
        <w:rPr>
          <w:rFonts w:eastAsia="MS Mincho"/>
          <w:bCs/>
          <w:vertAlign w:val="superscript"/>
          <w:lang w:val="fr-FR"/>
        </w:rPr>
        <w:t>o</w:t>
      </w:r>
      <w:r w:rsidRPr="008604E0">
        <w:rPr>
          <w:bCs/>
          <w:lang w:val="fr-FR"/>
        </w:rPr>
        <w:t xml:space="preserve"> 110. Les réservoirs de GPL doivent satisfaire aux </w:t>
      </w:r>
      <w:r w:rsidRPr="008604E0">
        <w:rPr>
          <w:lang w:val="fr-FR"/>
        </w:rPr>
        <w:t>prescriptions</w:t>
      </w:r>
      <w:r w:rsidRPr="008604E0">
        <w:rPr>
          <w:bCs/>
          <w:lang w:val="fr-FR"/>
        </w:rPr>
        <w:t xml:space="preserve"> pertinentes du Règlement </w:t>
      </w:r>
      <w:r w:rsidRPr="009C0F48">
        <w:rPr>
          <w:b/>
          <w:lang w:val="fr-FR"/>
        </w:rPr>
        <w:t>ONU</w:t>
      </w:r>
      <w:r>
        <w:rPr>
          <w:bCs/>
          <w:lang w:val="fr-FR"/>
        </w:rPr>
        <w:t xml:space="preserve"> </w:t>
      </w:r>
      <w:r w:rsidRPr="008604E0">
        <w:rPr>
          <w:rFonts w:eastAsia="MS Mincho"/>
          <w:bCs/>
          <w:lang w:val="fr-FR"/>
        </w:rPr>
        <w:t>n</w:t>
      </w:r>
      <w:r w:rsidRPr="0084458F">
        <w:rPr>
          <w:rFonts w:eastAsia="MS Mincho"/>
          <w:bCs/>
          <w:vertAlign w:val="superscript"/>
          <w:lang w:val="fr-FR"/>
        </w:rPr>
        <w:t>o</w:t>
      </w:r>
      <w:r w:rsidRPr="008604E0">
        <w:rPr>
          <w:bCs/>
          <w:lang w:val="fr-FR"/>
        </w:rPr>
        <w:t> 67 ;</w:t>
      </w:r>
    </w:p>
    <w:p w14:paraId="2B173053" w14:textId="77777777" w:rsidR="00F71A74" w:rsidRPr="008604E0" w:rsidRDefault="00F71A74" w:rsidP="001A4DC8">
      <w:pPr>
        <w:pStyle w:val="SingleTxtG"/>
        <w:ind w:left="2835" w:hanging="567"/>
        <w:rPr>
          <w:lang w:val="fr-FR"/>
        </w:rPr>
      </w:pPr>
      <w:r w:rsidRPr="008604E0">
        <w:rPr>
          <w:lang w:val="fr-FR"/>
        </w:rPr>
        <w:t>c)</w:t>
      </w:r>
      <w:r w:rsidRPr="008604E0">
        <w:rPr>
          <w:lang w:val="fr-FR"/>
        </w:rPr>
        <w:tab/>
      </w:r>
      <w:r w:rsidRPr="008604E0">
        <w:rPr>
          <w:bCs/>
          <w:lang w:val="fr-FR"/>
        </w:rPr>
        <w:t>Les ouvertures de vidange des dispositifs ou soupapes de décompression des réservoirs de carburant contenant des carburants gazeux doivent être orientées dans une direction autre que celle des prises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air, des réservoirs de carburant, du chargement ou des parties chaudes du véhicule et ne doivent pas affecter les surfaces fermées, les autres véhicules, les systèmes montés à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extérieur avec une prise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air (par exemple les systèmes de climatisation),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admission du moteur ou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échappement du moteur. Les tuyaux du circuit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alimentation ne doivent pas être fixés sur le réservoir contenant le chargement. </w:t>
      </w:r>
      <w:r w:rsidRPr="008604E0">
        <w:rPr>
          <w:lang w:val="fr-FR"/>
        </w:rPr>
        <w:t>».</w:t>
      </w:r>
    </w:p>
    <w:p w14:paraId="33A5A3D0" w14:textId="60521AED" w:rsidR="00F71A74" w:rsidRPr="008604E0" w:rsidRDefault="00F71A74" w:rsidP="00F71A74">
      <w:pPr>
        <w:pStyle w:val="SingleTxtG"/>
        <w:rPr>
          <w:lang w:val="fr-FR"/>
        </w:rPr>
      </w:pPr>
      <w:r w:rsidRPr="008604E0">
        <w:rPr>
          <w:i/>
          <w:iCs/>
          <w:lang w:val="fr-FR"/>
        </w:rPr>
        <w:t>Paragraphe 5.1.3.3</w:t>
      </w:r>
      <w:r w:rsidRPr="008604E0">
        <w:rPr>
          <w:lang w:val="fr-FR"/>
        </w:rPr>
        <w:t>, lire</w:t>
      </w:r>
      <w:r w:rsidR="00B46A4F">
        <w:rPr>
          <w:lang w:val="fr-FR"/>
        </w:rPr>
        <w:t> </w:t>
      </w:r>
      <w:r w:rsidRPr="008604E0">
        <w:rPr>
          <w:lang w:val="fr-FR"/>
        </w:rPr>
        <w:t xml:space="preserve">: </w:t>
      </w:r>
    </w:p>
    <w:p w14:paraId="748A3D39" w14:textId="77777777" w:rsidR="00F71A74" w:rsidRPr="008604E0" w:rsidRDefault="00F71A74" w:rsidP="00F71A74">
      <w:pPr>
        <w:pStyle w:val="SingleTxtG"/>
        <w:ind w:left="2268" w:hanging="1134"/>
        <w:rPr>
          <w:lang w:val="fr-FR"/>
        </w:rPr>
      </w:pPr>
      <w:r w:rsidRPr="008604E0">
        <w:rPr>
          <w:iCs/>
          <w:lang w:val="fr-FR"/>
        </w:rPr>
        <w:t>« 5.1.3.3</w:t>
      </w:r>
      <w:r w:rsidRPr="008604E0">
        <w:rPr>
          <w:iCs/>
          <w:lang w:val="fr-FR"/>
        </w:rPr>
        <w:tab/>
      </w:r>
      <w:r w:rsidRPr="008604E0">
        <w:rPr>
          <w:lang w:val="fr-FR"/>
        </w:rPr>
        <w:t>Moteur</w:t>
      </w:r>
    </w:p>
    <w:p w14:paraId="765BABAA" w14:textId="4D9D9755" w:rsidR="00F71A74" w:rsidRPr="008604E0" w:rsidRDefault="00F71A74" w:rsidP="00F71A74">
      <w:pPr>
        <w:pStyle w:val="SingleTxtG"/>
        <w:ind w:left="2268"/>
        <w:rPr>
          <w:b/>
          <w:bCs/>
          <w:lang w:val="fr-FR"/>
        </w:rPr>
      </w:pPr>
      <w:r w:rsidRPr="008604E0">
        <w:rPr>
          <w:b/>
          <w:bCs/>
          <w:lang w:val="fr-FR"/>
        </w:rPr>
        <w:t>NOTA</w:t>
      </w:r>
      <w:r w:rsidR="00B46A4F">
        <w:rPr>
          <w:b/>
          <w:bCs/>
          <w:lang w:val="fr-FR"/>
        </w:rPr>
        <w:t> </w:t>
      </w:r>
      <w:r w:rsidRPr="008604E0">
        <w:rPr>
          <w:b/>
          <w:bCs/>
          <w:lang w:val="fr-FR"/>
        </w:rPr>
        <w:t>: Le 9.2.4.4 s</w:t>
      </w:r>
      <w:r>
        <w:rPr>
          <w:b/>
          <w:bCs/>
          <w:lang w:val="fr-FR"/>
        </w:rPr>
        <w:t>’</w:t>
      </w:r>
      <w:r w:rsidRPr="008604E0">
        <w:rPr>
          <w:b/>
          <w:bCs/>
          <w:lang w:val="fr-FR"/>
        </w:rPr>
        <w:t>applique également aux véhicules hybrides comprenant une chaîne de traction électrique associée à la transmission mécanique du moteur à combustion interne, ou qui utilisent un moteur à combustion interne pour entraîner un générateur afin d</w:t>
      </w:r>
      <w:r>
        <w:rPr>
          <w:b/>
          <w:bCs/>
          <w:lang w:val="fr-FR"/>
        </w:rPr>
        <w:t>’</w:t>
      </w:r>
      <w:r w:rsidRPr="008604E0">
        <w:rPr>
          <w:b/>
          <w:bCs/>
          <w:lang w:val="fr-FR"/>
        </w:rPr>
        <w:t>alimenter la chaîne de traction électrique.</w:t>
      </w:r>
    </w:p>
    <w:p w14:paraId="35D5919E" w14:textId="77777777" w:rsidR="00F71A74" w:rsidRPr="008604E0" w:rsidRDefault="00F71A74" w:rsidP="00F71A74">
      <w:pPr>
        <w:pStyle w:val="SingleTxtG"/>
        <w:ind w:left="2268"/>
        <w:rPr>
          <w:lang w:val="fr-FR" w:eastAsia="fr-FR"/>
        </w:rPr>
      </w:pPr>
      <w:r w:rsidRPr="008604E0">
        <w:rPr>
          <w:lang w:val="fr-FR"/>
        </w:rPr>
        <w:t>Le moteur entraînant le véhicule doit être équipé et placé de façon à éviter tout danger pour le chargement à la suite d</w:t>
      </w:r>
      <w:r>
        <w:rPr>
          <w:lang w:val="fr-FR"/>
        </w:rPr>
        <w:t>’</w:t>
      </w:r>
      <w:r w:rsidRPr="008604E0">
        <w:rPr>
          <w:lang w:val="fr-FR"/>
        </w:rPr>
        <w:t>un échauffement ou d</w:t>
      </w:r>
      <w:r>
        <w:rPr>
          <w:lang w:val="fr-FR"/>
        </w:rPr>
        <w:t>’</w:t>
      </w:r>
      <w:r w:rsidRPr="008604E0">
        <w:rPr>
          <w:lang w:val="fr-FR"/>
        </w:rPr>
        <w:t xml:space="preserve">une inflammation. </w:t>
      </w:r>
      <w:r w:rsidRPr="008604E0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 xml:space="preserve">utilisation de GNC ou de GNL comme carburant ne doit être admise que si les organes spéciaux pour le GNC et le GNL sont homologués conformément au Règlement </w:t>
      </w:r>
      <w:r w:rsidRPr="008604E0">
        <w:rPr>
          <w:b/>
          <w:lang w:val="fr-FR"/>
        </w:rPr>
        <w:t>ONU</w:t>
      </w:r>
      <w:r w:rsidRPr="008604E0">
        <w:rPr>
          <w:bCs/>
          <w:lang w:val="fr-FR"/>
        </w:rPr>
        <w:t xml:space="preserve"> </w:t>
      </w:r>
      <w:r w:rsidRPr="008604E0">
        <w:rPr>
          <w:rFonts w:eastAsia="MS Mincho"/>
          <w:bCs/>
          <w:lang w:val="fr-FR"/>
        </w:rPr>
        <w:t>n</w:t>
      </w:r>
      <w:r w:rsidRPr="0084458F">
        <w:rPr>
          <w:rFonts w:eastAsia="MS Mincho"/>
          <w:bCs/>
          <w:vertAlign w:val="superscript"/>
          <w:lang w:val="fr-FR"/>
        </w:rPr>
        <w:t>o</w:t>
      </w:r>
      <w:r w:rsidRPr="008604E0">
        <w:rPr>
          <w:bCs/>
          <w:lang w:val="fr-FR"/>
        </w:rPr>
        <w:t> 110 et satisfont aux prescriptions du paragraphe 5.1.1.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 xml:space="preserve">installation sur le véhicule doit être conforme aux prescriptions techniques du paragraphe 5.1.1 et du Règlement </w:t>
      </w:r>
      <w:r w:rsidRPr="008604E0">
        <w:rPr>
          <w:b/>
          <w:lang w:val="fr-FR"/>
        </w:rPr>
        <w:t>ONU</w:t>
      </w:r>
      <w:r w:rsidRPr="008604E0">
        <w:rPr>
          <w:bCs/>
          <w:lang w:val="fr-FR"/>
        </w:rPr>
        <w:t xml:space="preserve"> </w:t>
      </w:r>
      <w:r w:rsidRPr="008604E0">
        <w:rPr>
          <w:rFonts w:eastAsia="MS Mincho"/>
          <w:bCs/>
          <w:lang w:val="fr-FR"/>
        </w:rPr>
        <w:t>n</w:t>
      </w:r>
      <w:r w:rsidRPr="0084458F">
        <w:rPr>
          <w:rFonts w:eastAsia="MS Mincho"/>
          <w:bCs/>
          <w:vertAlign w:val="superscript"/>
          <w:lang w:val="fr-FR"/>
        </w:rPr>
        <w:t>o</w:t>
      </w:r>
      <w:r w:rsidRPr="008604E0">
        <w:rPr>
          <w:bCs/>
          <w:lang w:val="fr-FR"/>
        </w:rPr>
        <w:t> 110. L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 xml:space="preserve">utilisation de GPL comme carburant ne doit être admise que si les organes spéciaux pour le GPL sont homologués conformément au Règlement </w:t>
      </w:r>
      <w:r w:rsidRPr="008604E0">
        <w:rPr>
          <w:b/>
          <w:lang w:val="fr-FR"/>
        </w:rPr>
        <w:t>ONU</w:t>
      </w:r>
      <w:r w:rsidRPr="008604E0">
        <w:rPr>
          <w:bCs/>
          <w:lang w:val="fr-FR"/>
        </w:rPr>
        <w:t xml:space="preserve"> n</w:t>
      </w:r>
      <w:r w:rsidRPr="0084458F">
        <w:rPr>
          <w:bCs/>
          <w:vertAlign w:val="superscript"/>
          <w:lang w:val="fr-FR"/>
        </w:rPr>
        <w:t>o</w:t>
      </w:r>
      <w:r w:rsidRPr="008604E0">
        <w:rPr>
          <w:bCs/>
          <w:lang w:val="fr-FR"/>
        </w:rPr>
        <w:t xml:space="preserve"> 67 et satisfont aux prescriptions du paragraphe 5.1.1. </w:t>
      </w:r>
      <w:r w:rsidRPr="008604E0">
        <w:rPr>
          <w:lang w:val="fr-FR"/>
        </w:rPr>
        <w:t>L</w:t>
      </w:r>
      <w:r>
        <w:rPr>
          <w:lang w:val="fr-FR"/>
        </w:rPr>
        <w:t>’</w:t>
      </w:r>
      <w:r w:rsidRPr="008604E0">
        <w:rPr>
          <w:lang w:val="fr-FR"/>
        </w:rPr>
        <w:t xml:space="preserve">installation sur le véhicule doit être conforme aux prescriptions techniques du paragraphe 5.1.1 et du Règlement </w:t>
      </w:r>
      <w:r w:rsidRPr="008604E0">
        <w:rPr>
          <w:b/>
          <w:bCs/>
          <w:lang w:val="fr-FR"/>
        </w:rPr>
        <w:t>ONU</w:t>
      </w:r>
      <w:r w:rsidRPr="008604E0">
        <w:rPr>
          <w:lang w:val="fr-FR"/>
        </w:rPr>
        <w:t xml:space="preserve"> </w:t>
      </w:r>
      <w:r w:rsidRPr="008604E0">
        <w:rPr>
          <w:rFonts w:eastAsia="MS Mincho"/>
          <w:lang w:val="fr-FR"/>
        </w:rPr>
        <w:t>n</w:t>
      </w:r>
      <w:r w:rsidRPr="0084458F">
        <w:rPr>
          <w:rFonts w:eastAsia="MS Mincho"/>
          <w:vertAlign w:val="superscript"/>
          <w:lang w:val="fr-FR"/>
        </w:rPr>
        <w:t>o</w:t>
      </w:r>
      <w:r w:rsidRPr="008604E0">
        <w:rPr>
          <w:lang w:val="fr-FR"/>
        </w:rPr>
        <w:t xml:space="preserve"> 67. Dans le cas de véhicules portant les désignations </w:t>
      </w:r>
      <w:r w:rsidRPr="008604E0">
        <w:rPr>
          <w:lang w:val="fr-FR"/>
        </w:rPr>
        <w:lastRenderedPageBreak/>
        <w:t xml:space="preserve">EX/II </w:t>
      </w:r>
      <w:r w:rsidRPr="008604E0">
        <w:rPr>
          <w:bCs/>
          <w:lang w:val="fr-FR"/>
        </w:rPr>
        <w:t xml:space="preserve">et </w:t>
      </w:r>
      <w:r w:rsidRPr="008604E0">
        <w:rPr>
          <w:lang w:val="fr-FR"/>
        </w:rPr>
        <w:t xml:space="preserve">EX/III, le moteur doit être à allumage par compression </w:t>
      </w:r>
      <w:r w:rsidRPr="008604E0">
        <w:rPr>
          <w:bCs/>
          <w:lang w:val="fr-FR"/>
        </w:rPr>
        <w:t>et fonctionner uniquement avec des carburants liquides dont le point d</w:t>
      </w:r>
      <w:r>
        <w:rPr>
          <w:bCs/>
          <w:lang w:val="fr-FR"/>
        </w:rPr>
        <w:t>’</w:t>
      </w:r>
      <w:r w:rsidRPr="008604E0">
        <w:rPr>
          <w:bCs/>
          <w:lang w:val="fr-FR"/>
        </w:rPr>
        <w:t>éclair est supérieur à 55 °C. Les gaz ne doivent pas être utilisés. </w:t>
      </w:r>
      <w:r w:rsidRPr="008604E0">
        <w:rPr>
          <w:lang w:val="fr-FR"/>
        </w:rPr>
        <w:t>».</w:t>
      </w:r>
    </w:p>
    <w:p w14:paraId="5D4033C9" w14:textId="333EC263" w:rsidR="00F71A74" w:rsidRPr="00BE1FCE" w:rsidRDefault="00F71A74" w:rsidP="001A4DC8">
      <w:pPr>
        <w:pStyle w:val="SingleTxtG"/>
        <w:rPr>
          <w:i/>
          <w:iCs/>
          <w:lang w:val="fr-FR"/>
        </w:rPr>
      </w:pPr>
      <w:r w:rsidRPr="00BE1FCE">
        <w:rPr>
          <w:i/>
          <w:iCs/>
          <w:lang w:val="fr-FR"/>
        </w:rPr>
        <w:t>Ajouter le nouveau paragraphe 5.1.3.5</w:t>
      </w:r>
      <w:r w:rsidRPr="00BE1FCE">
        <w:rPr>
          <w:lang w:val="fr-FR"/>
        </w:rPr>
        <w:t>, libellé comme suit</w:t>
      </w:r>
      <w:r w:rsidR="00B46A4F">
        <w:rPr>
          <w:lang w:val="fr-FR"/>
        </w:rPr>
        <w:t> </w:t>
      </w:r>
      <w:r w:rsidRPr="00BE1FCE">
        <w:rPr>
          <w:lang w:val="fr-FR"/>
        </w:rPr>
        <w:t>:</w:t>
      </w:r>
    </w:p>
    <w:p w14:paraId="030F9A9D" w14:textId="77777777" w:rsidR="00F71A74" w:rsidRPr="00BE1FCE" w:rsidRDefault="00F71A74" w:rsidP="001A4DC8">
      <w:pPr>
        <w:pStyle w:val="SingleTxtG"/>
        <w:ind w:left="2268" w:hanging="1134"/>
        <w:rPr>
          <w:rFonts w:eastAsia="SimSun"/>
          <w:b/>
          <w:lang w:val="fr-FR"/>
        </w:rPr>
      </w:pPr>
      <w:r w:rsidRPr="008604E0">
        <w:rPr>
          <w:lang w:val="fr-FR"/>
        </w:rPr>
        <w:t>« </w:t>
      </w:r>
      <w:r w:rsidRPr="00BE1FCE">
        <w:rPr>
          <w:b/>
          <w:bCs/>
          <w:lang w:val="fr-FR"/>
        </w:rPr>
        <w:t>5.1.3.5</w:t>
      </w:r>
      <w:r w:rsidRPr="00BE1FCE">
        <w:rPr>
          <w:lang w:val="fr-FR"/>
        </w:rPr>
        <w:t xml:space="preserve"> </w:t>
      </w:r>
      <w:r w:rsidRPr="00BE1FCE">
        <w:rPr>
          <w:lang w:val="fr-FR"/>
        </w:rPr>
        <w:tab/>
      </w:r>
      <w:r w:rsidRPr="00BE1FCE">
        <w:rPr>
          <w:b/>
          <w:bCs/>
          <w:lang w:val="fr-FR"/>
        </w:rPr>
        <w:t>Chaîne de traction électrique</w:t>
      </w:r>
    </w:p>
    <w:p w14:paraId="08AB1E6E" w14:textId="3E279C17" w:rsidR="00F71A74" w:rsidRPr="00BE1FCE" w:rsidRDefault="00F71A74" w:rsidP="001A4DC8">
      <w:pPr>
        <w:pStyle w:val="SingleTxtG"/>
        <w:ind w:left="2268"/>
        <w:rPr>
          <w:b/>
          <w:lang w:val="fr-FR"/>
        </w:rPr>
      </w:pPr>
      <w:r w:rsidRPr="00BE1FCE">
        <w:rPr>
          <w:b/>
          <w:bCs/>
          <w:lang w:val="fr-FR"/>
        </w:rPr>
        <w:t>NOTA</w:t>
      </w:r>
      <w:r w:rsidR="00B46A4F">
        <w:rPr>
          <w:b/>
          <w:bCs/>
          <w:lang w:val="fr-FR"/>
        </w:rPr>
        <w:t> </w:t>
      </w:r>
      <w:r w:rsidRPr="00BE1FCE">
        <w:rPr>
          <w:b/>
          <w:bCs/>
          <w:lang w:val="fr-FR"/>
        </w:rPr>
        <w:t>: Le 5.1.3.5</w:t>
      </w:r>
      <w:r w:rsidRPr="00BE1FCE">
        <w:rPr>
          <w:lang w:val="fr-FR"/>
        </w:rPr>
        <w:t xml:space="preserve"> </w:t>
      </w:r>
      <w:r w:rsidRPr="00BE1FCE">
        <w:rPr>
          <w:b/>
          <w:bCs/>
          <w:lang w:val="fr-FR"/>
        </w:rPr>
        <w:t>s</w:t>
      </w:r>
      <w:r>
        <w:rPr>
          <w:b/>
          <w:bCs/>
          <w:lang w:val="fr-FR"/>
        </w:rPr>
        <w:t>’</w:t>
      </w:r>
      <w:r w:rsidRPr="00BE1FCE">
        <w:rPr>
          <w:b/>
          <w:bCs/>
          <w:lang w:val="fr-FR"/>
        </w:rPr>
        <w:t>applique également aux véhicules hybrides comprenant une chaîne de traction électrique associée à la transmission mécanique d</w:t>
      </w:r>
      <w:r>
        <w:rPr>
          <w:b/>
          <w:bCs/>
          <w:lang w:val="fr-FR"/>
        </w:rPr>
        <w:t>’</w:t>
      </w:r>
      <w:r w:rsidRPr="00BE1FCE">
        <w:rPr>
          <w:b/>
          <w:bCs/>
          <w:lang w:val="fr-FR"/>
        </w:rPr>
        <w:t>un moteur à combustion interne.</w:t>
      </w:r>
      <w:r w:rsidRPr="00BE1FCE">
        <w:rPr>
          <w:lang w:val="fr-FR"/>
        </w:rPr>
        <w:t xml:space="preserve"> </w:t>
      </w:r>
      <w:r w:rsidRPr="00BE1FCE">
        <w:rPr>
          <w:b/>
          <w:bCs/>
          <w:lang w:val="fr-FR"/>
        </w:rPr>
        <w:t>Les chaînes de traction électriques ne doivent pas être utilisé</w:t>
      </w:r>
      <w:r w:rsidR="00B46A4F">
        <w:rPr>
          <w:b/>
          <w:bCs/>
          <w:lang w:val="fr-FR"/>
        </w:rPr>
        <w:t>e</w:t>
      </w:r>
      <w:r w:rsidRPr="00BE1FCE">
        <w:rPr>
          <w:b/>
          <w:bCs/>
          <w:lang w:val="fr-FR"/>
        </w:rPr>
        <w:t>s pour les véhicules EX et FL.</w:t>
      </w:r>
    </w:p>
    <w:p w14:paraId="27BB0794" w14:textId="613A5180" w:rsidR="00F71A74" w:rsidRPr="00BE1FCE" w:rsidRDefault="00F71A74" w:rsidP="001A4DC8">
      <w:pPr>
        <w:pStyle w:val="SingleTxtG"/>
        <w:ind w:left="2268"/>
        <w:rPr>
          <w:b/>
          <w:lang w:val="fr-FR"/>
        </w:rPr>
      </w:pPr>
      <w:r w:rsidRPr="00BE1FCE">
        <w:rPr>
          <w:b/>
          <w:bCs/>
          <w:lang w:val="fr-FR"/>
        </w:rPr>
        <w:t xml:space="preserve">La chaîne de traction électrique doit satisfaire aux prescriptions énoncées dans le Règlement ONU </w:t>
      </w:r>
      <w:r>
        <w:rPr>
          <w:b/>
          <w:bCs/>
          <w:lang w:val="fr-FR"/>
        </w:rPr>
        <w:t>n</w:t>
      </w:r>
      <w:r w:rsidRPr="0084458F">
        <w:rPr>
          <w:b/>
          <w:bCs/>
          <w:vertAlign w:val="superscript"/>
          <w:lang w:val="fr-FR"/>
        </w:rPr>
        <w:t>o</w:t>
      </w:r>
      <w:r w:rsidRPr="00BE1FCE">
        <w:rPr>
          <w:b/>
          <w:bCs/>
          <w:lang w:val="fr-FR"/>
        </w:rPr>
        <w:t xml:space="preserve"> 100, tel que modifié au minimum par la série</w:t>
      </w:r>
      <w:r w:rsidR="00B46A4F">
        <w:rPr>
          <w:b/>
          <w:bCs/>
          <w:lang w:val="fr-FR"/>
        </w:rPr>
        <w:t> </w:t>
      </w:r>
      <w:r w:rsidRPr="00BE1FCE">
        <w:rPr>
          <w:b/>
          <w:bCs/>
          <w:lang w:val="fr-FR"/>
        </w:rPr>
        <w:t>03 d´amendements.</w:t>
      </w:r>
      <w:r w:rsidRPr="00BE1FCE">
        <w:rPr>
          <w:lang w:val="fr-FR"/>
        </w:rPr>
        <w:t xml:space="preserve"> </w:t>
      </w:r>
      <w:r w:rsidRPr="00BE1FCE">
        <w:rPr>
          <w:b/>
          <w:bCs/>
          <w:lang w:val="fr-FR"/>
        </w:rPr>
        <w:t>Des mesures doivent être prises pour éviter tout danger pour le chargement à la suite d</w:t>
      </w:r>
      <w:r>
        <w:rPr>
          <w:b/>
          <w:bCs/>
          <w:lang w:val="fr-FR"/>
        </w:rPr>
        <w:t>’</w:t>
      </w:r>
      <w:r w:rsidRPr="00BE1FCE">
        <w:rPr>
          <w:b/>
          <w:bCs/>
          <w:lang w:val="fr-FR"/>
        </w:rPr>
        <w:t>un échauffement ou d</w:t>
      </w:r>
      <w:r>
        <w:rPr>
          <w:b/>
          <w:bCs/>
          <w:lang w:val="fr-FR"/>
        </w:rPr>
        <w:t>’</w:t>
      </w:r>
      <w:r w:rsidRPr="00BE1FCE">
        <w:rPr>
          <w:b/>
          <w:bCs/>
          <w:lang w:val="fr-FR"/>
        </w:rPr>
        <w:t>une inflammation.</w:t>
      </w:r>
      <w:r>
        <w:rPr>
          <w:b/>
          <w:bCs/>
          <w:lang w:val="fr-FR"/>
        </w:rPr>
        <w:t> »</w:t>
      </w:r>
      <w:r w:rsidR="00B46A4F" w:rsidRPr="00B46A4F">
        <w:rPr>
          <w:lang w:val="fr-FR"/>
        </w:rPr>
        <w:t>.</w:t>
      </w:r>
    </w:p>
    <w:p w14:paraId="4D1E8A47" w14:textId="77777777" w:rsidR="00F71A74" w:rsidRPr="00BE1FCE" w:rsidRDefault="00F71A74" w:rsidP="001A4DC8">
      <w:pPr>
        <w:pStyle w:val="SingleTxtG"/>
        <w:rPr>
          <w:lang w:val="fr-FR"/>
        </w:rPr>
      </w:pPr>
      <w:r w:rsidRPr="00BE1FCE">
        <w:rPr>
          <w:i/>
          <w:iCs/>
          <w:lang w:val="fr-FR"/>
        </w:rPr>
        <w:t>Les paragraphes 5.1.3.5 à 5.1.3.6.1</w:t>
      </w:r>
      <w:r w:rsidRPr="00BE1FCE">
        <w:rPr>
          <w:lang w:val="fr-FR"/>
        </w:rPr>
        <w:t xml:space="preserve"> deviennent les paragraphes 5.1.3.6 à 5.1.3.7.1. </w:t>
      </w:r>
    </w:p>
    <w:p w14:paraId="27ABA85D" w14:textId="77777777" w:rsidR="00F71A74" w:rsidRPr="00BE1FCE" w:rsidRDefault="00F71A74" w:rsidP="00B46A4F">
      <w:pPr>
        <w:pStyle w:val="HChG"/>
        <w:rPr>
          <w:lang w:val="fr-FR" w:eastAsia="fr-FR"/>
        </w:rPr>
      </w:pPr>
      <w:r w:rsidRPr="008604E0">
        <w:rPr>
          <w:lang w:val="fr-FR" w:eastAsia="fr-FR"/>
        </w:rPr>
        <w:tab/>
      </w:r>
      <w:r w:rsidRPr="00BE1FCE">
        <w:rPr>
          <w:lang w:val="fr-FR" w:eastAsia="fr-FR"/>
        </w:rPr>
        <w:t>II.</w:t>
      </w:r>
      <w:r w:rsidRPr="00BE1FCE">
        <w:rPr>
          <w:lang w:val="fr-FR" w:eastAsia="fr-FR"/>
        </w:rPr>
        <w:tab/>
        <w:t>Justification</w:t>
      </w:r>
    </w:p>
    <w:p w14:paraId="7F66BC6A" w14:textId="77777777" w:rsidR="00F71A74" w:rsidRPr="00BE1FCE" w:rsidRDefault="00F71A74" w:rsidP="001A4DC8">
      <w:pPr>
        <w:pStyle w:val="SingleTxtG"/>
        <w:rPr>
          <w:lang w:val="fr-FR"/>
        </w:rPr>
      </w:pPr>
      <w:r w:rsidRPr="00BE1FCE">
        <w:rPr>
          <w:lang w:val="fr-FR"/>
        </w:rPr>
        <w:t>1.</w:t>
      </w:r>
      <w:r w:rsidRPr="00BE1FCE">
        <w:rPr>
          <w:lang w:val="fr-FR"/>
        </w:rPr>
        <w:tab/>
      </w:r>
      <w:r>
        <w:rPr>
          <w:lang w:val="fr-FR"/>
        </w:rPr>
        <w:t>Comme s</w:t>
      </w:r>
      <w:r w:rsidRPr="00BE1FCE">
        <w:rPr>
          <w:lang w:val="fr-FR"/>
        </w:rPr>
        <w:t xml:space="preserve">uite à la décision </w:t>
      </w:r>
      <w:r>
        <w:rPr>
          <w:lang w:val="fr-FR"/>
        </w:rPr>
        <w:t>du</w:t>
      </w:r>
      <w:r w:rsidRPr="00BE1FCE">
        <w:rPr>
          <w:lang w:val="fr-FR"/>
        </w:rPr>
        <w:t xml:space="preserve"> Groupe de travail des transports de marchandises dangereuses (WP.15) et </w:t>
      </w:r>
      <w:r>
        <w:rPr>
          <w:lang w:val="fr-FR"/>
        </w:rPr>
        <w:t>du</w:t>
      </w:r>
      <w:r w:rsidRPr="00BE1FCE">
        <w:rPr>
          <w:lang w:val="fr-FR"/>
        </w:rPr>
        <w:t xml:space="preserve"> Groupe de travail des dispositions générales de sécurité (GRSG), l</w:t>
      </w:r>
      <w:r>
        <w:rPr>
          <w:lang w:val="fr-FR"/>
        </w:rPr>
        <w:t>’</w:t>
      </w:r>
      <w:r w:rsidRPr="00BE1FCE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BE1FCE">
        <w:rPr>
          <w:lang w:val="fr-FR"/>
        </w:rPr>
        <w:t>automobiles (OICA) a été chargée d</w:t>
      </w:r>
      <w:r>
        <w:rPr>
          <w:lang w:val="fr-FR"/>
        </w:rPr>
        <w:t>’</w:t>
      </w:r>
      <w:r w:rsidRPr="00BE1FCE">
        <w:rPr>
          <w:lang w:val="fr-FR"/>
        </w:rPr>
        <w:t>harmoniser les dispositions du Règlement ONU n</w:t>
      </w:r>
      <w:r w:rsidRPr="0084458F">
        <w:rPr>
          <w:vertAlign w:val="superscript"/>
          <w:lang w:val="fr-FR"/>
        </w:rPr>
        <w:t>o</w:t>
      </w:r>
      <w:r w:rsidRPr="00BE1FCE">
        <w:rPr>
          <w:lang w:val="fr-FR"/>
        </w:rPr>
        <w:t xml:space="preserve"> 105 avec celles de l</w:t>
      </w:r>
      <w:r>
        <w:rPr>
          <w:lang w:val="fr-FR"/>
        </w:rPr>
        <w:t>’</w:t>
      </w:r>
      <w:r w:rsidRPr="00BE1FCE">
        <w:rPr>
          <w:lang w:val="fr-FR"/>
        </w:rPr>
        <w:t>édition 2023 de l</w:t>
      </w:r>
      <w:r>
        <w:rPr>
          <w:lang w:val="fr-FR"/>
        </w:rPr>
        <w:t>’</w:t>
      </w:r>
      <w:r w:rsidRPr="00BE1FCE">
        <w:rPr>
          <w:lang w:val="fr-FR"/>
        </w:rPr>
        <w:t xml:space="preserve">ADR.  </w:t>
      </w:r>
    </w:p>
    <w:p w14:paraId="23573D66" w14:textId="0FA6F01A" w:rsidR="00F71A74" w:rsidRDefault="00F71A74" w:rsidP="001A4DC8">
      <w:pPr>
        <w:pStyle w:val="SingleTxtG"/>
        <w:rPr>
          <w:lang w:val="fr-FR"/>
        </w:rPr>
      </w:pPr>
      <w:r w:rsidRPr="00BE1FCE">
        <w:rPr>
          <w:lang w:val="fr-FR"/>
        </w:rPr>
        <w:t>2.</w:t>
      </w:r>
      <w:r w:rsidRPr="00BE1FCE">
        <w:rPr>
          <w:lang w:val="fr-FR"/>
        </w:rPr>
        <w:tab/>
        <w:t>Les amendements adoptés par le WP.15 en vue de l</w:t>
      </w:r>
      <w:r>
        <w:rPr>
          <w:lang w:val="fr-FR"/>
        </w:rPr>
        <w:t>’</w:t>
      </w:r>
      <w:r w:rsidRPr="00BE1FCE">
        <w:rPr>
          <w:lang w:val="fr-FR"/>
        </w:rPr>
        <w:t>établissement de l</w:t>
      </w:r>
      <w:r>
        <w:rPr>
          <w:lang w:val="fr-FR"/>
        </w:rPr>
        <w:t>’</w:t>
      </w:r>
      <w:r w:rsidRPr="00BE1FCE">
        <w:rPr>
          <w:lang w:val="fr-FR"/>
        </w:rPr>
        <w:t>édition 2023 de l</w:t>
      </w:r>
      <w:r>
        <w:rPr>
          <w:lang w:val="fr-FR"/>
        </w:rPr>
        <w:t>’</w:t>
      </w:r>
      <w:r w:rsidRPr="00BE1FCE">
        <w:rPr>
          <w:lang w:val="fr-FR"/>
        </w:rPr>
        <w:t xml:space="preserve">ADR peuvent être consultés sur le site Web de la CEE (documents publiés sous les cotes </w:t>
      </w:r>
      <w:hyperlink r:id="rId9" w:history="1">
        <w:r w:rsidRPr="00B46A4F">
          <w:rPr>
            <w:rStyle w:val="Lienhypertexte"/>
            <w:lang w:val="fr-FR"/>
          </w:rPr>
          <w:t>ECE/TRANS</w:t>
        </w:r>
        <w:r w:rsidRPr="00B46A4F">
          <w:rPr>
            <w:rStyle w:val="Lienhypertexte"/>
            <w:lang w:val="fr-FR"/>
          </w:rPr>
          <w:t>/</w:t>
        </w:r>
        <w:r w:rsidRPr="00B46A4F">
          <w:rPr>
            <w:rStyle w:val="Lienhypertexte"/>
            <w:lang w:val="fr-FR"/>
          </w:rPr>
          <w:t>WP.15/256</w:t>
        </w:r>
      </w:hyperlink>
      <w:r w:rsidRPr="00BE1FCE">
        <w:rPr>
          <w:lang w:val="fr-FR"/>
        </w:rPr>
        <w:t xml:space="preserve"> et </w:t>
      </w:r>
      <w:hyperlink r:id="rId10" w:history="1">
        <w:r w:rsidRPr="00B46A4F">
          <w:rPr>
            <w:rStyle w:val="Lienhypertexte"/>
            <w:lang w:val="fr-FR"/>
          </w:rPr>
          <w:t>Corr.1</w:t>
        </w:r>
      </w:hyperlink>
      <w:r w:rsidRPr="00B46A4F">
        <w:rPr>
          <w:lang w:val="fr-FR"/>
        </w:rPr>
        <w:t xml:space="preserve"> et </w:t>
      </w:r>
      <w:hyperlink r:id="rId11" w:history="1">
        <w:r w:rsidRPr="00B46A4F">
          <w:rPr>
            <w:rStyle w:val="Lienhypertexte"/>
            <w:lang w:val="fr-FR"/>
          </w:rPr>
          <w:t>2</w:t>
        </w:r>
      </w:hyperlink>
      <w:r w:rsidRPr="00B46A4F">
        <w:rPr>
          <w:lang w:val="fr-FR"/>
        </w:rPr>
        <w:t xml:space="preserve">, et </w:t>
      </w:r>
      <w:hyperlink r:id="rId12" w:history="1">
        <w:r w:rsidRPr="00B46A4F">
          <w:rPr>
            <w:rStyle w:val="Lienhypertexte"/>
            <w:lang w:val="fr-FR"/>
          </w:rPr>
          <w:t>ECE/TRANS/WP.15/256/Add.1</w:t>
        </w:r>
      </w:hyperlink>
      <w:r w:rsidRPr="00BE1FCE">
        <w:rPr>
          <w:lang w:val="fr-FR"/>
        </w:rPr>
        <w:t>)</w:t>
      </w:r>
      <w:r w:rsidRPr="0084458F">
        <w:rPr>
          <w:rStyle w:val="Appelnotedebasdep"/>
        </w:rPr>
        <w:footnoteReference w:id="3"/>
      </w:r>
      <w:r w:rsidRPr="00BE1FCE">
        <w:rPr>
          <w:lang w:val="fr-FR"/>
        </w:rPr>
        <w:t>.</w:t>
      </w:r>
    </w:p>
    <w:p w14:paraId="64DB3484" w14:textId="1255DBA8" w:rsidR="00F71A74" w:rsidRPr="00BE1FCE" w:rsidRDefault="00F71A74" w:rsidP="001A4DC8">
      <w:pPr>
        <w:pStyle w:val="SingleTxtG"/>
        <w:rPr>
          <w:lang w:val="fr-FR"/>
        </w:rPr>
      </w:pPr>
      <w:r w:rsidRPr="00BE1FCE">
        <w:rPr>
          <w:lang w:val="fr-FR"/>
        </w:rPr>
        <w:t>3.</w:t>
      </w:r>
      <w:r w:rsidRPr="00BE1FCE">
        <w:rPr>
          <w:lang w:val="fr-FR"/>
        </w:rPr>
        <w:tab/>
        <w:t>Les dispositions du Règlement ONU n</w:t>
      </w:r>
      <w:r w:rsidRPr="0084458F">
        <w:rPr>
          <w:vertAlign w:val="superscript"/>
          <w:lang w:val="fr-FR"/>
        </w:rPr>
        <w:t>o</w:t>
      </w:r>
      <w:r w:rsidRPr="00BE1FCE">
        <w:rPr>
          <w:lang w:val="fr-FR"/>
        </w:rPr>
        <w:t xml:space="preserve"> 105 </w:t>
      </w:r>
      <w:r>
        <w:rPr>
          <w:lang w:val="fr-FR"/>
        </w:rPr>
        <w:t xml:space="preserve">présentées </w:t>
      </w:r>
      <w:r w:rsidRPr="00BE1FCE">
        <w:rPr>
          <w:lang w:val="fr-FR"/>
        </w:rPr>
        <w:t xml:space="preserve">ci-dessus intègrent toutes les modifications </w:t>
      </w:r>
      <w:r>
        <w:rPr>
          <w:lang w:val="fr-FR"/>
        </w:rPr>
        <w:t xml:space="preserve">et tous les </w:t>
      </w:r>
      <w:r w:rsidRPr="00BE1FCE">
        <w:rPr>
          <w:lang w:val="fr-FR"/>
        </w:rPr>
        <w:t xml:space="preserve">ajouts </w:t>
      </w:r>
      <w:r>
        <w:rPr>
          <w:lang w:val="fr-FR"/>
        </w:rPr>
        <w:t xml:space="preserve">figurant dans </w:t>
      </w:r>
      <w:r w:rsidRPr="00BE1FCE">
        <w:rPr>
          <w:lang w:val="fr-FR"/>
        </w:rPr>
        <w:t>l</w:t>
      </w:r>
      <w:r>
        <w:rPr>
          <w:lang w:val="fr-FR"/>
        </w:rPr>
        <w:t>’</w:t>
      </w:r>
      <w:r w:rsidRPr="00BE1FCE">
        <w:rPr>
          <w:lang w:val="fr-FR"/>
        </w:rPr>
        <w:t xml:space="preserve">édition 2023 </w:t>
      </w:r>
      <w:r>
        <w:rPr>
          <w:lang w:val="fr-FR"/>
        </w:rPr>
        <w:t>de l’</w:t>
      </w:r>
      <w:r w:rsidRPr="00931E1E">
        <w:rPr>
          <w:lang w:val="fr-FR"/>
        </w:rPr>
        <w:t xml:space="preserve">ADR </w:t>
      </w:r>
      <w:r w:rsidRPr="00BE1FCE">
        <w:rPr>
          <w:lang w:val="fr-FR"/>
        </w:rPr>
        <w:t>qui ont une incidence sur le chapitre 5 du Règlement et sont harmonisées avec les documents susmentionnés.</w:t>
      </w:r>
    </w:p>
    <w:p w14:paraId="487A8A36" w14:textId="77777777" w:rsidR="00F71A74" w:rsidRPr="00BE1FCE" w:rsidRDefault="00F71A74" w:rsidP="001A4DC8">
      <w:pPr>
        <w:pStyle w:val="SingleTxtG"/>
        <w:rPr>
          <w:lang w:val="fr-FR"/>
        </w:rPr>
      </w:pPr>
      <w:r w:rsidRPr="00BE1FCE">
        <w:rPr>
          <w:lang w:val="fr-FR"/>
        </w:rPr>
        <w:t>4.</w:t>
      </w:r>
      <w:r w:rsidRPr="00BE1FCE">
        <w:rPr>
          <w:lang w:val="fr-FR"/>
        </w:rPr>
        <w:tab/>
        <w:t>Les modifications apportées au chapitre 5 du Règlement ONU n</w:t>
      </w:r>
      <w:r w:rsidRPr="0084458F">
        <w:rPr>
          <w:vertAlign w:val="superscript"/>
          <w:lang w:val="fr-FR"/>
        </w:rPr>
        <w:t>o</w:t>
      </w:r>
      <w:r w:rsidRPr="00BE1FCE">
        <w:rPr>
          <w:lang w:val="fr-FR"/>
        </w:rPr>
        <w:t xml:space="preserve"> 105 concernent principalement l</w:t>
      </w:r>
      <w:r>
        <w:rPr>
          <w:lang w:val="fr-FR"/>
        </w:rPr>
        <w:t>’</w:t>
      </w:r>
      <w:r w:rsidRPr="00BE1FCE">
        <w:rPr>
          <w:lang w:val="fr-FR"/>
        </w:rPr>
        <w:t>ajout des prescriptions techniques relatives à certains véhicules destinés au transport de marchandises dangereuses (véhicules AT) équipés d</w:t>
      </w:r>
      <w:r>
        <w:rPr>
          <w:lang w:val="fr-FR"/>
        </w:rPr>
        <w:t>’</w:t>
      </w:r>
      <w:r w:rsidRPr="00BE1FCE">
        <w:rPr>
          <w:lang w:val="fr-FR"/>
        </w:rPr>
        <w:t>un système de propulsion électrique et tiennent compte des changements susmentionnés.</w:t>
      </w:r>
    </w:p>
    <w:p w14:paraId="1D9B0E44" w14:textId="02D87714" w:rsidR="00F9573C" w:rsidRPr="00B46A4F" w:rsidRDefault="00F71A74" w:rsidP="00B46A4F">
      <w:pPr>
        <w:spacing w:before="240"/>
        <w:jc w:val="center"/>
        <w:rPr>
          <w:u w:val="single"/>
          <w:lang w:val="fr-FR"/>
        </w:rPr>
      </w:pPr>
      <w:r w:rsidRPr="00BE1FCE">
        <w:rPr>
          <w:u w:val="single"/>
          <w:lang w:val="fr-FR"/>
        </w:rPr>
        <w:tab/>
      </w:r>
      <w:r w:rsidRPr="00BE1FCE">
        <w:rPr>
          <w:u w:val="single"/>
          <w:lang w:val="fr-FR"/>
        </w:rPr>
        <w:tab/>
      </w:r>
      <w:r w:rsidRPr="00BE1FCE">
        <w:rPr>
          <w:u w:val="single"/>
          <w:lang w:val="fr-FR"/>
        </w:rPr>
        <w:tab/>
      </w:r>
    </w:p>
    <w:sectPr w:rsidR="00F9573C" w:rsidRPr="00B46A4F" w:rsidSect="00F71A7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75D1" w14:textId="77777777" w:rsidR="00F72428" w:rsidRDefault="00F72428" w:rsidP="00F95C08">
      <w:pPr>
        <w:spacing w:line="240" w:lineRule="auto"/>
      </w:pPr>
    </w:p>
  </w:endnote>
  <w:endnote w:type="continuationSeparator" w:id="0">
    <w:p w14:paraId="26FFDED7" w14:textId="77777777" w:rsidR="00F72428" w:rsidRPr="00AC3823" w:rsidRDefault="00F72428" w:rsidP="00AC3823">
      <w:pPr>
        <w:pStyle w:val="Pieddepage"/>
      </w:pPr>
    </w:p>
  </w:endnote>
  <w:endnote w:type="continuationNotice" w:id="1">
    <w:p w14:paraId="4ECB3FA9" w14:textId="77777777" w:rsidR="00F72428" w:rsidRDefault="00F724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CC66" w14:textId="74D25B68" w:rsidR="00F71A74" w:rsidRPr="00F71A74" w:rsidRDefault="00F71A74" w:rsidP="00F71A74">
    <w:pPr>
      <w:pStyle w:val="Pieddepage"/>
      <w:tabs>
        <w:tab w:val="right" w:pos="9638"/>
      </w:tabs>
    </w:pPr>
    <w:r w:rsidRPr="00F71A74">
      <w:rPr>
        <w:b/>
        <w:sz w:val="18"/>
      </w:rPr>
      <w:fldChar w:fldCharType="begin"/>
    </w:r>
    <w:r w:rsidRPr="00F71A74">
      <w:rPr>
        <w:b/>
        <w:sz w:val="18"/>
      </w:rPr>
      <w:instrText xml:space="preserve"> PAGE  \* MERGEFORMAT </w:instrText>
    </w:r>
    <w:r w:rsidRPr="00F71A74">
      <w:rPr>
        <w:b/>
        <w:sz w:val="18"/>
      </w:rPr>
      <w:fldChar w:fldCharType="separate"/>
    </w:r>
    <w:r w:rsidRPr="00F71A74">
      <w:rPr>
        <w:b/>
        <w:noProof/>
        <w:sz w:val="18"/>
      </w:rPr>
      <w:t>2</w:t>
    </w:r>
    <w:r w:rsidRPr="00F71A74">
      <w:rPr>
        <w:b/>
        <w:sz w:val="18"/>
      </w:rPr>
      <w:fldChar w:fldCharType="end"/>
    </w:r>
    <w:r>
      <w:rPr>
        <w:b/>
        <w:sz w:val="18"/>
      </w:rPr>
      <w:tab/>
    </w:r>
    <w:r>
      <w:t>GE.22-11563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AD57" w14:textId="7E56455D" w:rsidR="00F71A74" w:rsidRPr="00F71A74" w:rsidRDefault="00F71A74" w:rsidP="00F71A74">
    <w:pPr>
      <w:pStyle w:val="Pieddepage"/>
      <w:tabs>
        <w:tab w:val="right" w:pos="9638"/>
      </w:tabs>
      <w:rPr>
        <w:b/>
        <w:sz w:val="18"/>
      </w:rPr>
    </w:pPr>
    <w:r>
      <w:t>GE.22-11563</w:t>
    </w:r>
    <w:r>
      <w:tab/>
    </w:r>
    <w:r w:rsidRPr="00F71A74">
      <w:rPr>
        <w:b/>
        <w:sz w:val="18"/>
      </w:rPr>
      <w:fldChar w:fldCharType="begin"/>
    </w:r>
    <w:r w:rsidRPr="00F71A74">
      <w:rPr>
        <w:b/>
        <w:sz w:val="18"/>
      </w:rPr>
      <w:instrText xml:space="preserve"> PAGE  \* MERGEFORMAT </w:instrText>
    </w:r>
    <w:r w:rsidRPr="00F71A74">
      <w:rPr>
        <w:b/>
        <w:sz w:val="18"/>
      </w:rPr>
      <w:fldChar w:fldCharType="separate"/>
    </w:r>
    <w:r w:rsidRPr="00F71A74">
      <w:rPr>
        <w:b/>
        <w:noProof/>
        <w:sz w:val="18"/>
      </w:rPr>
      <w:t>3</w:t>
    </w:r>
    <w:r w:rsidRPr="00F71A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D986" w14:textId="65160A58" w:rsidR="007F20FA" w:rsidRPr="00F71A74" w:rsidRDefault="00F71A74" w:rsidP="00F71A7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38666A8" wp14:editId="468A676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22-11563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C9DAF2" wp14:editId="7DB270E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220822    230822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CBDB" w14:textId="77777777" w:rsidR="00F72428" w:rsidRPr="00AC3823" w:rsidRDefault="00F7242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079888" w14:textId="77777777" w:rsidR="00F72428" w:rsidRPr="00AC3823" w:rsidRDefault="00F7242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94AF77" w14:textId="77777777" w:rsidR="00F72428" w:rsidRPr="00AC3823" w:rsidRDefault="00F72428">
      <w:pPr>
        <w:spacing w:line="240" w:lineRule="auto"/>
        <w:rPr>
          <w:sz w:val="2"/>
          <w:szCs w:val="2"/>
        </w:rPr>
      </w:pPr>
    </w:p>
  </w:footnote>
  <w:footnote w:id="2">
    <w:p w14:paraId="667DDFCF" w14:textId="4A242CEA" w:rsidR="00F71A74" w:rsidRPr="003157A4" w:rsidRDefault="00F71A74" w:rsidP="00F71A74">
      <w:pPr>
        <w:pStyle w:val="Notedebasdepage"/>
      </w:pPr>
      <w:r>
        <w:rPr>
          <w:lang w:val="fr-FR"/>
        </w:rPr>
        <w:tab/>
      </w:r>
      <w:r w:rsidRPr="00B46A4F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</w:t>
      </w:r>
      <w:r w:rsidR="00B46A4F">
        <w:rPr>
          <w:lang w:val="fr-FR"/>
        </w:rPr>
        <w:t>’</w:t>
      </w:r>
      <w:r>
        <w:rPr>
          <w:lang w:val="fr-FR"/>
        </w:rPr>
        <w:t>il figure dans le projet de budget-programme pour 2022 (A/76/6 (Sect. 20), par. 20.76), le Forum mondial a pour mission d</w:t>
      </w:r>
      <w:r w:rsidR="00B46A4F">
        <w:rPr>
          <w:lang w:val="fr-FR"/>
        </w:rPr>
        <w:t>’</w:t>
      </w:r>
      <w:r>
        <w:rPr>
          <w:lang w:val="fr-FR"/>
        </w:rPr>
        <w:t>élaborer, d</w:t>
      </w:r>
      <w:r w:rsidR="00B46A4F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B46A4F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05FFEC88" w14:textId="5739A43E" w:rsidR="00F71A74" w:rsidRPr="003157A4" w:rsidRDefault="00F71A74" w:rsidP="00F71A74">
      <w:pPr>
        <w:pStyle w:val="Notedebasdepage"/>
      </w:pPr>
      <w:r>
        <w:rPr>
          <w:lang w:val="fr-FR"/>
        </w:rPr>
        <w:tab/>
      </w:r>
      <w:r w:rsidRPr="0084458F">
        <w:rPr>
          <w:rStyle w:val="Appelnotedebasdep"/>
        </w:rPr>
        <w:footnoteRef/>
      </w:r>
      <w:r>
        <w:rPr>
          <w:lang w:val="fr-FR"/>
        </w:rPr>
        <w:tab/>
        <w:t xml:space="preserve">Accord relatif au transport international des marchandises dangereuses par route (ADR) </w:t>
      </w:r>
      <w:r w:rsidR="00B46A4F">
        <w:rPr>
          <w:lang w:val="fr-FR"/>
        </w:rPr>
        <w:t>−</w:t>
      </w:r>
      <w:r>
        <w:rPr>
          <w:lang w:val="fr-FR"/>
        </w:rPr>
        <w:t xml:space="preserve"> Projet d</w:t>
      </w:r>
      <w:r w:rsidR="00B46A4F">
        <w:rPr>
          <w:lang w:val="fr-FR"/>
        </w:rPr>
        <w:t>’</w:t>
      </w:r>
      <w:r>
        <w:rPr>
          <w:lang w:val="fr-FR"/>
        </w:rPr>
        <w:t>amendements aux annexes A et B de l</w:t>
      </w:r>
      <w:r w:rsidR="00B46A4F">
        <w:rPr>
          <w:lang w:val="fr-FR"/>
        </w:rPr>
        <w:t>’</w:t>
      </w:r>
      <w:r>
        <w:rPr>
          <w:lang w:val="fr-FR"/>
        </w:rPr>
        <w:t>ADR.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EEBE" w14:textId="1EB91D48" w:rsidR="00F71A74" w:rsidRPr="00F71A74" w:rsidRDefault="00F71A74">
    <w:pPr>
      <w:pStyle w:val="En-tte"/>
    </w:pPr>
    <w:fldSimple w:instr=" TITLE  \* MERGEFORMAT ">
      <w:r>
        <w:t>ECE/TRANS/WP.29/GRSG/2022/29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1C9E" w14:textId="568C5C1E" w:rsidR="00F71A74" w:rsidRPr="00F71A74" w:rsidRDefault="00F71A74" w:rsidP="00F71A74">
    <w:pPr>
      <w:pStyle w:val="En-tte"/>
      <w:jc w:val="right"/>
    </w:pPr>
    <w:fldSimple w:instr=" TITLE  \* MERGEFORMAT ">
      <w:r>
        <w:t>ECE/TRANS/WP.29/GRSG/2022/29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2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4DC8"/>
    <w:rsid w:val="001F525A"/>
    <w:rsid w:val="00201148"/>
    <w:rsid w:val="00213147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D7FC1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46A4F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52357"/>
    <w:rsid w:val="00E85C74"/>
    <w:rsid w:val="00EA6547"/>
    <w:rsid w:val="00ED7237"/>
    <w:rsid w:val="00EF2E22"/>
    <w:rsid w:val="00F35BAF"/>
    <w:rsid w:val="00F660DF"/>
    <w:rsid w:val="00F71A74"/>
    <w:rsid w:val="00F72428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D318CB"/>
  <w15:docId w15:val="{1C920FB4-4F5B-44FA-B8DD-42B170DA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F71A7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F71A7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4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docs.org/fr/ECE/TRANS/WP.15/256/Add.1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fr/ECE/TRANS/WP.15/256/Corr.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docs.org/fr/ECE/TRANS/WP.15/256/Corr.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docs.org/fr/ECE/TRANS/WP.15/256%20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0EBC-A471-46BD-9E85-A2D4432F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1687</Words>
  <Characters>9440</Characters>
  <Application>Microsoft Office Word</Application>
  <DocSecurity>0</DocSecurity>
  <Lines>350</Lines>
  <Paragraphs>208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ECE/TRANS/WP.29/GRSG/2022/29</vt:lpstr>
    </vt:vector>
  </TitlesOfParts>
  <Company>DCM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ECE/TRANS/WP.29/GRSG/2022/29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2022-08-23T08:35:00Z</dcterms:created>
  <dcterms:modified xsi:type="dcterms:W3CDTF">2022-08-23T08:35:00Z</dcterms:modified>
</cp:coreProperties>
</file>