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7B5746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8DFB4AB" w14:textId="77777777" w:rsidR="002D5AAC" w:rsidRDefault="002D5AAC" w:rsidP="003C293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922F86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A0AA64" w14:textId="641DB5DB" w:rsidR="002D5AAC" w:rsidRDefault="003C2936" w:rsidP="003C2936">
            <w:pPr>
              <w:jc w:val="right"/>
            </w:pPr>
            <w:r w:rsidRPr="003C2936">
              <w:rPr>
                <w:sz w:val="40"/>
              </w:rPr>
              <w:t>ECE</w:t>
            </w:r>
            <w:r>
              <w:t>/TRANS/WP.29/GRSG/2022/25</w:t>
            </w:r>
          </w:p>
        </w:tc>
      </w:tr>
      <w:tr w:rsidR="002D5AAC" w14:paraId="24FD8BC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4058FB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15B99E" wp14:editId="167E91E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A277C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9645761" w14:textId="77777777" w:rsidR="002D5AAC" w:rsidRDefault="003C293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55788B5" w14:textId="77777777" w:rsidR="003C2936" w:rsidRDefault="003C2936" w:rsidP="003C29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July 2022</w:t>
            </w:r>
          </w:p>
          <w:p w14:paraId="727222CE" w14:textId="77777777" w:rsidR="003C2936" w:rsidRDefault="003C2936" w:rsidP="003C29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5DA5BB9" w14:textId="798449BD" w:rsidR="003C2936" w:rsidRPr="008D53B6" w:rsidRDefault="003C2936" w:rsidP="003C293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DE8BE71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5FC8AB2" w14:textId="77777777" w:rsidR="003C2936" w:rsidRPr="004328FB" w:rsidRDefault="003C2936" w:rsidP="003C2936">
      <w:pPr>
        <w:spacing w:before="120"/>
        <w:rPr>
          <w:sz w:val="28"/>
          <w:szCs w:val="28"/>
        </w:rPr>
      </w:pPr>
      <w:r w:rsidRPr="004328FB">
        <w:rPr>
          <w:sz w:val="28"/>
          <w:szCs w:val="28"/>
        </w:rPr>
        <w:t>Комитет по внутреннему транспорту</w:t>
      </w:r>
    </w:p>
    <w:p w14:paraId="7461BC48" w14:textId="77777777" w:rsidR="003C2936" w:rsidRPr="004328FB" w:rsidRDefault="003C2936" w:rsidP="003C2936">
      <w:pPr>
        <w:spacing w:before="120"/>
        <w:rPr>
          <w:b/>
          <w:sz w:val="24"/>
          <w:szCs w:val="24"/>
        </w:rPr>
      </w:pPr>
      <w:r w:rsidRPr="004328FB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328FB">
        <w:rPr>
          <w:rFonts w:asciiTheme="majorBidi" w:hAnsiTheme="majorBidi" w:cstheme="majorBidi"/>
          <w:b/>
          <w:bCs/>
          <w:sz w:val="24"/>
          <w:szCs w:val="24"/>
        </w:rPr>
        <w:br/>
      </w:r>
      <w:r w:rsidRPr="004328FB">
        <w:rPr>
          <w:b/>
          <w:bCs/>
          <w:sz w:val="24"/>
          <w:szCs w:val="24"/>
        </w:rPr>
        <w:t>в области транспортных средств</w:t>
      </w:r>
    </w:p>
    <w:p w14:paraId="64810C77" w14:textId="23AB93BF" w:rsidR="003C2936" w:rsidRPr="004328FB" w:rsidRDefault="003C2936" w:rsidP="003C2936">
      <w:pPr>
        <w:spacing w:before="120"/>
        <w:rPr>
          <w:rFonts w:asciiTheme="majorBidi" w:hAnsiTheme="majorBidi" w:cstheme="majorBidi"/>
          <w:b/>
        </w:rPr>
      </w:pPr>
      <w:r w:rsidRPr="004328FB">
        <w:rPr>
          <w:b/>
          <w:bCs/>
        </w:rPr>
        <w:t xml:space="preserve">Рабочая группа по общим предписаниям, </w:t>
      </w:r>
      <w:r w:rsidR="00B75E93">
        <w:rPr>
          <w:b/>
          <w:bCs/>
        </w:rPr>
        <w:br/>
      </w:r>
      <w:r w:rsidRPr="004328FB">
        <w:rPr>
          <w:b/>
          <w:bCs/>
        </w:rPr>
        <w:t>касающимся безопасности</w:t>
      </w:r>
    </w:p>
    <w:p w14:paraId="45C82A3D" w14:textId="77777777" w:rsidR="003C2936" w:rsidRPr="004328FB" w:rsidRDefault="003C2936" w:rsidP="003C2936">
      <w:pPr>
        <w:spacing w:before="120"/>
        <w:rPr>
          <w:rFonts w:asciiTheme="majorBidi" w:hAnsiTheme="majorBidi" w:cstheme="majorBidi"/>
          <w:b/>
        </w:rPr>
      </w:pPr>
      <w:r w:rsidRPr="004328FB">
        <w:rPr>
          <w:rFonts w:asciiTheme="majorBidi" w:hAnsiTheme="majorBidi" w:cstheme="majorBidi"/>
          <w:b/>
        </w:rPr>
        <w:t xml:space="preserve">Сто двадцать четвертая </w:t>
      </w:r>
      <w:r w:rsidRPr="004328FB">
        <w:rPr>
          <w:b/>
          <w:bCs/>
        </w:rPr>
        <w:t>сессия</w:t>
      </w:r>
    </w:p>
    <w:p w14:paraId="2B094D6A" w14:textId="77777777" w:rsidR="003C2936" w:rsidRPr="004328FB" w:rsidRDefault="003C2936" w:rsidP="003C2936">
      <w:pPr>
        <w:rPr>
          <w:rFonts w:asciiTheme="majorBidi" w:hAnsiTheme="majorBidi" w:cstheme="majorBidi"/>
        </w:rPr>
      </w:pPr>
      <w:r w:rsidRPr="004328FB">
        <w:t>Женева</w:t>
      </w:r>
      <w:r w:rsidRPr="004328FB">
        <w:rPr>
          <w:rFonts w:asciiTheme="majorBidi" w:hAnsiTheme="majorBidi" w:cstheme="majorBidi"/>
        </w:rPr>
        <w:t>, 11–14 октября 2022 года</w:t>
      </w:r>
    </w:p>
    <w:p w14:paraId="1EEB9A86" w14:textId="77777777" w:rsidR="003C2936" w:rsidRPr="004328FB" w:rsidRDefault="003C2936" w:rsidP="003C2936">
      <w:pPr>
        <w:rPr>
          <w:rFonts w:asciiTheme="majorBidi" w:hAnsiTheme="majorBidi" w:cstheme="majorBidi"/>
        </w:rPr>
      </w:pPr>
      <w:r w:rsidRPr="004328FB">
        <w:rPr>
          <w:rFonts w:asciiTheme="majorBidi" w:hAnsiTheme="majorBidi" w:cstheme="majorBidi"/>
        </w:rPr>
        <w:t xml:space="preserve">Пункт 6 b) </w:t>
      </w:r>
      <w:r w:rsidRPr="004328FB">
        <w:t>предварительной повестки дня</w:t>
      </w:r>
    </w:p>
    <w:p w14:paraId="4F93D74D" w14:textId="77777777" w:rsidR="003C2936" w:rsidRPr="004328FB" w:rsidRDefault="003C2936" w:rsidP="003C2936">
      <w:pPr>
        <w:rPr>
          <w:rFonts w:asciiTheme="majorBidi" w:hAnsiTheme="majorBidi" w:cstheme="majorBidi"/>
          <w:b/>
          <w:bCs/>
        </w:rPr>
      </w:pPr>
      <w:r w:rsidRPr="004328FB">
        <w:rPr>
          <w:b/>
          <w:bCs/>
          <w:shd w:val="clear" w:color="auto" w:fill="FFFFFF"/>
        </w:rPr>
        <w:t xml:space="preserve">Поправки к правилам, касающимся транспортных </w:t>
      </w:r>
      <w:r w:rsidRPr="004328FB">
        <w:rPr>
          <w:b/>
          <w:bCs/>
          <w:sz w:val="24"/>
          <w:szCs w:val="24"/>
        </w:rPr>
        <w:br/>
      </w:r>
      <w:r w:rsidRPr="004328FB">
        <w:rPr>
          <w:b/>
          <w:bCs/>
          <w:shd w:val="clear" w:color="auto" w:fill="FFFFFF"/>
        </w:rPr>
        <w:t>средств, работающих на газе:</w:t>
      </w:r>
    </w:p>
    <w:p w14:paraId="75B78FE4" w14:textId="777E662A" w:rsidR="003C2936" w:rsidRPr="004328FB" w:rsidRDefault="003C2936" w:rsidP="003C2936">
      <w:pPr>
        <w:rPr>
          <w:b/>
        </w:rPr>
      </w:pPr>
      <w:r w:rsidRPr="004328FB">
        <w:rPr>
          <w:b/>
          <w:bCs/>
        </w:rPr>
        <w:t xml:space="preserve">Правила № 110 ООН (транспортные средства, </w:t>
      </w:r>
      <w:r w:rsidRPr="004328FB">
        <w:rPr>
          <w:b/>
          <w:bCs/>
          <w:sz w:val="24"/>
          <w:szCs w:val="24"/>
        </w:rPr>
        <w:br/>
      </w:r>
      <w:r w:rsidRPr="004328FB">
        <w:rPr>
          <w:b/>
          <w:bCs/>
        </w:rPr>
        <w:t xml:space="preserve">работающие на компримированном природном газе </w:t>
      </w:r>
      <w:r w:rsidRPr="004328FB">
        <w:rPr>
          <w:b/>
          <w:bCs/>
          <w:sz w:val="24"/>
          <w:szCs w:val="24"/>
        </w:rPr>
        <w:br/>
      </w:r>
      <w:r w:rsidR="004E1B59" w:rsidRPr="004328FB">
        <w:rPr>
          <w:b/>
          <w:bCs/>
        </w:rPr>
        <w:t xml:space="preserve">и </w:t>
      </w:r>
      <w:r w:rsidRPr="004328FB">
        <w:rPr>
          <w:b/>
          <w:bCs/>
        </w:rPr>
        <w:t>сжиженном природном газе</w:t>
      </w:r>
      <w:r w:rsidRPr="004328FB">
        <w:rPr>
          <w:b/>
        </w:rPr>
        <w:t>)</w:t>
      </w:r>
    </w:p>
    <w:p w14:paraId="5E3721D7" w14:textId="6A36D5B6" w:rsidR="003C2936" w:rsidRPr="003C2936" w:rsidRDefault="003C2936" w:rsidP="003C2936">
      <w:pPr>
        <w:pStyle w:val="HChG"/>
      </w:pPr>
      <w:r w:rsidRPr="003C2936">
        <w:tab/>
      </w:r>
      <w:r w:rsidRPr="003C2936">
        <w:tab/>
        <w:t>Предложение по дополнению 1 к поправкам серии 05 к</w:t>
      </w:r>
      <w:r w:rsidRPr="003C2936">
        <w:rPr>
          <w:lang w:val="en-US"/>
        </w:rPr>
        <w:t> </w:t>
      </w:r>
      <w:r w:rsidRPr="003C2936">
        <w:t xml:space="preserve">Правилам № 110 ООН (транспортные средства, работающие на </w:t>
      </w:r>
      <w:r w:rsidRPr="003C2936">
        <w:rPr>
          <w:bCs/>
        </w:rPr>
        <w:t>компримированном природном газе и</w:t>
      </w:r>
      <w:r>
        <w:rPr>
          <w:bCs/>
          <w:lang w:val="en-US"/>
        </w:rPr>
        <w:t> </w:t>
      </w:r>
      <w:r w:rsidRPr="003C2936">
        <w:rPr>
          <w:bCs/>
        </w:rPr>
        <w:t>сжиженном природном газе)</w:t>
      </w:r>
    </w:p>
    <w:p w14:paraId="041A19AA" w14:textId="77777777" w:rsidR="003C2936" w:rsidRPr="003C2936" w:rsidRDefault="003C2936" w:rsidP="003C2936">
      <w:pPr>
        <w:pStyle w:val="H1G"/>
      </w:pPr>
      <w:r w:rsidRPr="003C2936">
        <w:tab/>
      </w:r>
      <w:r w:rsidRPr="003C2936">
        <w:tab/>
        <w:t>Представлено экспертом от Нидерландов</w:t>
      </w:r>
      <w:r w:rsidRPr="003C2936">
        <w:rPr>
          <w:b w:val="0"/>
          <w:sz w:val="20"/>
          <w:szCs w:val="16"/>
        </w:rPr>
        <w:footnoteReference w:customMarkFollows="1" w:id="1"/>
        <w:t>*</w:t>
      </w:r>
    </w:p>
    <w:p w14:paraId="78573917" w14:textId="16A55272" w:rsidR="003C2936" w:rsidRPr="003C2936" w:rsidRDefault="003C2936" w:rsidP="003C2936">
      <w:pPr>
        <w:pStyle w:val="SingleTxtG"/>
      </w:pPr>
      <w:r>
        <w:tab/>
      </w:r>
      <w:r w:rsidRPr="003C2936">
        <w:t>Воспроизведенный ниже текст был подготовлен целевой группой по Правилам</w:t>
      </w:r>
      <w:r w:rsidR="003760EE">
        <w:t> </w:t>
      </w:r>
      <w:r w:rsidRPr="003C2936">
        <w:t xml:space="preserve">№ 110 ООН с целью обновления существующих требований к элементам оборудования, работающим на компримированном природном газе/сжиженном природном газе (КПГ/СПГ). В его основу положен неофициальный документ </w:t>
      </w:r>
      <w:r w:rsidR="003760EE">
        <w:br/>
      </w:r>
      <w:r w:rsidRPr="003C2936">
        <w:rPr>
          <w:lang w:val="en-GB"/>
        </w:rPr>
        <w:t>GRSG</w:t>
      </w:r>
      <w:r w:rsidRPr="003C2936">
        <w:t xml:space="preserve">-123-28, распространенный на сто двадцать третьей сессии Рабочей группы </w:t>
      </w:r>
      <w:r w:rsidR="003760EE">
        <w:br/>
      </w:r>
      <w:r w:rsidRPr="003C2936">
        <w:t>по общим предписаниям, касающимся безопасности (</w:t>
      </w:r>
      <w:r w:rsidRPr="003C2936">
        <w:rPr>
          <w:lang w:val="en-GB"/>
        </w:rPr>
        <w:t>GRSG</w:t>
      </w:r>
      <w:r w:rsidRPr="003C2936">
        <w:t xml:space="preserve">) (см. документ </w:t>
      </w:r>
      <w:r w:rsidRPr="003C2936">
        <w:rPr>
          <w:lang w:val="en-GB"/>
        </w:rPr>
        <w:t>ECE</w:t>
      </w:r>
      <w:r w:rsidRPr="003C2936">
        <w:t>/</w:t>
      </w:r>
      <w:r w:rsidRPr="003C2936">
        <w:rPr>
          <w:lang w:val="en-GB"/>
        </w:rPr>
        <w:t>TRANS</w:t>
      </w:r>
      <w:r w:rsidRPr="003C2936">
        <w:t>/</w:t>
      </w:r>
      <w:r w:rsidRPr="003C2936">
        <w:rPr>
          <w:lang w:val="en-GB"/>
        </w:rPr>
        <w:t>WP</w:t>
      </w:r>
      <w:r w:rsidRPr="003C2936">
        <w:t>.29/</w:t>
      </w:r>
      <w:r w:rsidRPr="003C2936">
        <w:rPr>
          <w:lang w:val="en-GB"/>
        </w:rPr>
        <w:t>GRSG</w:t>
      </w:r>
      <w:r w:rsidRPr="003C2936">
        <w:t>/102, п</w:t>
      </w:r>
      <w:r w:rsidR="0080664E">
        <w:t>ункт</w:t>
      </w:r>
      <w:r w:rsidRPr="003C2936">
        <w:t xml:space="preserve"> 38). Изменения к нынешнему тексту Правил ООН выделены жирным шрифтом в случае новых или зачеркиванием — в случае исключенных элементов.</w:t>
      </w:r>
    </w:p>
    <w:p w14:paraId="2709A7D7" w14:textId="07F5E4D5" w:rsidR="003C2936" w:rsidRDefault="003C2936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0674BA8C" w14:textId="77777777" w:rsidR="003C2936" w:rsidRPr="004328FB" w:rsidRDefault="003C2936" w:rsidP="003C2936">
      <w:pPr>
        <w:pStyle w:val="H1G"/>
        <w:rPr>
          <w:w w:val="101"/>
        </w:rPr>
      </w:pPr>
      <w:r w:rsidRPr="004328FB">
        <w:rPr>
          <w:w w:val="101"/>
        </w:rPr>
        <w:lastRenderedPageBreak/>
        <w:tab/>
        <w:t>I.</w:t>
      </w:r>
      <w:r w:rsidRPr="004328FB">
        <w:rPr>
          <w:w w:val="101"/>
        </w:rPr>
        <w:tab/>
      </w:r>
      <w:r w:rsidRPr="004328FB">
        <w:t>Предложение</w:t>
      </w:r>
    </w:p>
    <w:p w14:paraId="472549C7" w14:textId="77777777" w:rsidR="003C2936" w:rsidRPr="004328FB" w:rsidRDefault="003C2936" w:rsidP="003C2936">
      <w:pPr>
        <w:spacing w:after="120"/>
        <w:ind w:left="2268" w:right="1134" w:hanging="1134"/>
        <w:jc w:val="both"/>
      </w:pPr>
      <w:r w:rsidRPr="004328FB">
        <w:rPr>
          <w:i/>
        </w:rPr>
        <w:t>Пункт 8.4–8.11</w:t>
      </w:r>
      <w:r w:rsidRPr="004328FB">
        <w:t xml:space="preserve"> изменить следующим образом:</w:t>
      </w:r>
    </w:p>
    <w:p w14:paraId="7C8C249E" w14:textId="77777777" w:rsidR="003C2936" w:rsidRPr="004328FB" w:rsidRDefault="003C2936" w:rsidP="003C2936">
      <w:pPr>
        <w:pStyle w:val="SingleTxtG"/>
        <w:ind w:left="2268" w:hanging="1134"/>
      </w:pPr>
      <w:r w:rsidRPr="004328FB">
        <w:t>«8.4</w:t>
      </w:r>
      <w:r w:rsidRPr="004328FB">
        <w:rPr>
          <w:iCs/>
        </w:rPr>
        <w:t>–</w:t>
      </w:r>
      <w:r w:rsidRPr="004328FB">
        <w:t>8.11</w:t>
      </w:r>
      <w:r w:rsidRPr="004328FB">
        <w:tab/>
        <w:t>Положения, касающиеся других элементов оборудования КПГ</w:t>
      </w:r>
    </w:p>
    <w:p w14:paraId="2765AC9F" w14:textId="77777777" w:rsidR="003C2936" w:rsidRPr="004328FB" w:rsidRDefault="003C2936" w:rsidP="003C2936">
      <w:pPr>
        <w:pStyle w:val="SingleTxtG"/>
        <w:ind w:left="2268" w:hanging="1134"/>
      </w:pPr>
      <w:r w:rsidRPr="004328FB">
        <w:tab/>
      </w:r>
      <w:r w:rsidRPr="004328FB">
        <w:tab/>
        <w:t>Указанные элементы оборудования официально утверждают по типу конструкции в соответствии с положениями, изложенными в приложениях, перечисленных в таблице ниже:</w:t>
      </w:r>
    </w:p>
    <w:tbl>
      <w:tblPr>
        <w:tblW w:w="6899" w:type="dxa"/>
        <w:tblInd w:w="2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2"/>
        <w:gridCol w:w="4984"/>
        <w:gridCol w:w="1133"/>
      </w:tblGrid>
      <w:tr w:rsidR="003C2936" w:rsidRPr="004328FB" w14:paraId="6870F5DE" w14:textId="77777777" w:rsidTr="003C2936">
        <w:tc>
          <w:tcPr>
            <w:tcW w:w="56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051BA5" w14:textId="77777777" w:rsidR="003C2936" w:rsidRPr="004328FB" w:rsidRDefault="003C2936" w:rsidP="00B6305C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</w:rPr>
            </w:pPr>
            <w:r w:rsidRPr="004328FB">
              <w:rPr>
                <w:i/>
                <w:sz w:val="16"/>
              </w:rPr>
              <w:t>Пункт</w:t>
            </w:r>
          </w:p>
        </w:tc>
        <w:tc>
          <w:tcPr>
            <w:tcW w:w="36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0278BD" w14:textId="77777777" w:rsidR="003C2936" w:rsidRPr="004328FB" w:rsidRDefault="003C2936" w:rsidP="00B6305C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</w:rPr>
            </w:pPr>
            <w:r w:rsidRPr="004328FB">
              <w:rPr>
                <w:i/>
                <w:sz w:val="16"/>
              </w:rPr>
              <w:t>Элемент оборудования</w:t>
            </w:r>
          </w:p>
        </w:tc>
        <w:tc>
          <w:tcPr>
            <w:tcW w:w="82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5DE9E70" w14:textId="77777777" w:rsidR="003C2936" w:rsidRPr="004328FB" w:rsidRDefault="003C2936" w:rsidP="00B6305C">
            <w:pPr>
              <w:keepNext/>
              <w:keepLines/>
              <w:spacing w:before="80" w:after="80" w:line="200" w:lineRule="exact"/>
              <w:ind w:left="57"/>
              <w:jc w:val="center"/>
              <w:rPr>
                <w:i/>
                <w:sz w:val="16"/>
              </w:rPr>
            </w:pPr>
            <w:r w:rsidRPr="004328FB">
              <w:rPr>
                <w:i/>
                <w:sz w:val="16"/>
              </w:rPr>
              <w:t>Приложение</w:t>
            </w:r>
          </w:p>
        </w:tc>
      </w:tr>
      <w:tr w:rsidR="003C2936" w:rsidRPr="004328FB" w14:paraId="700798D3" w14:textId="77777777" w:rsidTr="003C2936">
        <w:trPr>
          <w:trHeight w:val="434"/>
        </w:trPr>
        <w:tc>
          <w:tcPr>
            <w:tcW w:w="56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534EB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8.4</w:t>
            </w:r>
          </w:p>
        </w:tc>
        <w:tc>
          <w:tcPr>
            <w:tcW w:w="3612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1BEB19" w14:textId="77777777" w:rsidR="003C2936" w:rsidRPr="004328FB" w:rsidRDefault="003C2936" w:rsidP="00B6305C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Автоматический клапан</w:t>
            </w:r>
          </w:p>
          <w:p w14:paraId="5516DBBF" w14:textId="77777777" w:rsidR="003C2936" w:rsidRPr="004328FB" w:rsidRDefault="003C2936" w:rsidP="00B6305C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Контрольный клапан или обратный клапан</w:t>
            </w:r>
          </w:p>
          <w:p w14:paraId="68F91B08" w14:textId="77777777" w:rsidR="003C2936" w:rsidRPr="004328FB" w:rsidRDefault="003C2936" w:rsidP="00B6305C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Редукционный клапан</w:t>
            </w:r>
          </w:p>
          <w:p w14:paraId="378EEA48" w14:textId="77777777" w:rsidR="003C2936" w:rsidRPr="004328FB" w:rsidRDefault="003C2936" w:rsidP="00B6305C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Предохранительный ограничитель давления (срабатывающий при определенной температуре)</w:t>
            </w:r>
          </w:p>
          <w:p w14:paraId="00BEA6F9" w14:textId="77777777" w:rsidR="003C2936" w:rsidRPr="004328FB" w:rsidRDefault="003C2936" w:rsidP="00B6305C">
            <w:pPr>
              <w:keepNext/>
              <w:keepLines/>
              <w:spacing w:before="60" w:after="60" w:line="240" w:lineRule="auto"/>
              <w:ind w:left="57"/>
              <w:rPr>
                <w:b/>
                <w:bCs/>
                <w:sz w:val="18"/>
                <w:szCs w:val="18"/>
              </w:rPr>
            </w:pPr>
            <w:r w:rsidRPr="004328FB">
              <w:rPr>
                <w:b/>
                <w:bCs/>
                <w:sz w:val="18"/>
                <w:szCs w:val="18"/>
              </w:rPr>
              <w:t>Ручной вентиль</w:t>
            </w:r>
          </w:p>
          <w:p w14:paraId="2D1857A1" w14:textId="77777777" w:rsidR="003C2936" w:rsidRPr="004328FB" w:rsidRDefault="003C2936" w:rsidP="00B6305C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Ограничительный клапан</w:t>
            </w:r>
          </w:p>
          <w:p w14:paraId="19E685AC" w14:textId="77777777" w:rsidR="003C2936" w:rsidRPr="004328FB" w:rsidRDefault="003C2936" w:rsidP="00B6305C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Предохранительный ограничитель давления (срабатывающий при определенном давлении)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2CFB8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4A</w:t>
            </w:r>
          </w:p>
        </w:tc>
      </w:tr>
      <w:tr w:rsidR="003C2936" w:rsidRPr="004328FB" w14:paraId="3D0CD313" w14:textId="77777777" w:rsidTr="003C293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ECA0A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8.5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D759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Гибкий топливопровод-шланг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3299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4В</w:t>
            </w:r>
          </w:p>
        </w:tc>
      </w:tr>
      <w:tr w:rsidR="003C2936" w:rsidRPr="004328FB" w14:paraId="3413236D" w14:textId="77777777" w:rsidTr="003C293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6249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8.6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50F4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Фильтр КПГ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8537096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4C</w:t>
            </w:r>
          </w:p>
        </w:tc>
      </w:tr>
      <w:tr w:rsidR="003C2936" w:rsidRPr="004328FB" w14:paraId="7BF6688D" w14:textId="77777777" w:rsidTr="003C293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ED07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8.7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1CFA" w14:textId="77777777" w:rsidR="003C2936" w:rsidRPr="004328FB" w:rsidRDefault="003C2936" w:rsidP="00B6305C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Регулятор давления КПГ</w:t>
            </w:r>
          </w:p>
          <w:p w14:paraId="79409130" w14:textId="77777777" w:rsidR="003C2936" w:rsidRPr="004328FB" w:rsidRDefault="003C2936" w:rsidP="00B6305C">
            <w:pPr>
              <w:keepNext/>
              <w:keepLines/>
              <w:spacing w:before="60" w:after="60" w:line="240" w:lineRule="auto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  <w:shd w:val="clear" w:color="auto" w:fill="FFFFFF"/>
              </w:rPr>
              <w:t>Компрессор КПГ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D0ECDB5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4D</w:t>
            </w:r>
          </w:p>
        </w:tc>
      </w:tr>
      <w:tr w:rsidR="003C2936" w:rsidRPr="004328FB" w14:paraId="63724958" w14:textId="77777777" w:rsidTr="003C293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D439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8.8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50DE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Датчики давления и температуры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4DA3D66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4E</w:t>
            </w:r>
          </w:p>
        </w:tc>
      </w:tr>
      <w:tr w:rsidR="003C2936" w:rsidRPr="004328FB" w14:paraId="52F0CD1C" w14:textId="77777777" w:rsidTr="003C293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A643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8.9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2464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Заправочный блок или узел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4FF82D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4F</w:t>
            </w:r>
          </w:p>
        </w:tc>
      </w:tr>
      <w:tr w:rsidR="003C2936" w:rsidRPr="004328FB" w14:paraId="4D888285" w14:textId="77777777" w:rsidTr="003C293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8143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8.10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DC3A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Регулятор подачи газа и газовоздухосмеситель, инжектор</w:t>
            </w:r>
            <w:r w:rsidRPr="004328FB">
              <w:rPr>
                <w:sz w:val="18"/>
                <w:szCs w:val="18"/>
              </w:rPr>
              <w:br/>
              <w:t>или топливная рампа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6D84B2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4G</w:t>
            </w:r>
          </w:p>
        </w:tc>
      </w:tr>
      <w:tr w:rsidR="003C2936" w:rsidRPr="004328FB" w14:paraId="43E43D92" w14:textId="77777777" w:rsidTr="003C293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040AB3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8.11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B1B3B75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Электронный блок управления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C4EDD0" w14:textId="77777777" w:rsidR="003C2936" w:rsidRPr="004328FB" w:rsidRDefault="003C2936" w:rsidP="00B6305C">
            <w:pPr>
              <w:keepNext/>
              <w:keepLines/>
              <w:spacing w:before="60" w:after="60"/>
              <w:ind w:left="57"/>
              <w:jc w:val="center"/>
              <w:rPr>
                <w:sz w:val="18"/>
                <w:szCs w:val="18"/>
              </w:rPr>
            </w:pPr>
            <w:r w:rsidRPr="004328FB">
              <w:rPr>
                <w:sz w:val="18"/>
                <w:szCs w:val="18"/>
              </w:rPr>
              <w:t>4H</w:t>
            </w:r>
          </w:p>
        </w:tc>
      </w:tr>
    </w:tbl>
    <w:p w14:paraId="033A31BB" w14:textId="77777777" w:rsidR="003C2936" w:rsidRPr="004328FB" w:rsidRDefault="003C2936" w:rsidP="003C2936">
      <w:pPr>
        <w:spacing w:before="120" w:after="120" w:line="240" w:lineRule="auto"/>
        <w:ind w:left="2268" w:right="1134" w:hanging="1134"/>
        <w:jc w:val="right"/>
      </w:pPr>
      <w:r w:rsidRPr="004328FB">
        <w:t>»</w:t>
      </w:r>
    </w:p>
    <w:p w14:paraId="6A927540" w14:textId="77777777" w:rsidR="003C2936" w:rsidRPr="004328FB" w:rsidRDefault="003C2936" w:rsidP="003C2936">
      <w:pPr>
        <w:spacing w:after="120"/>
        <w:ind w:left="2268" w:right="1134" w:hanging="1134"/>
        <w:jc w:val="both"/>
      </w:pPr>
      <w:r w:rsidRPr="004328FB">
        <w:rPr>
          <w:i/>
        </w:rPr>
        <w:t>Приложение 4A, пункт 3.2.3</w:t>
      </w:r>
      <w:r w:rsidRPr="004328FB">
        <w:t xml:space="preserve"> изменить следующим образом:</w:t>
      </w:r>
    </w:p>
    <w:p w14:paraId="0FA8F970" w14:textId="77777777" w:rsidR="003C2936" w:rsidRPr="004328FB" w:rsidRDefault="003C2936" w:rsidP="003C2936">
      <w:pPr>
        <w:spacing w:after="120"/>
        <w:ind w:left="2268" w:right="1134" w:hanging="1134"/>
        <w:jc w:val="both"/>
      </w:pPr>
      <w:r w:rsidRPr="004328FB">
        <w:t>«3.2.3</w:t>
      </w:r>
      <w:r w:rsidRPr="004328FB">
        <w:tab/>
        <w:t xml:space="preserve">Обратный клапан, находящийся в нормальном положении использования, указанном изготовителем, подвергается испытанию на 20 000 срабатываний, после чего он отключается. </w:t>
      </w:r>
      <w:r w:rsidRPr="004328FB">
        <w:rPr>
          <w:b/>
          <w:bCs/>
          <w:shd w:val="clear" w:color="auto" w:fill="FFFFFF"/>
        </w:rPr>
        <w:t xml:space="preserve">После 20 000 циклов срабатывания контрольный клапан подвергается воздействию вибрации в течение 240 часов при расходе, вызывающем наибольшее биение. Несрабатывание в любом виде в рамках этой процедуры означает несрабатывание контрольного клапана. </w:t>
      </w:r>
      <w:r w:rsidRPr="004328FB">
        <w:rPr>
          <w:b/>
          <w:bCs/>
          <w:shd w:val="clear" w:color="auto" w:fill="FFFFFF"/>
        </w:rPr>
        <w:br/>
        <w:t xml:space="preserve">Все части должны оставаться в неизменном положении и исправно функционировать после испытания. </w:t>
      </w:r>
      <w:r w:rsidRPr="004328FB">
        <w:t>Обратный клапан должен оставаться герметичным (на утечку во внешнюю среду) при давлении, в 1,5 раза превышающем рабочее давление (МПа) (см. приложение 5B)».</w:t>
      </w:r>
    </w:p>
    <w:p w14:paraId="6075F85B" w14:textId="77777777" w:rsidR="003C2936" w:rsidRPr="004328FB" w:rsidRDefault="003C2936" w:rsidP="003C2936">
      <w:pPr>
        <w:keepNext/>
        <w:keepLines/>
        <w:spacing w:after="120"/>
        <w:ind w:left="2268" w:right="1134" w:hanging="1134"/>
        <w:jc w:val="both"/>
      </w:pPr>
      <w:r w:rsidRPr="004328FB">
        <w:rPr>
          <w:i/>
        </w:rPr>
        <w:lastRenderedPageBreak/>
        <w:t>Приложение 5L</w:t>
      </w:r>
      <w:r w:rsidRPr="004328FB">
        <w:t xml:space="preserve"> изменить следующим образом:</w:t>
      </w:r>
    </w:p>
    <w:p w14:paraId="28C59D84" w14:textId="77777777" w:rsidR="003C2936" w:rsidRPr="004328FB" w:rsidRDefault="003C2936" w:rsidP="003C2936">
      <w:pPr>
        <w:pStyle w:val="HChG"/>
      </w:pPr>
      <w:r w:rsidRPr="004328FB">
        <w:rPr>
          <w:b w:val="0"/>
          <w:bCs/>
          <w:sz w:val="20"/>
          <w:szCs w:val="14"/>
        </w:rPr>
        <w:t>«</w:t>
      </w:r>
      <w:r w:rsidRPr="004328FB">
        <w:t>Приложение 5L</w:t>
      </w:r>
    </w:p>
    <w:p w14:paraId="40389E5B" w14:textId="77777777" w:rsidR="003C2936" w:rsidRPr="004328FB" w:rsidRDefault="003C2936" w:rsidP="003C2936">
      <w:pPr>
        <w:pStyle w:val="HChG"/>
      </w:pPr>
      <w:r w:rsidRPr="004328FB">
        <w:tab/>
      </w:r>
      <w:r w:rsidRPr="004328FB">
        <w:tab/>
        <w:t xml:space="preserve">Испытание на износоустойчивость </w:t>
      </w:r>
      <w:r w:rsidRPr="004328FB">
        <w:br/>
        <w:t>(постоянный режим работы)</w:t>
      </w:r>
    </w:p>
    <w:p w14:paraId="571FD4E3" w14:textId="77777777" w:rsidR="003C2936" w:rsidRPr="004328FB" w:rsidRDefault="003C2936" w:rsidP="003C2936">
      <w:pPr>
        <w:pStyle w:val="SingleTxtGR0"/>
        <w:keepNext/>
        <w:keepLines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4328FB">
        <w:rPr>
          <w:spacing w:val="0"/>
          <w:w w:val="100"/>
          <w:kern w:val="0"/>
        </w:rPr>
        <w:t>1.</w:t>
      </w:r>
      <w:r w:rsidRPr="004328FB">
        <w:rPr>
          <w:spacing w:val="0"/>
          <w:w w:val="100"/>
          <w:kern w:val="0"/>
        </w:rPr>
        <w:tab/>
        <w:t>Метод испытания элементов оборудования КПГ</w:t>
      </w:r>
    </w:p>
    <w:p w14:paraId="7B36DB68" w14:textId="5CE0B601" w:rsidR="003C2936" w:rsidRPr="004328FB" w:rsidRDefault="003C2936" w:rsidP="003C2936">
      <w:pPr>
        <w:pStyle w:val="SingleTxtGR0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4328FB">
        <w:rPr>
          <w:spacing w:val="0"/>
          <w:w w:val="100"/>
          <w:kern w:val="0"/>
        </w:rPr>
        <w:t>1.1</w:t>
      </w:r>
      <w:r w:rsidRPr="004328FB">
        <w:rPr>
          <w:spacing w:val="0"/>
          <w:w w:val="100"/>
          <w:kern w:val="0"/>
        </w:rPr>
        <w:tab/>
        <w:t>Элемент оборудования подключают к источнику сжатого сухого воздуха или азота при помощи подходящего фитинга и подвергают ряду циклических испытаний, указанных для данного конкретного элемента оборудования. Цикл состоит из одного открытия и одного закрытия элемента оборудования в течение периода времени продолжительностью не менее 10 ±</w:t>
      </w:r>
      <w:r w:rsidR="00665D7D">
        <w:rPr>
          <w:spacing w:val="0"/>
          <w:w w:val="100"/>
          <w:kern w:val="0"/>
        </w:rPr>
        <w:t xml:space="preserve"> </w:t>
      </w:r>
      <w:r w:rsidRPr="004328FB">
        <w:rPr>
          <w:spacing w:val="0"/>
          <w:w w:val="100"/>
          <w:kern w:val="0"/>
        </w:rPr>
        <w:t>2 секунды.</w:t>
      </w:r>
    </w:p>
    <w:p w14:paraId="028C27E9" w14:textId="77777777" w:rsidR="003C2936" w:rsidRPr="004328FB" w:rsidRDefault="003C2936" w:rsidP="003C2936">
      <w:pPr>
        <w:pStyle w:val="SingleTxtGR0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4328FB">
        <w:rPr>
          <w:spacing w:val="0"/>
          <w:w w:val="100"/>
          <w:kern w:val="0"/>
        </w:rPr>
        <w:t>а)</w:t>
      </w:r>
      <w:r w:rsidRPr="004328FB">
        <w:rPr>
          <w:spacing w:val="0"/>
          <w:w w:val="100"/>
          <w:kern w:val="0"/>
        </w:rPr>
        <w:tab/>
        <w:t>Циклическое воздействие комнатной температуры</w:t>
      </w:r>
    </w:p>
    <w:p w14:paraId="55E3C453" w14:textId="40036ACE" w:rsidR="003C2936" w:rsidRPr="004328FB" w:rsidRDefault="003C2936" w:rsidP="003C2936">
      <w:pPr>
        <w:pStyle w:val="SingleTxtGR0"/>
        <w:tabs>
          <w:tab w:val="clear" w:pos="1701"/>
        </w:tabs>
        <w:suppressAutoHyphens/>
        <w:ind w:left="2835"/>
        <w:rPr>
          <w:spacing w:val="0"/>
          <w:w w:val="100"/>
          <w:kern w:val="0"/>
        </w:rPr>
      </w:pPr>
      <w:r w:rsidRPr="004328FB">
        <w:rPr>
          <w:spacing w:val="0"/>
          <w:w w:val="100"/>
          <w:kern w:val="0"/>
        </w:rPr>
        <w:t>96</w:t>
      </w:r>
      <w:r>
        <w:rPr>
          <w:spacing w:val="0"/>
          <w:w w:val="100"/>
          <w:kern w:val="0"/>
          <w:lang w:val="en-US"/>
        </w:rPr>
        <w:t> </w:t>
      </w:r>
      <w:r w:rsidRPr="004328FB">
        <w:rPr>
          <w:spacing w:val="0"/>
          <w:w w:val="100"/>
          <w:kern w:val="0"/>
        </w:rPr>
        <w:t>% от общего числа циклов испытания элемента оборудования проводят при комнатной температуре и номинальном эксплуатационном давлении. Во время нерабочей части цикла следует предусмотреть возможность снижения давления на выходе из испытательной арматуры до 50</w:t>
      </w:r>
      <w:r>
        <w:rPr>
          <w:spacing w:val="0"/>
          <w:w w:val="100"/>
          <w:kern w:val="0"/>
          <w:lang w:val="en-US"/>
        </w:rPr>
        <w:t> </w:t>
      </w:r>
      <w:r w:rsidRPr="004328FB">
        <w:rPr>
          <w:spacing w:val="0"/>
          <w:w w:val="100"/>
          <w:kern w:val="0"/>
        </w:rPr>
        <w:t>% от испытательного давления. После этого элементы оборудования должны выдержать испытание на утечку при комнатной температуре, предусмотренное в приложении 5B. На этом этапе испытание разрешается прерывать через 20-процентные интервалы для проведения испытания на утечку.</w:t>
      </w:r>
    </w:p>
    <w:p w14:paraId="1DEF8437" w14:textId="77777777" w:rsidR="003C2936" w:rsidRPr="004328FB" w:rsidRDefault="003C2936" w:rsidP="003C2936">
      <w:pPr>
        <w:pStyle w:val="SingleTxtGR0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4328FB">
        <w:rPr>
          <w:spacing w:val="0"/>
          <w:w w:val="100"/>
          <w:kern w:val="0"/>
        </w:rPr>
        <w:t>b)</w:t>
      </w:r>
      <w:r w:rsidRPr="004328FB">
        <w:rPr>
          <w:spacing w:val="0"/>
          <w:w w:val="100"/>
          <w:kern w:val="0"/>
        </w:rPr>
        <w:tab/>
        <w:t>Циклическое воздействие высокой температуры</w:t>
      </w:r>
    </w:p>
    <w:p w14:paraId="08AFF738" w14:textId="5E253727" w:rsidR="003C2936" w:rsidRPr="004328FB" w:rsidRDefault="003C2936" w:rsidP="003C2936">
      <w:pPr>
        <w:pStyle w:val="SingleTxtGR0"/>
        <w:tabs>
          <w:tab w:val="clear" w:pos="1701"/>
        </w:tabs>
        <w:suppressAutoHyphens/>
        <w:ind w:left="2835"/>
        <w:rPr>
          <w:spacing w:val="0"/>
          <w:w w:val="100"/>
          <w:kern w:val="0"/>
        </w:rPr>
      </w:pPr>
      <w:r w:rsidRPr="004328FB">
        <w:rPr>
          <w:spacing w:val="0"/>
          <w:w w:val="100"/>
          <w:kern w:val="0"/>
        </w:rPr>
        <w:t>2</w:t>
      </w:r>
      <w:r>
        <w:rPr>
          <w:spacing w:val="0"/>
          <w:w w:val="100"/>
          <w:kern w:val="0"/>
          <w:lang w:val="en-US"/>
        </w:rPr>
        <w:t> </w:t>
      </w:r>
      <w:r w:rsidRPr="004328FB">
        <w:rPr>
          <w:spacing w:val="0"/>
          <w:w w:val="100"/>
          <w:kern w:val="0"/>
        </w:rPr>
        <w:t>% от общего числа циклов испытания элемента оборудования проводят при соответствующей максимальной температуре, указанной для номинального эксплуатационного давления. По</w:t>
      </w:r>
      <w:r w:rsidRPr="004328FB">
        <w:rPr>
          <w:spacing w:val="0"/>
          <w:w w:val="100"/>
          <w:kern w:val="0"/>
          <w:lang w:val="en-US"/>
        </w:rPr>
        <w:t> </w:t>
      </w:r>
      <w:r w:rsidRPr="004328FB">
        <w:rPr>
          <w:spacing w:val="0"/>
          <w:w w:val="100"/>
          <w:kern w:val="0"/>
        </w:rPr>
        <w:t>завершении циклов воздействия высокой температуры элемент оборудования должен выдержать испытание на утечку при соответствующей максимальной температуре, предусмотренное в приложении 5B.</w:t>
      </w:r>
    </w:p>
    <w:p w14:paraId="61ABCC86" w14:textId="77777777" w:rsidR="003C2936" w:rsidRPr="004328FB" w:rsidRDefault="003C2936" w:rsidP="003C2936">
      <w:pPr>
        <w:pStyle w:val="SingleTxtGR0"/>
        <w:tabs>
          <w:tab w:val="clear" w:pos="1701"/>
        </w:tabs>
        <w:suppressAutoHyphens/>
        <w:ind w:left="2268"/>
        <w:rPr>
          <w:spacing w:val="0"/>
          <w:w w:val="100"/>
          <w:kern w:val="0"/>
        </w:rPr>
      </w:pPr>
      <w:r w:rsidRPr="004328FB">
        <w:rPr>
          <w:spacing w:val="0"/>
          <w:w w:val="100"/>
          <w:kern w:val="0"/>
        </w:rPr>
        <w:t>c)</w:t>
      </w:r>
      <w:r w:rsidRPr="004328FB">
        <w:rPr>
          <w:spacing w:val="0"/>
          <w:w w:val="100"/>
          <w:kern w:val="0"/>
        </w:rPr>
        <w:tab/>
        <w:t>Циклическое воздействие низкой температуры</w:t>
      </w:r>
    </w:p>
    <w:p w14:paraId="16D21ED4" w14:textId="54C1B699" w:rsidR="003C2936" w:rsidRPr="004328FB" w:rsidRDefault="003C2936" w:rsidP="003C2936">
      <w:pPr>
        <w:spacing w:after="120"/>
        <w:ind w:left="2835" w:right="1134"/>
        <w:jc w:val="both"/>
      </w:pPr>
      <w:r w:rsidRPr="004328FB">
        <w:t>2</w:t>
      </w:r>
      <w:r>
        <w:rPr>
          <w:lang w:val="en-US"/>
        </w:rPr>
        <w:t> </w:t>
      </w:r>
      <w:r w:rsidRPr="004328FB">
        <w:t>% от общего числа циклов испытания элемента оборудования проводят при соответствующей минимальной температуре, указанной для номинального эксплуатационного давления. По</w:t>
      </w:r>
      <w:r w:rsidRPr="004328FB">
        <w:rPr>
          <w:lang w:val="en-US"/>
        </w:rPr>
        <w:t> </w:t>
      </w:r>
      <w:r w:rsidRPr="004328FB">
        <w:t>завершении циклов воздействия низкой температуры элемент оборудования должен выдержать испытание на утечку при соответствующей минимальной температуре, предусмотренное в приложении 5B.</w:t>
      </w:r>
    </w:p>
    <w:p w14:paraId="15F55EF2" w14:textId="77777777" w:rsidR="003C2936" w:rsidRPr="004328FB" w:rsidRDefault="003C2936" w:rsidP="003C2936">
      <w:pPr>
        <w:pStyle w:val="SingleTxtGR0"/>
        <w:tabs>
          <w:tab w:val="clear" w:pos="1701"/>
        </w:tabs>
        <w:suppressAutoHyphens/>
        <w:ind w:left="2835"/>
        <w:rPr>
          <w:b/>
          <w:spacing w:val="0"/>
          <w:w w:val="100"/>
          <w:kern w:val="0"/>
        </w:rPr>
      </w:pPr>
      <w:r w:rsidRPr="004328FB">
        <w:rPr>
          <w:spacing w:val="0"/>
          <w:w w:val="100"/>
          <w:kern w:val="0"/>
        </w:rPr>
        <w:t xml:space="preserve">По окончании циклического воздействия и повторного испытания на утечку элемент оборудования должен быть способен полностью открываться и закрываться под воздействием крутящего момента, величина которого не должна превышать величины, указанной в таблице 5.3 ниже, прилагаемого к рычагу управления элемента в направлении, в котором он полностью открывается, а затем в обратном направлении. </w:t>
      </w:r>
      <w:r w:rsidRPr="004328FB">
        <w:rPr>
          <w:b/>
          <w:spacing w:val="0"/>
          <w:w w:val="100"/>
          <w:kern w:val="0"/>
        </w:rPr>
        <w:t>Для рычажного клапана соответствующий максимальный крутящий момент определяется путем приложения к концу рабочего механизма рычага управления тянущего усилия до 150 Н.</w:t>
      </w:r>
    </w:p>
    <w:p w14:paraId="014818AC" w14:textId="77777777" w:rsidR="003C2936" w:rsidRPr="004328FB" w:rsidRDefault="003C2936" w:rsidP="003C2936">
      <w:pPr>
        <w:pStyle w:val="H23G"/>
        <w:ind w:left="1985"/>
      </w:pPr>
      <w:bookmarkStart w:id="0" w:name="_Toc343849610"/>
      <w:r w:rsidRPr="004328FB">
        <w:rPr>
          <w:b w:val="0"/>
          <w:bCs/>
        </w:rPr>
        <w:lastRenderedPageBreak/>
        <w:tab/>
      </w:r>
      <w:r w:rsidRPr="004328FB">
        <w:rPr>
          <w:b w:val="0"/>
          <w:bCs/>
        </w:rPr>
        <w:tab/>
        <w:t>Таблица 5.3</w:t>
      </w:r>
    </w:p>
    <w:tbl>
      <w:tblPr>
        <w:tblW w:w="6192" w:type="dxa"/>
        <w:tblInd w:w="2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96"/>
        <w:gridCol w:w="3096"/>
      </w:tblGrid>
      <w:tr w:rsidR="003C2936" w:rsidRPr="004328FB" w14:paraId="4D303D3E" w14:textId="77777777" w:rsidTr="00B6305C">
        <w:trPr>
          <w:trHeight w:val="340"/>
          <w:tblHeader/>
        </w:trPr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14:paraId="45E73F26" w14:textId="77777777" w:rsidR="003C2936" w:rsidRPr="004328FB" w:rsidRDefault="003C2936" w:rsidP="00B6305C">
            <w:pPr>
              <w:keepNext/>
              <w:keepLines/>
              <w:spacing w:before="80" w:after="80" w:line="200" w:lineRule="exact"/>
              <w:ind w:left="57"/>
              <w:jc w:val="center"/>
              <w:rPr>
                <w:i/>
                <w:sz w:val="16"/>
              </w:rPr>
            </w:pPr>
            <w:r w:rsidRPr="004328FB">
              <w:rPr>
                <w:i/>
                <w:sz w:val="16"/>
              </w:rPr>
              <w:t>Размер входного отверстия элемента</w:t>
            </w:r>
            <w:r w:rsidRPr="004328FB">
              <w:rPr>
                <w:i/>
                <w:sz w:val="16"/>
              </w:rPr>
              <w:br/>
              <w:t>оборудования [мм]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14:paraId="536E6547" w14:textId="77777777" w:rsidR="003C2936" w:rsidRPr="004328FB" w:rsidRDefault="003C2936" w:rsidP="00B6305C">
            <w:pPr>
              <w:keepNext/>
              <w:keepLines/>
              <w:spacing w:before="80" w:after="80" w:line="200" w:lineRule="exact"/>
              <w:ind w:left="57"/>
              <w:jc w:val="center"/>
              <w:rPr>
                <w:i/>
                <w:sz w:val="16"/>
              </w:rPr>
            </w:pPr>
            <w:r w:rsidRPr="004328FB">
              <w:rPr>
                <w:i/>
                <w:sz w:val="16"/>
              </w:rPr>
              <w:t>Максимальный крутящий</w:t>
            </w:r>
            <w:r w:rsidRPr="004328FB">
              <w:rPr>
                <w:i/>
                <w:sz w:val="16"/>
              </w:rPr>
              <w:br/>
              <w:t>момент [Нм]</w:t>
            </w:r>
          </w:p>
        </w:tc>
      </w:tr>
      <w:tr w:rsidR="003C2936" w:rsidRPr="004328FB" w14:paraId="0733CC4F" w14:textId="77777777" w:rsidTr="00B6305C">
        <w:trPr>
          <w:trHeight w:val="340"/>
        </w:trPr>
        <w:tc>
          <w:tcPr>
            <w:tcW w:w="3096" w:type="dxa"/>
            <w:tcBorders>
              <w:top w:val="single" w:sz="12" w:space="0" w:color="auto"/>
            </w:tcBorders>
            <w:shd w:val="clear" w:color="auto" w:fill="auto"/>
          </w:tcPr>
          <w:p w14:paraId="4EAA554E" w14:textId="77777777" w:rsidR="003C2936" w:rsidRPr="004328FB" w:rsidRDefault="003C2936" w:rsidP="00B6305C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4328FB">
              <w:rPr>
                <w:sz w:val="18"/>
              </w:rPr>
              <w:t>6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shd w:val="clear" w:color="auto" w:fill="auto"/>
          </w:tcPr>
          <w:p w14:paraId="77976CBF" w14:textId="77777777" w:rsidR="003C2936" w:rsidRPr="004328FB" w:rsidRDefault="003C2936" w:rsidP="00B6305C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4328FB">
              <w:rPr>
                <w:sz w:val="18"/>
              </w:rPr>
              <w:t>1,7</w:t>
            </w:r>
          </w:p>
        </w:tc>
      </w:tr>
      <w:tr w:rsidR="003C2936" w:rsidRPr="004328FB" w14:paraId="5CA9FE13" w14:textId="77777777" w:rsidTr="00B6305C">
        <w:trPr>
          <w:trHeight w:val="340"/>
        </w:trPr>
        <w:tc>
          <w:tcPr>
            <w:tcW w:w="3096" w:type="dxa"/>
            <w:shd w:val="clear" w:color="auto" w:fill="auto"/>
          </w:tcPr>
          <w:p w14:paraId="69319BFC" w14:textId="77777777" w:rsidR="003C2936" w:rsidRPr="004328FB" w:rsidRDefault="003C2936" w:rsidP="00B6305C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4328FB">
              <w:rPr>
                <w:sz w:val="18"/>
              </w:rPr>
              <w:t>8 или 10</w:t>
            </w:r>
          </w:p>
        </w:tc>
        <w:tc>
          <w:tcPr>
            <w:tcW w:w="3096" w:type="dxa"/>
            <w:shd w:val="clear" w:color="auto" w:fill="auto"/>
          </w:tcPr>
          <w:p w14:paraId="2F39EF9C" w14:textId="77777777" w:rsidR="003C2936" w:rsidRPr="004328FB" w:rsidRDefault="003C2936" w:rsidP="00B6305C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4328FB">
              <w:rPr>
                <w:sz w:val="18"/>
              </w:rPr>
              <w:t>2,3</w:t>
            </w:r>
          </w:p>
        </w:tc>
      </w:tr>
      <w:tr w:rsidR="003C2936" w:rsidRPr="004328FB" w14:paraId="1F9E4D64" w14:textId="77777777" w:rsidTr="00B6305C">
        <w:trPr>
          <w:trHeight w:val="340"/>
        </w:trPr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14:paraId="008506E8" w14:textId="77777777" w:rsidR="003C2936" w:rsidRPr="004328FB" w:rsidRDefault="003C2936" w:rsidP="00B6305C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4328FB">
              <w:rPr>
                <w:sz w:val="18"/>
              </w:rPr>
              <w:t>12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</w:tcPr>
          <w:p w14:paraId="0A66AA42" w14:textId="77777777" w:rsidR="003C2936" w:rsidRPr="004328FB" w:rsidRDefault="003C2936" w:rsidP="00B6305C">
            <w:pPr>
              <w:keepNext/>
              <w:keepLines/>
              <w:spacing w:before="40" w:after="80"/>
              <w:ind w:left="57"/>
              <w:jc w:val="center"/>
              <w:rPr>
                <w:sz w:val="18"/>
              </w:rPr>
            </w:pPr>
            <w:r w:rsidRPr="004328FB">
              <w:rPr>
                <w:sz w:val="18"/>
              </w:rPr>
              <w:t>2,8</w:t>
            </w:r>
          </w:p>
        </w:tc>
      </w:tr>
    </w:tbl>
    <w:p w14:paraId="170BC923" w14:textId="77777777" w:rsidR="003C2936" w:rsidRPr="004328FB" w:rsidRDefault="003C2936" w:rsidP="003C2936">
      <w:pPr>
        <w:pStyle w:val="SingleTxtGR0"/>
        <w:tabs>
          <w:tab w:val="clear" w:pos="1701"/>
        </w:tabs>
        <w:suppressAutoHyphens/>
        <w:spacing w:before="240"/>
        <w:ind w:left="2268" w:hanging="1134"/>
        <w:rPr>
          <w:spacing w:val="0"/>
          <w:w w:val="100"/>
          <w:kern w:val="0"/>
        </w:rPr>
      </w:pPr>
      <w:r w:rsidRPr="004328FB">
        <w:rPr>
          <w:spacing w:val="0"/>
          <w:w w:val="100"/>
          <w:kern w:val="0"/>
        </w:rPr>
        <w:t>1.2</w:t>
      </w:r>
      <w:r w:rsidRPr="004328FB">
        <w:rPr>
          <w:spacing w:val="0"/>
          <w:w w:val="100"/>
          <w:kern w:val="0"/>
        </w:rPr>
        <w:tab/>
        <w:t>Данное испытание проводят при соответствующей максимальной температуре и повторяют при температуре −40°.</w:t>
      </w:r>
    </w:p>
    <w:p w14:paraId="3A3010B4" w14:textId="77777777" w:rsidR="003C2936" w:rsidRPr="004328FB" w:rsidRDefault="003C2936" w:rsidP="003C2936">
      <w:pPr>
        <w:pStyle w:val="SingleTxtGR0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4328FB">
        <w:rPr>
          <w:spacing w:val="0"/>
          <w:w w:val="100"/>
          <w:kern w:val="0"/>
        </w:rPr>
        <w:t>1.3</w:t>
      </w:r>
      <w:r w:rsidRPr="004328FB">
        <w:rPr>
          <w:spacing w:val="0"/>
          <w:w w:val="100"/>
          <w:kern w:val="0"/>
        </w:rPr>
        <w:tab/>
        <w:t>В соответствующих случаях для элементов оборудования СПГ проводят испытание на износоустойчивость, оговоренное в посвященных им приложениях 4</w:t>
      </w:r>
      <w:r w:rsidRPr="004328FB">
        <w:rPr>
          <w:spacing w:val="0"/>
          <w:w w:val="100"/>
          <w:kern w:val="0"/>
          <w:lang w:val="en-US"/>
        </w:rPr>
        <w:t>I</w:t>
      </w:r>
      <w:r w:rsidRPr="004328FB">
        <w:rPr>
          <w:spacing w:val="0"/>
          <w:w w:val="100"/>
          <w:kern w:val="0"/>
        </w:rPr>
        <w:t>−4</w:t>
      </w:r>
      <w:r w:rsidRPr="004328FB">
        <w:rPr>
          <w:spacing w:val="0"/>
          <w:w w:val="100"/>
          <w:kern w:val="0"/>
          <w:lang w:val="en-US"/>
        </w:rPr>
        <w:t>O</w:t>
      </w:r>
      <w:r w:rsidRPr="004328FB">
        <w:rPr>
          <w:spacing w:val="0"/>
          <w:w w:val="100"/>
          <w:kern w:val="0"/>
        </w:rPr>
        <w:t>».</w:t>
      </w:r>
    </w:p>
    <w:bookmarkEnd w:id="0"/>
    <w:p w14:paraId="60FDA86F" w14:textId="77777777" w:rsidR="003C2936" w:rsidRPr="004328FB" w:rsidRDefault="003C2936" w:rsidP="003C2936">
      <w:pPr>
        <w:pStyle w:val="HChG"/>
        <w:rPr>
          <w:b w:val="0"/>
        </w:rPr>
      </w:pPr>
      <w:r w:rsidRPr="004328FB">
        <w:tab/>
        <w:t>II.</w:t>
      </w:r>
      <w:r w:rsidRPr="004328FB">
        <w:tab/>
        <w:t>Обоснование</w:t>
      </w:r>
    </w:p>
    <w:p w14:paraId="7E33A727" w14:textId="77777777" w:rsidR="003C2936" w:rsidRPr="004328FB" w:rsidRDefault="003C2936" w:rsidP="003C2936">
      <w:pPr>
        <w:pStyle w:val="SingleTxtG"/>
        <w:tabs>
          <w:tab w:val="clear" w:pos="1701"/>
        </w:tabs>
        <w:ind w:left="1701" w:hanging="567"/>
      </w:pPr>
      <w:r w:rsidRPr="004328FB">
        <w:t>1.</w:t>
      </w:r>
      <w:r w:rsidRPr="004328FB">
        <w:tab/>
      </w:r>
      <w:r w:rsidRPr="004328FB">
        <w:rPr>
          <w:shd w:val="clear" w:color="auto" w:fill="FFFFFF"/>
        </w:rPr>
        <w:t>Вышеуказанное предложение призвано:</w:t>
      </w:r>
    </w:p>
    <w:p w14:paraId="1EA07489" w14:textId="15CD2C81" w:rsidR="003C2936" w:rsidRPr="004328FB" w:rsidRDefault="005E1270" w:rsidP="005E1270">
      <w:pPr>
        <w:pStyle w:val="SingleTxtG"/>
      </w:pPr>
      <w:r>
        <w:rPr>
          <w:lang w:val="en-US"/>
        </w:rPr>
        <w:tab/>
      </w:r>
      <w:r w:rsidR="003C2936" w:rsidRPr="004328FB">
        <w:rPr>
          <w:lang w:val="en-US"/>
        </w:rPr>
        <w:t>a</w:t>
      </w:r>
      <w:r w:rsidR="003C2936" w:rsidRPr="004328FB">
        <w:t>)</w:t>
      </w:r>
      <w:r w:rsidR="003C2936" w:rsidRPr="004328FB">
        <w:tab/>
      </w:r>
      <w:r w:rsidR="003C2936" w:rsidRPr="004328FB">
        <w:rPr>
          <w:shd w:val="clear" w:color="auto" w:fill="FFFFFF"/>
        </w:rPr>
        <w:t>исправить ошибки/устранить неточности в действующих Правилах</w:t>
      </w:r>
      <w:r w:rsidR="003C2936">
        <w:rPr>
          <w:shd w:val="clear" w:color="auto" w:fill="FFFFFF"/>
          <w:lang w:val="en-US"/>
        </w:rPr>
        <w:t> </w:t>
      </w:r>
      <w:r w:rsidR="003C2936" w:rsidRPr="004328FB">
        <w:rPr>
          <w:shd w:val="clear" w:color="auto" w:fill="FFFFFF"/>
        </w:rPr>
        <w:t>№ 110 ООН;</w:t>
      </w:r>
    </w:p>
    <w:p w14:paraId="0CA37EDE" w14:textId="01ACCAC5" w:rsidR="003C2936" w:rsidRPr="005E1270" w:rsidRDefault="005E1270" w:rsidP="005E1270">
      <w:pPr>
        <w:pStyle w:val="SingleTxtG"/>
        <w:rPr>
          <w:lang w:val="en-US"/>
        </w:rPr>
      </w:pPr>
      <w:r>
        <w:rPr>
          <w:lang w:val="en-US"/>
        </w:rPr>
        <w:tab/>
      </w:r>
      <w:r w:rsidR="003C2936" w:rsidRPr="004328FB">
        <w:rPr>
          <w:lang w:val="en-US"/>
        </w:rPr>
        <w:t>b</w:t>
      </w:r>
      <w:r w:rsidR="003C2936" w:rsidRPr="005E1270">
        <w:rPr>
          <w:lang w:val="en-US"/>
        </w:rPr>
        <w:t>)</w:t>
      </w:r>
      <w:r w:rsidR="003C2936" w:rsidRPr="005E1270">
        <w:rPr>
          <w:lang w:val="en-US"/>
        </w:rPr>
        <w:tab/>
        <w:t>обновить пункты в порядке обеспечения их соответствия требованиям ISO 15500 и NGV3.1 (отраслевые стандарты для КПГ):</w:t>
      </w:r>
    </w:p>
    <w:p w14:paraId="7746CEFB" w14:textId="1D09FBAB" w:rsidR="003C2936" w:rsidRPr="005E1270" w:rsidRDefault="005E1270" w:rsidP="005E1270">
      <w:pPr>
        <w:pStyle w:val="SingleTxtG"/>
        <w:ind w:left="1701" w:hanging="567"/>
        <w:rPr>
          <w:lang w:val="en-US"/>
        </w:rPr>
      </w:pPr>
      <w:r>
        <w:rPr>
          <w:lang w:val="en-US"/>
        </w:rPr>
        <w:tab/>
      </w:r>
      <w:r w:rsidR="003C2936" w:rsidRPr="004328FB">
        <w:rPr>
          <w:lang w:val="en-US"/>
        </w:rPr>
        <w:t>i</w:t>
      </w:r>
      <w:r w:rsidR="003C2936" w:rsidRPr="005E1270">
        <w:rPr>
          <w:lang w:val="en-US"/>
        </w:rPr>
        <w:t>)</w:t>
      </w:r>
      <w:r w:rsidR="003C2936" w:rsidRPr="005E1270">
        <w:rPr>
          <w:lang w:val="en-US"/>
        </w:rPr>
        <w:tab/>
        <w:t xml:space="preserve">приложение 4A: после испытания контрольного клапана на продолжительность работы его обычно подвергают воздействию вибрации. </w:t>
      </w:r>
      <w:r>
        <w:rPr>
          <w:lang w:val="en-US"/>
        </w:rPr>
        <w:br/>
      </w:r>
      <w:r w:rsidR="003C2936" w:rsidRPr="005E1270">
        <w:rPr>
          <w:lang w:val="en-US"/>
        </w:rPr>
        <w:t xml:space="preserve">В практических условиях такая вызывающая биение вибрация может происходить на заправочной станции. Поэтому после испытания на продолжительность работы дополнительно предусматривается проведение — для определения функции закрытия клапана — данного испытания </w:t>
      </w:r>
      <w:r>
        <w:rPr>
          <w:lang w:val="en-US"/>
        </w:rPr>
        <w:br/>
      </w:r>
      <w:r w:rsidR="003C2936" w:rsidRPr="005E1270">
        <w:rPr>
          <w:lang w:val="en-US"/>
        </w:rPr>
        <w:t>(в соответствии с ISO 15500 и NGV3.1);</w:t>
      </w:r>
    </w:p>
    <w:p w14:paraId="727F6632" w14:textId="57E6ACCE" w:rsidR="003C2936" w:rsidRPr="005E1270" w:rsidRDefault="005E1270" w:rsidP="005E1270">
      <w:pPr>
        <w:pStyle w:val="SingleTxtG"/>
        <w:ind w:left="1701" w:hanging="567"/>
        <w:rPr>
          <w:lang w:val="en-US"/>
        </w:rPr>
      </w:pPr>
      <w:r>
        <w:rPr>
          <w:lang w:val="en-US"/>
        </w:rPr>
        <w:tab/>
      </w:r>
      <w:r w:rsidR="003C2936" w:rsidRPr="004328FB">
        <w:rPr>
          <w:lang w:val="en-US"/>
        </w:rPr>
        <w:t>ii</w:t>
      </w:r>
      <w:r w:rsidR="003C2936" w:rsidRPr="005E1270">
        <w:rPr>
          <w:lang w:val="en-US"/>
        </w:rPr>
        <w:t>)</w:t>
      </w:r>
      <w:r w:rsidR="003C2936" w:rsidRPr="005E1270">
        <w:rPr>
          <w:lang w:val="en-US"/>
        </w:rPr>
        <w:tab/>
        <w:t>оговоренное приложением 5L испытание ручного вентиля на износоустойчивость обновлено с учетом различий между клапаном с маховичком и рычажным клапаном. В нынешнем тексте никаких различий между двумя версиями с точки зрения предъявляемых требований не проводится. Новая предлагаемая формулировка обеспечит бо́льшую конкретизацию в этом отношении.</w:t>
      </w:r>
    </w:p>
    <w:p w14:paraId="1C80857A" w14:textId="77777777" w:rsidR="003C2936" w:rsidRPr="004328FB" w:rsidRDefault="003C2936" w:rsidP="003C2936">
      <w:pPr>
        <w:pStyle w:val="SingleTxtG"/>
      </w:pPr>
      <w:r w:rsidRPr="004328FB">
        <w:t>2.</w:t>
      </w:r>
      <w:r w:rsidRPr="004328FB">
        <w:tab/>
        <w:t>За счет включения указанных выше требований эксперт от Нидерландов стремится к тому, чтобы сделать настоящие Правила ООН более актуальными</w:t>
      </w:r>
      <w:r w:rsidRPr="004328FB">
        <w:rPr>
          <w:sz w:val="21"/>
          <w:szCs w:val="21"/>
          <w:shd w:val="clear" w:color="auto" w:fill="FFFFFF"/>
        </w:rPr>
        <w:t xml:space="preserve"> </w:t>
      </w:r>
      <w:r w:rsidRPr="004328FB">
        <w:rPr>
          <w:shd w:val="clear" w:color="auto" w:fill="FFFFFF"/>
        </w:rPr>
        <w:t>и в то же время обеспечить надлежащий уровень безопасности.</w:t>
      </w:r>
    </w:p>
    <w:p w14:paraId="17381FF9" w14:textId="0FE4B11A" w:rsidR="003C2936" w:rsidRPr="003C2936" w:rsidRDefault="003C2936" w:rsidP="003C293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C2936" w:rsidRPr="003C2936" w:rsidSect="003C29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8996" w14:textId="77777777" w:rsidR="00CF5769" w:rsidRPr="00A312BC" w:rsidRDefault="00CF5769" w:rsidP="00A312BC"/>
  </w:endnote>
  <w:endnote w:type="continuationSeparator" w:id="0">
    <w:p w14:paraId="5AF60822" w14:textId="77777777" w:rsidR="00CF5769" w:rsidRPr="00A312BC" w:rsidRDefault="00CF576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0FA8E" w14:textId="33A7D799" w:rsidR="003C2936" w:rsidRPr="003C2936" w:rsidRDefault="003C2936">
    <w:pPr>
      <w:pStyle w:val="a8"/>
    </w:pPr>
    <w:r w:rsidRPr="003C2936">
      <w:rPr>
        <w:b/>
        <w:sz w:val="18"/>
      </w:rPr>
      <w:fldChar w:fldCharType="begin"/>
    </w:r>
    <w:r w:rsidRPr="003C2936">
      <w:rPr>
        <w:b/>
        <w:sz w:val="18"/>
      </w:rPr>
      <w:instrText xml:space="preserve"> PAGE  \* MERGEFORMAT </w:instrText>
    </w:r>
    <w:r w:rsidRPr="003C2936">
      <w:rPr>
        <w:b/>
        <w:sz w:val="18"/>
      </w:rPr>
      <w:fldChar w:fldCharType="separate"/>
    </w:r>
    <w:r w:rsidRPr="003C2936">
      <w:rPr>
        <w:b/>
        <w:noProof/>
        <w:sz w:val="18"/>
      </w:rPr>
      <w:t>2</w:t>
    </w:r>
    <w:r w:rsidRPr="003C2936">
      <w:rPr>
        <w:b/>
        <w:sz w:val="18"/>
      </w:rPr>
      <w:fldChar w:fldCharType="end"/>
    </w:r>
    <w:r>
      <w:rPr>
        <w:b/>
        <w:sz w:val="18"/>
      </w:rPr>
      <w:tab/>
    </w:r>
    <w:r>
      <w:t>GE.22-11523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DF46" w14:textId="4C0003D9" w:rsidR="003C2936" w:rsidRPr="003C2936" w:rsidRDefault="003C2936" w:rsidP="003C2936">
    <w:pPr>
      <w:pStyle w:val="a8"/>
      <w:tabs>
        <w:tab w:val="clear" w:pos="9639"/>
        <w:tab w:val="right" w:pos="9638"/>
      </w:tabs>
      <w:rPr>
        <w:b/>
        <w:sz w:val="18"/>
      </w:rPr>
    </w:pPr>
    <w:r>
      <w:t>GE.22-11523</w:t>
    </w:r>
    <w:r>
      <w:tab/>
    </w:r>
    <w:r w:rsidRPr="003C2936">
      <w:rPr>
        <w:b/>
        <w:sz w:val="18"/>
      </w:rPr>
      <w:fldChar w:fldCharType="begin"/>
    </w:r>
    <w:r w:rsidRPr="003C2936">
      <w:rPr>
        <w:b/>
        <w:sz w:val="18"/>
      </w:rPr>
      <w:instrText xml:space="preserve"> PAGE  \* MERGEFORMAT </w:instrText>
    </w:r>
    <w:r w:rsidRPr="003C2936">
      <w:rPr>
        <w:b/>
        <w:sz w:val="18"/>
      </w:rPr>
      <w:fldChar w:fldCharType="separate"/>
    </w:r>
    <w:r w:rsidRPr="003C2936">
      <w:rPr>
        <w:b/>
        <w:noProof/>
        <w:sz w:val="18"/>
      </w:rPr>
      <w:t>3</w:t>
    </w:r>
    <w:r w:rsidRPr="003C293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8D40" w14:textId="26ECB512" w:rsidR="00042B72" w:rsidRPr="003C2936" w:rsidRDefault="003C2936" w:rsidP="003C293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5CEB272" wp14:editId="4320ED6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22-11523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F8DD9A6" wp14:editId="32F91B7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B37">
      <w:t xml:space="preserve">  030822  050822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2AE8" w14:textId="77777777" w:rsidR="00CF5769" w:rsidRPr="001075E9" w:rsidRDefault="00CF576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030687" w14:textId="77777777" w:rsidR="00CF5769" w:rsidRDefault="00CF576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536193F" w14:textId="77777777" w:rsidR="003C2936" w:rsidRPr="000734C7" w:rsidRDefault="003C2936" w:rsidP="003C2936">
      <w:pPr>
        <w:pStyle w:val="ad"/>
        <w:rPr>
          <w:rStyle w:val="aa"/>
          <w:szCs w:val="18"/>
          <w:vertAlign w:val="baseline"/>
        </w:rPr>
      </w:pPr>
      <w:r w:rsidRPr="00387AF0">
        <w:rPr>
          <w:rStyle w:val="aa"/>
          <w:lang w:eastAsia="en-US"/>
        </w:rPr>
        <w:tab/>
      </w:r>
      <w:r w:rsidRPr="003C2936">
        <w:rPr>
          <w:rStyle w:val="aa"/>
          <w:sz w:val="20"/>
          <w:szCs w:val="22"/>
          <w:vertAlign w:val="baseline"/>
          <w:lang w:eastAsia="en-US"/>
        </w:rPr>
        <w:t>*</w:t>
      </w:r>
      <w:r w:rsidRPr="003C2936">
        <w:rPr>
          <w:rStyle w:val="aa"/>
          <w:vertAlign w:val="baseline"/>
        </w:rPr>
        <w:tab/>
      </w:r>
      <w:r w:rsidRPr="000734C7">
        <w:rPr>
          <w:szCs w:val="18"/>
        </w:rPr>
        <w:t xml:space="preserve">В соответствии с программой работы Комитета по внутреннему транспорту на 2022 год, изложенной в предлагаемом бюджете по программам на 2022 год (A/76/6, часть </w:t>
      </w:r>
      <w:r w:rsidRPr="000734C7">
        <w:rPr>
          <w:rStyle w:val="aa"/>
          <w:szCs w:val="18"/>
          <w:vertAlign w:val="baseline"/>
        </w:rPr>
        <w:t>V</w:t>
      </w:r>
      <w:r w:rsidRPr="000734C7">
        <w:rPr>
          <w:szCs w:val="18"/>
        </w:rPr>
        <w:t>, разд. 20, п. 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</w:t>
      </w:r>
      <w:r w:rsidRPr="000734C7">
        <w:rPr>
          <w:rStyle w:val="aa"/>
          <w:szCs w:val="18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B34D" w14:textId="2A7C958D" w:rsidR="003C2936" w:rsidRPr="003C2936" w:rsidRDefault="003C293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A2B0A">
      <w:t>ECE</w:t>
    </w:r>
    <w:proofErr w:type="spellEnd"/>
    <w:r w:rsidR="002A2B0A">
      <w:t>/TRANS/WP.29/</w:t>
    </w:r>
    <w:proofErr w:type="spellStart"/>
    <w:r w:rsidR="002A2B0A">
      <w:t>GRSG</w:t>
    </w:r>
    <w:proofErr w:type="spellEnd"/>
    <w:r w:rsidR="002A2B0A">
      <w:t>/2022/25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B370" w14:textId="02E89E93" w:rsidR="003C2936" w:rsidRPr="003C2936" w:rsidRDefault="003C2936" w:rsidP="003C2936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proofErr w:type="spellStart"/>
    <w:r w:rsidR="002A2B0A">
      <w:t>ECE</w:t>
    </w:r>
    <w:proofErr w:type="spellEnd"/>
    <w:r w:rsidR="002A2B0A">
      <w:t>/TRANS/WP.29/</w:t>
    </w:r>
    <w:proofErr w:type="spellStart"/>
    <w:r w:rsidR="002A2B0A">
      <w:t>GRSG</w:t>
    </w:r>
    <w:proofErr w:type="spellEnd"/>
    <w:r w:rsidR="002A2B0A">
      <w:t>/2022/25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69"/>
    <w:rsid w:val="00033EE1"/>
    <w:rsid w:val="00042B72"/>
    <w:rsid w:val="000558BD"/>
    <w:rsid w:val="000734C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B0A"/>
    <w:rsid w:val="002A2EFC"/>
    <w:rsid w:val="002B0106"/>
    <w:rsid w:val="002B74B1"/>
    <w:rsid w:val="002C0E18"/>
    <w:rsid w:val="002D5AAC"/>
    <w:rsid w:val="002E5067"/>
    <w:rsid w:val="002F405F"/>
    <w:rsid w:val="002F7EEC"/>
    <w:rsid w:val="00300B37"/>
    <w:rsid w:val="00301299"/>
    <w:rsid w:val="00305C08"/>
    <w:rsid w:val="00307FB6"/>
    <w:rsid w:val="00317339"/>
    <w:rsid w:val="00322004"/>
    <w:rsid w:val="003402C2"/>
    <w:rsid w:val="003760EE"/>
    <w:rsid w:val="00381C24"/>
    <w:rsid w:val="00387CD4"/>
    <w:rsid w:val="003958D0"/>
    <w:rsid w:val="003A0D43"/>
    <w:rsid w:val="003A48CE"/>
    <w:rsid w:val="003B00E5"/>
    <w:rsid w:val="003C2936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4E1B59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1270"/>
    <w:rsid w:val="005E2B41"/>
    <w:rsid w:val="005F0B42"/>
    <w:rsid w:val="00617A43"/>
    <w:rsid w:val="006345DB"/>
    <w:rsid w:val="00640F49"/>
    <w:rsid w:val="00665D7D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64E"/>
    <w:rsid w:val="00806737"/>
    <w:rsid w:val="00825F8D"/>
    <w:rsid w:val="00834A3B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6D7C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75E93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CF5769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C0D7F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6BC8A43"/>
  <w15:docId w15:val="{8965A607-3BE3-4975-81DD-35D64A3C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3C2936"/>
    <w:rPr>
      <w:lang w:val="ru-RU" w:eastAsia="en-US"/>
    </w:rPr>
  </w:style>
  <w:style w:type="character" w:customStyle="1" w:styleId="HChGChar">
    <w:name w:val="_ H _Ch_G Char"/>
    <w:link w:val="HChG"/>
    <w:locked/>
    <w:rsid w:val="003C2936"/>
    <w:rPr>
      <w:b/>
      <w:sz w:val="28"/>
      <w:lang w:val="ru-RU" w:eastAsia="ru-RU"/>
    </w:rPr>
  </w:style>
  <w:style w:type="character" w:customStyle="1" w:styleId="SingleTxtGR">
    <w:name w:val="_ Single Txt_GR Знак"/>
    <w:link w:val="SingleTxtGR0"/>
    <w:rsid w:val="003C2936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a"/>
    <w:link w:val="SingleTxtGR"/>
    <w:qFormat/>
    <w:rsid w:val="003C2936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4</Pages>
  <Words>890</Words>
  <Characters>6304</Characters>
  <Application>Microsoft Office Word</Application>
  <DocSecurity>0</DocSecurity>
  <Lines>573</Lines>
  <Paragraphs>239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ECE/TRANS/WP.29/GRSG/2022/25</vt:lpstr>
      <vt:lpstr>A/</vt:lpstr>
      <vt:lpstr>A/</vt:lpstr>
    </vt:vector>
  </TitlesOfParts>
  <Company>DCM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ECE/TRANS/WP.29/GRSG/2022/25</dc:title>
  <dc:subject/>
  <dc:creator>Anna PETELINA</dc:creator>
  <cp:keywords/>
  <cp:lastModifiedBy>Anna Petelina</cp:lastModifiedBy>
  <cp:revision>3</cp:revision>
  <cp:lastPrinted>2022-08-05T11:37:00Z</cp:lastPrinted>
  <dcterms:created xsi:type="dcterms:W3CDTF">2022-08-05T11:37:00Z</dcterms:created>
  <dcterms:modified xsi:type="dcterms:W3CDTF">2022-08-05T11:37:00Z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