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76D" w14:textId="3FDF5FC2" w:rsidR="00F517D9" w:rsidRPr="00F027E2" w:rsidRDefault="00F517D9" w:rsidP="00F517D9">
      <w:pPr>
        <w:suppressAutoHyphens w:val="0"/>
        <w:spacing w:line="240" w:lineRule="auto"/>
        <w:ind w:left="5387"/>
        <w:jc w:val="both"/>
        <w:rPr>
          <w:rFonts w:ascii="Arial" w:hAnsi="Arial" w:cs="Arial"/>
          <w:lang w:val="de-DE" w:eastAsia="en-GB"/>
        </w:rPr>
      </w:pPr>
      <w:r w:rsidRPr="00F027E2">
        <w:rPr>
          <w:rFonts w:eastAsia="Arial" w:cs="Arial"/>
          <w:bCs/>
          <w:noProof/>
          <w:lang w:eastAsia="en-GB"/>
        </w:rPr>
        <w:drawing>
          <wp:anchor distT="0" distB="0" distL="114300" distR="114300" simplePos="0" relativeHeight="251670532" behindDoc="0" locked="0" layoutInCell="1" allowOverlap="1" wp14:anchorId="4305DE8A" wp14:editId="533724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7E2">
        <w:rPr>
          <w:rFonts w:ascii="Arial" w:hAnsi="Arial"/>
          <w:lang w:val="de-DE" w:eastAsia="en-GB"/>
        </w:rPr>
        <w:t>CCNR-ZKR/ADN/2022/</w:t>
      </w:r>
      <w:r w:rsidR="00406A7F" w:rsidRPr="00F027E2">
        <w:rPr>
          <w:rFonts w:ascii="Arial" w:hAnsi="Arial"/>
          <w:lang w:val="de-DE" w:eastAsia="en-GB"/>
        </w:rPr>
        <w:t>4</w:t>
      </w:r>
    </w:p>
    <w:p w14:paraId="396DB02C" w14:textId="51EA184E" w:rsidR="00F517D9" w:rsidRPr="00F027E2" w:rsidRDefault="00F517D9" w:rsidP="00F517D9">
      <w:pPr>
        <w:tabs>
          <w:tab w:val="left" w:pos="5387"/>
          <w:tab w:val="right" w:pos="8640"/>
        </w:tabs>
        <w:suppressAutoHyphens w:val="0"/>
        <w:spacing w:line="240" w:lineRule="auto"/>
        <w:ind w:left="5387"/>
        <w:rPr>
          <w:rFonts w:ascii="Arial" w:hAnsi="Arial" w:cs="Arial"/>
          <w:lang w:val="de-DE" w:eastAsia="en-GB"/>
        </w:rPr>
      </w:pPr>
      <w:r w:rsidRPr="00F027E2">
        <w:rPr>
          <w:rFonts w:ascii="Arial" w:hAnsi="Arial"/>
          <w:lang w:val="de-DE" w:eastAsia="en-GB"/>
        </w:rPr>
        <w:t>1</w:t>
      </w:r>
      <w:r w:rsidR="00406A7F" w:rsidRPr="00F027E2">
        <w:rPr>
          <w:rFonts w:ascii="Arial" w:hAnsi="Arial"/>
          <w:lang w:val="de-DE" w:eastAsia="en-GB"/>
        </w:rPr>
        <w:t>5</w:t>
      </w:r>
      <w:r w:rsidRPr="00F027E2">
        <w:rPr>
          <w:rFonts w:ascii="Arial" w:hAnsi="Arial"/>
          <w:lang w:val="de-DE" w:eastAsia="en-GB"/>
        </w:rPr>
        <w:t xml:space="preserve">. </w:t>
      </w:r>
      <w:r w:rsidR="00406A7F" w:rsidRPr="00F027E2">
        <w:rPr>
          <w:rFonts w:ascii="Arial" w:hAnsi="Arial"/>
          <w:lang w:val="de-DE" w:eastAsia="en-GB"/>
        </w:rPr>
        <w:t>Juni</w:t>
      </w:r>
      <w:r w:rsidRPr="00F027E2">
        <w:rPr>
          <w:rFonts w:ascii="Arial" w:hAnsi="Arial"/>
          <w:lang w:val="de-DE" w:eastAsia="en-GB"/>
        </w:rPr>
        <w:t xml:space="preserve"> 202</w:t>
      </w:r>
      <w:r w:rsidR="00406A7F" w:rsidRPr="00F027E2">
        <w:rPr>
          <w:rFonts w:ascii="Arial" w:hAnsi="Arial"/>
          <w:lang w:val="de-DE" w:eastAsia="en-GB"/>
        </w:rPr>
        <w:t>2</w:t>
      </w:r>
    </w:p>
    <w:p w14:paraId="400C5E14" w14:textId="117D53EC" w:rsidR="00F517D9" w:rsidRPr="00F027E2" w:rsidRDefault="00F517D9" w:rsidP="00F517D9">
      <w:pPr>
        <w:tabs>
          <w:tab w:val="left" w:pos="5387"/>
          <w:tab w:val="right" w:pos="864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16"/>
          <w:lang w:val="de-DE" w:eastAsia="en-GB"/>
        </w:rPr>
      </w:pPr>
      <w:r w:rsidRPr="00F027E2">
        <w:rPr>
          <w:rFonts w:ascii="Arial" w:hAnsi="Arial"/>
          <w:sz w:val="16"/>
          <w:lang w:val="de-DE" w:eastAsia="en-GB"/>
        </w:rPr>
        <w:t xml:space="preserve">Or. </w:t>
      </w:r>
      <w:r w:rsidRPr="00F027E2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14:paraId="3581F3CB" w14:textId="77777777" w:rsidR="00F517D9" w:rsidRPr="00F027E2" w:rsidRDefault="00F517D9" w:rsidP="00F517D9">
      <w:pPr>
        <w:suppressAutoHyphens w:val="0"/>
        <w:spacing w:line="240" w:lineRule="auto"/>
        <w:rPr>
          <w:rFonts w:ascii="Arial" w:hAnsi="Arial" w:cs="Arial"/>
          <w:szCs w:val="24"/>
          <w:lang w:val="de-DE" w:eastAsia="en-GB"/>
        </w:rPr>
      </w:pPr>
    </w:p>
    <w:p w14:paraId="55727402" w14:textId="77777777" w:rsidR="00F517D9" w:rsidRPr="00F027E2" w:rsidRDefault="00F517D9" w:rsidP="00F517D9">
      <w:pPr>
        <w:suppressAutoHyphens w:val="0"/>
        <w:spacing w:line="240" w:lineRule="auto"/>
        <w:rPr>
          <w:rFonts w:ascii="Arial" w:hAnsi="Arial" w:cs="Arial"/>
          <w:szCs w:val="24"/>
          <w:lang w:val="de-DE" w:eastAsia="en-GB"/>
        </w:rPr>
      </w:pPr>
    </w:p>
    <w:p w14:paraId="69157E20" w14:textId="5B9A9943" w:rsidR="00F517D9" w:rsidRPr="00F027E2" w:rsidRDefault="00F517D9" w:rsidP="00AA048F">
      <w:pPr>
        <w:tabs>
          <w:tab w:val="left" w:pos="2977"/>
        </w:tabs>
        <w:spacing w:line="240" w:lineRule="auto"/>
        <w:ind w:left="4111"/>
        <w:jc w:val="both"/>
        <w:rPr>
          <w:rFonts w:ascii="Arial" w:hAnsi="Arial"/>
          <w:sz w:val="16"/>
          <w:szCs w:val="24"/>
          <w:lang w:val="de-DE" w:eastAsia="en-US"/>
        </w:rPr>
      </w:pPr>
      <w:r w:rsidRPr="00F027E2">
        <w:rPr>
          <w:rFonts w:ascii="Arial" w:hAnsi="Arial"/>
          <w:noProof/>
          <w:sz w:val="16"/>
          <w:szCs w:val="24"/>
          <w:lang w:val="de-DE" w:eastAsia="en-US"/>
        </w:rPr>
        <w:t>VERWALTUNGSAUSSCHUSS DES EUROPÄISCHEN</w:t>
      </w:r>
      <w:r w:rsidR="00AA048F">
        <w:rPr>
          <w:rFonts w:ascii="Arial" w:hAnsi="Arial"/>
          <w:noProof/>
          <w:sz w:val="16"/>
          <w:szCs w:val="24"/>
          <w:lang w:val="de-DE" w:eastAsia="en-US"/>
        </w:rPr>
        <w:t xml:space="preserve"> </w:t>
      </w:r>
      <w:r w:rsidRPr="00F027E2">
        <w:rPr>
          <w:rFonts w:ascii="Arial" w:hAnsi="Arial"/>
          <w:noProof/>
          <w:sz w:val="16"/>
          <w:szCs w:val="24"/>
          <w:lang w:val="de-DE" w:eastAsia="en-US"/>
        </w:rPr>
        <w:t>ÜBEREINKOMMENS ÜBER DIE INTERNATIONALE BEFÖRDERUNG</w:t>
      </w:r>
      <w:r w:rsidR="00AA048F">
        <w:rPr>
          <w:rFonts w:ascii="Arial" w:hAnsi="Arial"/>
          <w:noProof/>
          <w:sz w:val="16"/>
          <w:szCs w:val="24"/>
          <w:lang w:val="de-DE" w:eastAsia="en-US"/>
        </w:rPr>
        <w:t xml:space="preserve"> </w:t>
      </w:r>
      <w:r w:rsidRPr="00F027E2">
        <w:rPr>
          <w:rFonts w:ascii="Arial" w:hAnsi="Arial"/>
          <w:noProof/>
          <w:sz w:val="16"/>
          <w:szCs w:val="24"/>
          <w:lang w:val="de-DE" w:eastAsia="en-US"/>
        </w:rPr>
        <w:t xml:space="preserve">VON GEFÄHRLICHEN GÜTERN AUF </w:t>
      </w:r>
      <w:r w:rsidRPr="00F027E2">
        <w:rPr>
          <w:rFonts w:ascii="Arial" w:hAnsi="Arial"/>
          <w:noProof/>
          <w:snapToGrid w:val="0"/>
          <w:sz w:val="16"/>
          <w:szCs w:val="24"/>
          <w:lang w:val="de-DE"/>
        </w:rPr>
        <w:t>BINNENWASSERSTRAẞEN</w:t>
      </w:r>
      <w:r w:rsidR="00AA048F">
        <w:rPr>
          <w:rFonts w:ascii="Arial" w:hAnsi="Arial"/>
          <w:noProof/>
          <w:snapToGrid w:val="0"/>
          <w:sz w:val="16"/>
          <w:szCs w:val="24"/>
          <w:lang w:val="de-DE"/>
        </w:rPr>
        <w:t xml:space="preserve"> </w:t>
      </w:r>
      <w:r w:rsidRPr="00F027E2">
        <w:rPr>
          <w:rFonts w:ascii="Arial" w:hAnsi="Arial"/>
          <w:noProof/>
          <w:sz w:val="16"/>
          <w:szCs w:val="24"/>
          <w:lang w:val="de-DE" w:eastAsia="en-US"/>
        </w:rPr>
        <w:t>(ADN)</w:t>
      </w:r>
    </w:p>
    <w:p w14:paraId="78948A8E" w14:textId="6472F596" w:rsidR="00F517D9" w:rsidRPr="00F027E2" w:rsidRDefault="00F517D9" w:rsidP="00F517D9">
      <w:pPr>
        <w:tabs>
          <w:tab w:val="left" w:pos="2977"/>
        </w:tabs>
        <w:suppressAutoHyphens w:val="0"/>
        <w:spacing w:line="240" w:lineRule="auto"/>
        <w:ind w:left="4111"/>
        <w:rPr>
          <w:rFonts w:ascii="Arial" w:hAnsi="Arial" w:cs="Arial"/>
          <w:snapToGrid w:val="0"/>
          <w:sz w:val="16"/>
          <w:szCs w:val="24"/>
          <w:lang w:val="de-DE" w:eastAsia="en-GB"/>
        </w:rPr>
      </w:pPr>
      <w:r w:rsidRPr="00F027E2">
        <w:rPr>
          <w:rFonts w:ascii="Arial" w:hAnsi="Arial"/>
          <w:sz w:val="16"/>
          <w:lang w:val="de-DE" w:eastAsia="en-GB"/>
        </w:rPr>
        <w:t>(2</w:t>
      </w:r>
      <w:r w:rsidR="00406A7F" w:rsidRPr="00F027E2">
        <w:rPr>
          <w:rFonts w:ascii="Arial" w:hAnsi="Arial"/>
          <w:sz w:val="16"/>
          <w:lang w:val="de-DE" w:eastAsia="en-GB"/>
        </w:rPr>
        <w:t>8</w:t>
      </w:r>
      <w:r w:rsidRPr="00F027E2">
        <w:rPr>
          <w:rFonts w:ascii="Arial" w:hAnsi="Arial"/>
          <w:sz w:val="16"/>
          <w:lang w:val="de-DE" w:eastAsia="en-GB"/>
        </w:rPr>
        <w:t>. Sitzung, Genf, 2</w:t>
      </w:r>
      <w:r w:rsidR="00406A7F" w:rsidRPr="00F027E2">
        <w:rPr>
          <w:rFonts w:ascii="Arial" w:hAnsi="Arial"/>
          <w:sz w:val="16"/>
          <w:lang w:val="de-DE" w:eastAsia="en-GB"/>
        </w:rPr>
        <w:t>6</w:t>
      </w:r>
      <w:r w:rsidRPr="00F027E2">
        <w:rPr>
          <w:rFonts w:ascii="Arial" w:hAnsi="Arial"/>
          <w:sz w:val="16"/>
          <w:lang w:val="de-DE" w:eastAsia="en-GB"/>
        </w:rPr>
        <w:t xml:space="preserve">. </w:t>
      </w:r>
      <w:r w:rsidR="00406A7F" w:rsidRPr="00F027E2">
        <w:rPr>
          <w:rFonts w:ascii="Arial" w:hAnsi="Arial"/>
          <w:sz w:val="16"/>
          <w:lang w:val="de-DE" w:eastAsia="en-GB"/>
        </w:rPr>
        <w:t>August</w:t>
      </w:r>
      <w:r w:rsidRPr="00F027E2">
        <w:rPr>
          <w:rFonts w:ascii="Arial" w:hAnsi="Arial"/>
          <w:sz w:val="16"/>
          <w:lang w:val="de-DE" w:eastAsia="en-GB"/>
        </w:rPr>
        <w:t xml:space="preserve"> 2022)</w:t>
      </w:r>
    </w:p>
    <w:p w14:paraId="7594703B" w14:textId="3EEBFFA5" w:rsidR="00F517D9" w:rsidRPr="00F027E2" w:rsidRDefault="00F517D9" w:rsidP="00F517D9">
      <w:pPr>
        <w:tabs>
          <w:tab w:val="left" w:pos="2977"/>
        </w:tabs>
        <w:suppressAutoHyphens w:val="0"/>
        <w:spacing w:line="240" w:lineRule="auto"/>
        <w:ind w:left="4111"/>
        <w:rPr>
          <w:rFonts w:ascii="Arial" w:hAnsi="Arial" w:cs="Arial"/>
          <w:snapToGrid w:val="0"/>
          <w:sz w:val="16"/>
          <w:szCs w:val="24"/>
          <w:lang w:val="de-DE"/>
        </w:rPr>
      </w:pPr>
      <w:r w:rsidRPr="00F027E2">
        <w:rPr>
          <w:rFonts w:ascii="Arial" w:hAnsi="Arial" w:cs="Arial"/>
          <w:noProof/>
          <w:snapToGrid w:val="0"/>
          <w:sz w:val="16"/>
          <w:szCs w:val="24"/>
          <w:lang w:val="de-DE"/>
        </w:rPr>
        <w:t xml:space="preserve">Punkt </w:t>
      </w:r>
      <w:r w:rsidR="00406A7F" w:rsidRPr="00F027E2">
        <w:rPr>
          <w:rFonts w:ascii="Arial" w:hAnsi="Arial" w:cs="Arial"/>
          <w:noProof/>
          <w:snapToGrid w:val="0"/>
          <w:sz w:val="16"/>
          <w:szCs w:val="24"/>
          <w:lang w:val="de-DE"/>
        </w:rPr>
        <w:t>3</w:t>
      </w:r>
      <w:r w:rsidRPr="00F027E2">
        <w:rPr>
          <w:rFonts w:ascii="Arial" w:hAnsi="Arial" w:cs="Arial"/>
          <w:noProof/>
          <w:snapToGrid w:val="0"/>
          <w:sz w:val="16"/>
          <w:szCs w:val="24"/>
          <w:lang w:val="de-DE"/>
        </w:rPr>
        <w:t xml:space="preserve"> b) der vorläufigen Tagesordnung</w:t>
      </w:r>
    </w:p>
    <w:p w14:paraId="5AA27102" w14:textId="279EA4BC" w:rsidR="00F517D9" w:rsidRPr="00F027E2" w:rsidRDefault="00F517D9" w:rsidP="00397DA9">
      <w:pPr>
        <w:spacing w:line="240" w:lineRule="auto"/>
        <w:ind w:left="4111"/>
        <w:rPr>
          <w:rFonts w:ascii="Arial" w:hAnsi="Arial" w:cs="Arial"/>
          <w:b/>
          <w:noProof/>
          <w:sz w:val="16"/>
          <w:szCs w:val="16"/>
          <w:lang w:val="de-DE" w:eastAsia="en-GB"/>
        </w:rPr>
      </w:pPr>
      <w:r w:rsidRPr="00F027E2">
        <w:rPr>
          <w:rFonts w:ascii="Arial" w:hAnsi="Arial" w:cs="Arial"/>
          <w:b/>
          <w:noProof/>
          <w:sz w:val="16"/>
          <w:szCs w:val="16"/>
          <w:lang w:val="de-DE" w:eastAsia="en-GB"/>
        </w:rPr>
        <w:t xml:space="preserve">Fragen zur Durchführung des ADN: Ausnahmegenehmigungen, </w:t>
      </w:r>
      <w:r w:rsidR="00397DA9">
        <w:rPr>
          <w:rFonts w:ascii="Arial" w:hAnsi="Arial" w:cs="Arial"/>
          <w:b/>
          <w:noProof/>
          <w:sz w:val="16"/>
          <w:szCs w:val="16"/>
          <w:lang w:val="de-DE" w:eastAsia="en-GB"/>
        </w:rPr>
        <w:t>A</w:t>
      </w:r>
      <w:r w:rsidRPr="00F027E2">
        <w:rPr>
          <w:rFonts w:ascii="Arial" w:hAnsi="Arial" w:cs="Arial"/>
          <w:b/>
          <w:noProof/>
          <w:sz w:val="16"/>
          <w:szCs w:val="16"/>
          <w:lang w:val="de-DE" w:eastAsia="en-GB"/>
        </w:rPr>
        <w:t>bweichungen und Gleichwertigkeiten</w:t>
      </w:r>
    </w:p>
    <w:p w14:paraId="482357BF" w14:textId="77777777" w:rsidR="00F517D9" w:rsidRPr="00F027E2" w:rsidRDefault="00F517D9" w:rsidP="00F517D9">
      <w:pPr>
        <w:suppressAutoHyphens w:val="0"/>
        <w:spacing w:line="240" w:lineRule="auto"/>
        <w:rPr>
          <w:rFonts w:ascii="Arial" w:hAnsi="Arial" w:cs="Arial"/>
          <w:szCs w:val="24"/>
          <w:lang w:val="de-DE" w:eastAsia="en-GB"/>
        </w:rPr>
      </w:pPr>
    </w:p>
    <w:p w14:paraId="7BA5F9B6" w14:textId="2B4F3A88" w:rsidR="00512639" w:rsidRPr="00F027E2" w:rsidRDefault="00512639" w:rsidP="00F60E8D">
      <w:pPr>
        <w:pStyle w:val="HChG"/>
        <w:ind w:right="708"/>
        <w:jc w:val="both"/>
        <w:rPr>
          <w:lang w:val="de-DE"/>
        </w:rPr>
      </w:pPr>
      <w:r w:rsidRPr="00F027E2">
        <w:rPr>
          <w:lang w:val="de-DE"/>
        </w:rPr>
        <w:tab/>
      </w:r>
      <w:r w:rsidRPr="00F027E2">
        <w:rPr>
          <w:lang w:val="de-DE"/>
        </w:rPr>
        <w:tab/>
      </w:r>
      <w:r w:rsidR="00437AF6" w:rsidRPr="00F027E2">
        <w:rPr>
          <w:lang w:val="de-DE"/>
        </w:rPr>
        <w:t xml:space="preserve">Ausnahmegenehmigung bezüglich UN-Nr. </w:t>
      </w:r>
      <w:r w:rsidR="00406A7F" w:rsidRPr="00F027E2">
        <w:rPr>
          <w:lang w:val="de-DE"/>
        </w:rPr>
        <w:t>1977</w:t>
      </w:r>
      <w:r w:rsidR="00437AF6" w:rsidRPr="00F027E2">
        <w:rPr>
          <w:lang w:val="de-DE"/>
        </w:rPr>
        <w:t xml:space="preserve"> </w:t>
      </w:r>
      <w:r w:rsidR="00406A7F" w:rsidRPr="00F027E2">
        <w:rPr>
          <w:lang w:val="de-DE"/>
        </w:rPr>
        <w:t xml:space="preserve">STICKSTOFF, </w:t>
      </w:r>
      <w:bookmarkStart w:id="0" w:name="_Hlk107480116"/>
      <w:r w:rsidR="00406A7F" w:rsidRPr="00F027E2">
        <w:rPr>
          <w:lang w:val="de-DE"/>
        </w:rPr>
        <w:t>TIEFGEKÜHLT, FLÜSSIG</w:t>
      </w:r>
      <w:bookmarkEnd w:id="0"/>
    </w:p>
    <w:p w14:paraId="7A2C5F74" w14:textId="6F2098BD" w:rsidR="00960E75" w:rsidRPr="00986D27" w:rsidRDefault="00960E75" w:rsidP="00960E7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lang w:val="de-DE" w:eastAsia="en-US"/>
        </w:rPr>
      </w:pPr>
      <w:r w:rsidRPr="00F027E2">
        <w:rPr>
          <w:b/>
          <w:sz w:val="24"/>
          <w:lang w:val="de-DE" w:eastAsia="en-US"/>
        </w:rPr>
        <w:tab/>
      </w:r>
      <w:r w:rsidRPr="00F027E2">
        <w:rPr>
          <w:b/>
          <w:sz w:val="24"/>
          <w:lang w:val="de-DE" w:eastAsia="en-US"/>
        </w:rPr>
        <w:tab/>
      </w:r>
      <w:r w:rsidRPr="00986D27">
        <w:rPr>
          <w:b/>
          <w:sz w:val="24"/>
          <w:lang w:val="de-DE" w:eastAsia="en-US"/>
        </w:rPr>
        <w:t xml:space="preserve">Eingereicht von </w:t>
      </w:r>
      <w:r w:rsidR="00406A7F" w:rsidRPr="00986D27">
        <w:rPr>
          <w:b/>
          <w:sz w:val="24"/>
          <w:lang w:val="de-DE" w:eastAsia="en-US"/>
        </w:rPr>
        <w:t>Belgien</w:t>
      </w:r>
    </w:p>
    <w:p w14:paraId="6A867FDE" w14:textId="31C0D2BD" w:rsidR="00EB3377" w:rsidRPr="00986D27" w:rsidRDefault="009852A8" w:rsidP="003944B1">
      <w:pPr>
        <w:pStyle w:val="HChG"/>
        <w:rPr>
          <w:lang w:val="de-DE"/>
        </w:rPr>
      </w:pPr>
      <w:r w:rsidRPr="00986D27">
        <w:rPr>
          <w:lang w:val="de-DE"/>
        </w:rPr>
        <w:tab/>
      </w:r>
      <w:r w:rsidRPr="00986D27">
        <w:rPr>
          <w:lang w:val="de-DE"/>
        </w:rPr>
        <w:tab/>
      </w:r>
      <w:r w:rsidR="00512639" w:rsidRPr="00986D27">
        <w:rPr>
          <w:lang w:val="de-DE"/>
        </w:rPr>
        <w:t>Einleitung</w:t>
      </w:r>
    </w:p>
    <w:p w14:paraId="3A87DABA" w14:textId="0956D2D0" w:rsidR="002B3A17" w:rsidRPr="00840EC7" w:rsidRDefault="002B3A17" w:rsidP="00C37A5D">
      <w:pPr>
        <w:pStyle w:val="SingleTxtG"/>
        <w:rPr>
          <w:lang w:val="de-DE"/>
        </w:rPr>
      </w:pPr>
      <w:bookmarkStart w:id="1" w:name="_Hlk87882230"/>
      <w:r w:rsidRPr="00840EC7">
        <w:rPr>
          <w:lang w:val="de-DE"/>
        </w:rPr>
        <w:t>1.</w:t>
      </w:r>
      <w:r w:rsidRPr="00840EC7">
        <w:rPr>
          <w:lang w:val="de-DE"/>
        </w:rPr>
        <w:tab/>
      </w:r>
      <w:r w:rsidR="00C16C9A" w:rsidRPr="00840EC7">
        <w:rPr>
          <w:lang w:val="de-DE"/>
        </w:rPr>
        <w:t xml:space="preserve">Die </w:t>
      </w:r>
      <w:r w:rsidR="003B2A18" w:rsidRPr="00840EC7">
        <w:rPr>
          <w:lang w:val="de-DE"/>
        </w:rPr>
        <w:t>belgische</w:t>
      </w:r>
      <w:r w:rsidR="00C16C9A" w:rsidRPr="00840EC7">
        <w:rPr>
          <w:lang w:val="de-DE"/>
        </w:rPr>
        <w:t xml:space="preserve"> Regierung hat einen Antrag auf eine Ausnahmegenehmigung für die Beförderung von UN-Nr. 1977 </w:t>
      </w:r>
      <w:r w:rsidR="00C37A5D" w:rsidRPr="00840EC7">
        <w:rPr>
          <w:lang w:val="de-DE"/>
        </w:rPr>
        <w:t xml:space="preserve">STICKSTOFF, TIEFGEKÜHLT, FLÜSSIG </w:t>
      </w:r>
      <w:r w:rsidR="00C16C9A" w:rsidRPr="00840EC7">
        <w:rPr>
          <w:lang w:val="de-DE"/>
        </w:rPr>
        <w:t>in Tankschiffen erhalten.</w:t>
      </w:r>
      <w:r w:rsidRPr="00840EC7">
        <w:t xml:space="preserve"> </w:t>
      </w:r>
      <w:r w:rsidR="00C37A5D" w:rsidRPr="00840EC7">
        <w:rPr>
          <w:lang w:val="de-DE"/>
        </w:rPr>
        <w:t>Der Antrag wurde bei der zuständigen Behörde gemäß Abschnitt 1.5.2 ADN eingereicht.</w:t>
      </w:r>
    </w:p>
    <w:p w14:paraId="08DEF767" w14:textId="528B0016" w:rsidR="002B3A17" w:rsidRPr="00840EC7" w:rsidRDefault="002B3A17" w:rsidP="00596540">
      <w:pPr>
        <w:pStyle w:val="SingleTxtG"/>
        <w:rPr>
          <w:lang w:val="de-DE"/>
        </w:rPr>
      </w:pPr>
      <w:r w:rsidRPr="00840EC7">
        <w:rPr>
          <w:lang w:val="de-DE"/>
        </w:rPr>
        <w:t>2.</w:t>
      </w:r>
      <w:r w:rsidRPr="00840EC7">
        <w:rPr>
          <w:lang w:val="de-DE"/>
        </w:rPr>
        <w:tab/>
      </w:r>
      <w:r w:rsidR="00C37A5D" w:rsidRPr="00840EC7">
        <w:rPr>
          <w:lang w:val="de-DE"/>
        </w:rPr>
        <w:t>Der Antrag auf die Ausnahmegenehmigung wurde von Titan LNG BV, Piet Heinkade 93B, 1019 GM Amsterdam, eingereicht.</w:t>
      </w:r>
      <w:r w:rsidRPr="00840EC7">
        <w:rPr>
          <w:lang w:val="de-DE"/>
        </w:rPr>
        <w:t xml:space="preserve"> </w:t>
      </w:r>
      <w:r w:rsidR="002D3C1E" w:rsidRPr="00840EC7">
        <w:rPr>
          <w:lang w:val="de-DE"/>
        </w:rPr>
        <w:t>Ein erster Antrag wurde zunächst sowohl bei der niederländischen als auch bei der belgischen Regierung eingereicht.</w:t>
      </w:r>
      <w:r w:rsidRPr="00840EC7">
        <w:rPr>
          <w:lang w:val="de-DE"/>
        </w:rPr>
        <w:t xml:space="preserve"> </w:t>
      </w:r>
      <w:r w:rsidR="002D3C1E" w:rsidRPr="00840EC7">
        <w:rPr>
          <w:lang w:val="de-DE"/>
        </w:rPr>
        <w:t xml:space="preserve">Zunächst wurde der Antrag von den niederländischen Behörden bearbeitet, aber als Unterschiede zwischen den beiden Anträgen festgestellt wurden, </w:t>
      </w:r>
      <w:r w:rsidR="00236505" w:rsidRPr="00840EC7">
        <w:rPr>
          <w:lang w:val="de-DE"/>
        </w:rPr>
        <w:t>kamen</w:t>
      </w:r>
      <w:r w:rsidR="002D3C1E" w:rsidRPr="00840EC7">
        <w:rPr>
          <w:lang w:val="de-DE"/>
        </w:rPr>
        <w:t xml:space="preserve"> einige Verständnisfragen bezüglich der Anwendung auf Binnenwasserstraßen, der Eigenschaften und der Gefahren</w:t>
      </w:r>
      <w:r w:rsidR="00236505" w:rsidRPr="00840EC7">
        <w:rPr>
          <w:lang w:val="de-DE"/>
        </w:rPr>
        <w:t xml:space="preserve"> auf</w:t>
      </w:r>
      <w:r w:rsidR="002D3C1E" w:rsidRPr="00840EC7">
        <w:rPr>
          <w:lang w:val="de-DE"/>
        </w:rPr>
        <w:t>.</w:t>
      </w:r>
      <w:r w:rsidRPr="00840EC7">
        <w:rPr>
          <w:lang w:val="de-DE"/>
        </w:rPr>
        <w:t xml:space="preserve"> </w:t>
      </w:r>
      <w:r w:rsidR="00CE7E9A" w:rsidRPr="00840EC7">
        <w:rPr>
          <w:lang w:val="de-DE"/>
        </w:rPr>
        <w:t xml:space="preserve">Titan LNG BV </w:t>
      </w:r>
      <w:r w:rsidR="00236505" w:rsidRPr="00840EC7">
        <w:rPr>
          <w:lang w:val="de-DE"/>
        </w:rPr>
        <w:t xml:space="preserve">reichte daraufhin </w:t>
      </w:r>
      <w:r w:rsidR="00CE7E9A" w:rsidRPr="00840EC7">
        <w:rPr>
          <w:lang w:val="de-DE"/>
        </w:rPr>
        <w:t>einen aktualisierten Antrag nur bei der belgischen Behörde in Flandern für beide Binnenwasserstraßen in Flandern und den Niederlanden ein.</w:t>
      </w:r>
      <w:r w:rsidRPr="00840EC7">
        <w:rPr>
          <w:lang w:val="de-DE"/>
        </w:rPr>
        <w:t xml:space="preserve"> </w:t>
      </w:r>
      <w:r w:rsidR="00E65FA5" w:rsidRPr="00840EC7">
        <w:rPr>
          <w:lang w:val="de-DE"/>
        </w:rPr>
        <w:t>Der Antrag entsprach dem Muster in Unterabschnitt 3.2.4.1 ADN und ist in Anlage I dieses Arbeitsdokuments enthalten.</w:t>
      </w:r>
    </w:p>
    <w:p w14:paraId="051D5498" w14:textId="73B4B1EA" w:rsidR="002B3A17" w:rsidRPr="00840EC7" w:rsidRDefault="002B3A17" w:rsidP="002B3A17">
      <w:pPr>
        <w:pStyle w:val="SingleTxtG"/>
        <w:rPr>
          <w:lang w:val="de-DE"/>
        </w:rPr>
      </w:pPr>
      <w:r w:rsidRPr="00840EC7">
        <w:rPr>
          <w:lang w:val="de-DE"/>
        </w:rPr>
        <w:t>3.</w:t>
      </w:r>
      <w:r w:rsidRPr="00840EC7">
        <w:rPr>
          <w:lang w:val="de-DE"/>
        </w:rPr>
        <w:tab/>
        <w:t xml:space="preserve">Die zuständige Behörde hat den Antrag geprüft und auf der Grundlage der in </w:t>
      </w:r>
      <w:r w:rsidR="00B22171" w:rsidRPr="00840EC7">
        <w:rPr>
          <w:lang w:val="de-DE"/>
        </w:rPr>
        <w:t xml:space="preserve">Unterabschnitt </w:t>
      </w:r>
      <w:r w:rsidRPr="00840EC7">
        <w:rPr>
          <w:lang w:val="de-DE"/>
        </w:rPr>
        <w:t>3.2.4.3 ADN enthaltenen Kriterien eine Ausnahmegenehmigung ausgefertigt.</w:t>
      </w:r>
    </w:p>
    <w:p w14:paraId="7D0115D1" w14:textId="3F5B881B" w:rsidR="002B3A17" w:rsidRPr="00840EC7" w:rsidRDefault="002B3A17" w:rsidP="00BD0853">
      <w:pPr>
        <w:pStyle w:val="SingleTxtG"/>
        <w:rPr>
          <w:lang w:val="de-DE"/>
        </w:rPr>
      </w:pPr>
      <w:r w:rsidRPr="00840EC7">
        <w:rPr>
          <w:lang w:val="de-DE"/>
        </w:rPr>
        <w:t>4.</w:t>
      </w:r>
      <w:r w:rsidRPr="00840EC7">
        <w:rPr>
          <w:lang w:val="de-DE"/>
        </w:rPr>
        <w:tab/>
      </w:r>
      <w:r w:rsidR="00B835A4" w:rsidRPr="00840EC7">
        <w:rPr>
          <w:lang w:val="de-DE"/>
        </w:rPr>
        <w:t>Die belgische Regierung legte die Ausnahmegenehmigung auch den zuständigen niederländischen Behörden vor, wie in Absatz 1.5.2.2.2 der dem ADN beigefügten Verordnung vorgesehen.</w:t>
      </w:r>
      <w:r w:rsidRPr="00840EC7">
        <w:rPr>
          <w:lang w:val="de-DE"/>
        </w:rPr>
        <w:t xml:space="preserve"> </w:t>
      </w:r>
      <w:r w:rsidR="00B511E0" w:rsidRPr="00840EC7">
        <w:rPr>
          <w:lang w:val="de-DE"/>
        </w:rPr>
        <w:t xml:space="preserve">Die niederländischen Behörden sind mit der Ausnahmegenehmigung und der </w:t>
      </w:r>
      <w:r w:rsidR="00BD0853" w:rsidRPr="00840EC7">
        <w:rPr>
          <w:lang w:val="de-DE"/>
        </w:rPr>
        <w:t>fraglichen</w:t>
      </w:r>
      <w:r w:rsidR="00B511E0" w:rsidRPr="00840EC7">
        <w:rPr>
          <w:lang w:val="de-DE"/>
        </w:rPr>
        <w:t xml:space="preserve"> Beförderung einverstanden.</w:t>
      </w:r>
    </w:p>
    <w:p w14:paraId="2DAEFD2C" w14:textId="394DF05A" w:rsidR="002B3A17" w:rsidRPr="00986D27" w:rsidRDefault="002B3A17" w:rsidP="00B328BF">
      <w:pPr>
        <w:pStyle w:val="SingleTxtG"/>
        <w:rPr>
          <w:lang w:val="de-DE"/>
        </w:rPr>
      </w:pPr>
      <w:r w:rsidRPr="00840EC7">
        <w:rPr>
          <w:lang w:val="de-DE"/>
        </w:rPr>
        <w:t>5.</w:t>
      </w:r>
      <w:r w:rsidRPr="00840EC7">
        <w:rPr>
          <w:lang w:val="de-DE"/>
        </w:rPr>
        <w:tab/>
      </w:r>
      <w:r w:rsidR="00BD0853" w:rsidRPr="00840EC7">
        <w:rPr>
          <w:lang w:val="de-DE"/>
        </w:rPr>
        <w:t xml:space="preserve">Die Ausnahmegenehmigung wird für die Schiffe Flexfueler 001 und Flexfueler 002 erteilt und ist in Anlage II dieses Arbeitsdokuments </w:t>
      </w:r>
      <w:r w:rsidR="0099338D" w:rsidRPr="00840EC7">
        <w:rPr>
          <w:lang w:val="de-DE"/>
        </w:rPr>
        <w:t>enthalten</w:t>
      </w:r>
      <w:r w:rsidR="00BD0853" w:rsidRPr="00840EC7">
        <w:rPr>
          <w:lang w:val="de-DE"/>
        </w:rPr>
        <w:t>.</w:t>
      </w:r>
    </w:p>
    <w:p w14:paraId="6EE45A8D" w14:textId="4DA5B8A9" w:rsidR="00F517D9" w:rsidRPr="00F027E2" w:rsidRDefault="002B3A17" w:rsidP="00F517D9">
      <w:pPr>
        <w:pStyle w:val="SingleTxtG"/>
        <w:rPr>
          <w:lang w:val="de-DE"/>
        </w:rPr>
      </w:pPr>
      <w:r w:rsidRPr="00F027E2">
        <w:rPr>
          <w:lang w:val="de-DE"/>
        </w:rPr>
        <w:t>6</w:t>
      </w:r>
      <w:r w:rsidR="00F517D9" w:rsidRPr="00F027E2">
        <w:rPr>
          <w:lang w:val="de-DE"/>
        </w:rPr>
        <w:t>.</w:t>
      </w:r>
      <w:r w:rsidR="00F517D9" w:rsidRPr="00F027E2">
        <w:rPr>
          <w:lang w:val="de-DE"/>
        </w:rPr>
        <w:tab/>
        <w:t>Der Antrag auf die Ausnahmegenehmigung und die daraufhin erteilten Ausnahmegenehmigungen wurden auch dem ADN-Sicherheitsausschuss zur Prüfung übermittelt.</w:t>
      </w:r>
      <w:r w:rsidR="00F517D9" w:rsidRPr="00282B46">
        <w:rPr>
          <w:lang w:val="de-DE"/>
        </w:rPr>
        <w:t xml:space="preserve"> </w:t>
      </w:r>
      <w:r w:rsidR="00F517D9" w:rsidRPr="00F027E2">
        <w:rPr>
          <w:lang w:val="de-DE"/>
        </w:rPr>
        <w:t xml:space="preserve">Die </w:t>
      </w:r>
      <w:r w:rsidRPr="00F027E2">
        <w:rPr>
          <w:lang w:val="de-DE"/>
        </w:rPr>
        <w:t>belgische</w:t>
      </w:r>
      <w:r w:rsidR="00F517D9" w:rsidRPr="00F027E2">
        <w:rPr>
          <w:lang w:val="de-DE"/>
        </w:rPr>
        <w:t xml:space="preserve"> Delegation möchte den ADN-Verwaltungsausschuss bitten, diese Ausnahmegenehmigung zu prüfen und die aus seiner Sicht notwendigen Maßnahmen zu ergreifen.</w:t>
      </w:r>
    </w:p>
    <w:p w14:paraId="07229834" w14:textId="77777777" w:rsidR="00F60E8D" w:rsidRPr="00F027E2" w:rsidRDefault="00F60E8D">
      <w:pPr>
        <w:suppressAutoHyphens w:val="0"/>
        <w:spacing w:line="240" w:lineRule="auto"/>
        <w:rPr>
          <w:b/>
          <w:sz w:val="28"/>
          <w:lang w:val="de-DE"/>
        </w:rPr>
      </w:pPr>
      <w:bookmarkStart w:id="2" w:name="_Hlk84318557"/>
      <w:bookmarkEnd w:id="1"/>
      <w:r w:rsidRPr="00F027E2">
        <w:rPr>
          <w:lang w:val="de-DE"/>
        </w:rPr>
        <w:br w:type="page"/>
      </w:r>
    </w:p>
    <w:p w14:paraId="240ECC0B" w14:textId="446C152F" w:rsidR="00EB3377" w:rsidRPr="00282B46" w:rsidRDefault="00AD288F" w:rsidP="003944B1">
      <w:pPr>
        <w:pStyle w:val="HChG"/>
        <w:rPr>
          <w:lang w:val="de-DE"/>
        </w:rPr>
      </w:pPr>
      <w:r w:rsidRPr="00F027E2">
        <w:rPr>
          <w:lang w:val="de-DE"/>
        </w:rPr>
        <w:lastRenderedPageBreak/>
        <w:tab/>
      </w:r>
      <w:r w:rsidRPr="00F027E2">
        <w:rPr>
          <w:lang w:val="de-DE"/>
        </w:rPr>
        <w:tab/>
      </w:r>
      <w:r w:rsidR="00FF31DC" w:rsidRPr="00F027E2">
        <w:rPr>
          <w:lang w:val="de-DE"/>
        </w:rPr>
        <w:t>Vorschlag</w:t>
      </w:r>
    </w:p>
    <w:p w14:paraId="28E20E90" w14:textId="4ED1F013" w:rsidR="00616180" w:rsidRPr="00282B46" w:rsidRDefault="00FF31DC" w:rsidP="003944B1">
      <w:pPr>
        <w:pStyle w:val="SingleTxtG"/>
        <w:rPr>
          <w:lang w:val="de-DE"/>
        </w:rPr>
      </w:pPr>
      <w:r w:rsidRPr="00F027E2">
        <w:rPr>
          <w:lang w:val="de-DE"/>
        </w:rPr>
        <w:t>7</w:t>
      </w:r>
      <w:r w:rsidR="00EB3377" w:rsidRPr="00F027E2">
        <w:rPr>
          <w:lang w:val="de-DE"/>
        </w:rPr>
        <w:t>.</w:t>
      </w:r>
      <w:r w:rsidR="00EB3377" w:rsidRPr="00F027E2">
        <w:rPr>
          <w:lang w:val="de-DE"/>
        </w:rPr>
        <w:tab/>
      </w:r>
      <w:r w:rsidR="00616180" w:rsidRPr="00840EC7">
        <w:rPr>
          <w:lang w:val="de-DE"/>
        </w:rPr>
        <w:t xml:space="preserve">Die </w:t>
      </w:r>
      <w:r w:rsidRPr="00840EC7">
        <w:rPr>
          <w:lang w:val="de-DE"/>
        </w:rPr>
        <w:t>belgische</w:t>
      </w:r>
      <w:r w:rsidR="00616180" w:rsidRPr="00840EC7">
        <w:rPr>
          <w:lang w:val="de-DE"/>
        </w:rPr>
        <w:t xml:space="preserve"> Delegation schlägt vor, </w:t>
      </w:r>
      <w:r w:rsidRPr="00840EC7">
        <w:rPr>
          <w:lang w:val="de-DE"/>
        </w:rPr>
        <w:t>den</w:t>
      </w:r>
      <w:r w:rsidR="00616180" w:rsidRPr="00840EC7">
        <w:rPr>
          <w:lang w:val="de-DE"/>
        </w:rPr>
        <w:t xml:space="preserve"> folgenden Eintr</w:t>
      </w:r>
      <w:r w:rsidRPr="00840EC7">
        <w:rPr>
          <w:lang w:val="de-DE"/>
        </w:rPr>
        <w:t>ag</w:t>
      </w:r>
      <w:r w:rsidR="00616180" w:rsidRPr="00840EC7">
        <w:rPr>
          <w:lang w:val="de-DE"/>
        </w:rPr>
        <w:t xml:space="preserve"> in Tabelle C </w:t>
      </w:r>
      <w:r w:rsidR="00A85434" w:rsidRPr="00840EC7">
        <w:rPr>
          <w:lang w:val="de-DE"/>
        </w:rPr>
        <w:t xml:space="preserve">des Kapitels 3.2 </w:t>
      </w:r>
      <w:r w:rsidR="00616180" w:rsidRPr="00840EC7">
        <w:rPr>
          <w:lang w:val="de-DE"/>
        </w:rPr>
        <w:t>hinzuzufügen</w:t>
      </w:r>
      <w:r w:rsidR="000F50B8" w:rsidRPr="00840EC7">
        <w:rPr>
          <w:lang w:val="de-DE"/>
        </w:rPr>
        <w:t xml:space="preserve"> </w:t>
      </w:r>
      <w:r w:rsidR="00B328BF" w:rsidRPr="00840EC7">
        <w:rPr>
          <w:lang w:val="de-DE"/>
        </w:rPr>
        <w:t>u</w:t>
      </w:r>
      <w:r w:rsidR="000F50B8" w:rsidRPr="00840EC7">
        <w:rPr>
          <w:lang w:val="de-DE"/>
        </w:rPr>
        <w:t xml:space="preserve">nd </w:t>
      </w:r>
      <w:r w:rsidR="00B328BF" w:rsidRPr="00840EC7">
        <w:rPr>
          <w:lang w:val="de-DE"/>
        </w:rPr>
        <w:t xml:space="preserve">Unterabschnitt 3.2.3.1 wie folgt </w:t>
      </w:r>
      <w:r w:rsidR="003E444B" w:rsidRPr="00840EC7">
        <w:rPr>
          <w:lang w:val="de-DE"/>
        </w:rPr>
        <w:t xml:space="preserve">zu </w:t>
      </w:r>
      <w:r w:rsidR="00B328BF" w:rsidRPr="00840EC7">
        <w:rPr>
          <w:lang w:val="de-DE"/>
        </w:rPr>
        <w:t xml:space="preserve">ändern </w:t>
      </w:r>
      <w:r w:rsidR="0029191F" w:rsidRPr="00840EC7">
        <w:rPr>
          <w:lang w:val="de-DE"/>
        </w:rPr>
        <w:t>(neuer Text ist</w:t>
      </w:r>
      <w:r w:rsidR="0029191F" w:rsidRPr="00F027E2">
        <w:rPr>
          <w:lang w:val="de-DE"/>
        </w:rPr>
        <w:t xml:space="preserve"> fett gedruckt und unterstrichen, gestrichener Text ist durchgestrichen):</w:t>
      </w:r>
    </w:p>
    <w:p w14:paraId="6438DD7A" w14:textId="77777777" w:rsidR="000D7EF1" w:rsidRPr="00F027E2" w:rsidRDefault="000D7EF1" w:rsidP="00EB3377">
      <w:pPr>
        <w:pStyle w:val="SingleTxtG"/>
        <w:spacing w:before="120" w:line="276" w:lineRule="auto"/>
        <w:rPr>
          <w:lang w:val="de-DE"/>
        </w:rPr>
      </w:pPr>
    </w:p>
    <w:bookmarkEnd w:id="2"/>
    <w:p w14:paraId="4C6405FF" w14:textId="546F7D4C" w:rsidR="000D7EF1" w:rsidRPr="00F027E2" w:rsidRDefault="000D7EF1">
      <w:pPr>
        <w:suppressAutoHyphens w:val="0"/>
        <w:spacing w:line="240" w:lineRule="auto"/>
        <w:rPr>
          <w:lang w:val="de-DE"/>
        </w:rPr>
      </w:pPr>
      <w:r w:rsidRPr="00F027E2">
        <w:rPr>
          <w:lang w:val="de-DE"/>
        </w:rPr>
        <w:br w:type="page"/>
      </w:r>
    </w:p>
    <w:p w14:paraId="5426BC1A" w14:textId="77777777" w:rsidR="002A6E73" w:rsidRPr="00F027E2" w:rsidRDefault="002A6E73" w:rsidP="00EB3377">
      <w:pPr>
        <w:pStyle w:val="SingleTxtG"/>
        <w:rPr>
          <w:lang w:val="de-DE"/>
        </w:rPr>
        <w:sectPr w:rsidR="002A6E73" w:rsidRPr="00F027E2" w:rsidSect="00893C74">
          <w:headerReference w:type="even" r:id="rId12"/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type w:val="continuous"/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764E3C70" w14:textId="65623B05" w:rsidR="0005746C" w:rsidRPr="00282B46" w:rsidRDefault="0005746C" w:rsidP="0005746C">
      <w:pPr>
        <w:spacing w:before="120" w:after="120" w:line="276" w:lineRule="auto"/>
        <w:ind w:left="1134" w:right="1134"/>
        <w:jc w:val="both"/>
        <w:rPr>
          <w:lang w:val="de-DE"/>
        </w:rPr>
      </w:pPr>
      <w:r w:rsidRPr="00F027E2">
        <w:rPr>
          <w:lang w:val="de-DE"/>
        </w:rPr>
        <w:lastRenderedPageBreak/>
        <w:t xml:space="preserve">3.2.3.2 </w:t>
      </w:r>
      <w:r w:rsidR="00616180" w:rsidRPr="00F027E2">
        <w:rPr>
          <w:lang w:val="de-DE"/>
        </w:rPr>
        <w:t>Tabelle</w:t>
      </w:r>
      <w:r w:rsidRPr="00F027E2">
        <w:rPr>
          <w:lang w:val="de-DE"/>
        </w:rPr>
        <w:t xml:space="preserve"> C:</w:t>
      </w:r>
    </w:p>
    <w:p w14:paraId="047F273B" w14:textId="1D10B1F1" w:rsidR="00332FBB" w:rsidRPr="00F027E2" w:rsidRDefault="00332FBB" w:rsidP="0005746C">
      <w:pPr>
        <w:spacing w:before="120" w:after="120" w:line="276" w:lineRule="auto"/>
        <w:ind w:left="1134" w:right="1134"/>
        <w:jc w:val="both"/>
        <w:rPr>
          <w:lang w:val="de-DE"/>
        </w:rPr>
      </w:pPr>
    </w:p>
    <w:tbl>
      <w:tblPr>
        <w:tblW w:w="14420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332FBB" w:rsidRPr="00F027E2" w14:paraId="38B67438" w14:textId="77777777" w:rsidTr="00332FBB">
        <w:trPr>
          <w:cantSplit/>
          <w:trHeight w:val="2050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3BB1AE0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bookmarkStart w:id="5" w:name="_Hlk88217558"/>
            <w:bookmarkStart w:id="6" w:name="_Hlk106374261"/>
            <w:r w:rsidRPr="00F027E2">
              <w:rPr>
                <w:color w:val="000000"/>
                <w:sz w:val="16"/>
                <w:szCs w:val="16"/>
                <w:lang w:val="de-DE" w:bidi="th-TH"/>
              </w:rPr>
              <w:t xml:space="preserve">UN-Nummer 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oder Stoffnummer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2AE9D" w14:textId="5DCB3591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Benennung und Beschreibung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DF16917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Klasse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1599011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Klassifizierungscode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3F8A78E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Verpackungsgruppe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540C215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Gefahren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0062951F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Tankschiffstyp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0FF728B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Ladetankzustand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42DA25C0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Ladetanktyp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45E70427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Ladetankausrüstung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4A9717FF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21806496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max.</w:t>
            </w:r>
            <w:r w:rsidRPr="00282B46">
              <w:rPr>
                <w:color w:val="000000"/>
                <w:sz w:val="16"/>
                <w:szCs w:val="16"/>
                <w:lang w:val="de-DE" w:bidi="th-TH"/>
              </w:rPr>
              <w:t xml:space="preserve"> 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t>zul.</w:t>
            </w:r>
            <w:r w:rsidRPr="00282B46">
              <w:rPr>
                <w:color w:val="000000"/>
                <w:sz w:val="16"/>
                <w:szCs w:val="16"/>
                <w:lang w:val="de-DE" w:bidi="th-TH"/>
              </w:rPr>
              <w:t xml:space="preserve"> 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t>Tankfüllungsgrad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59F84E4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relative Dichte bei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3B9F3B8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Art der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Probeentnahmeeinrichtung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FC7D253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Pumpenraum unter Deck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erlaubt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FDCBD5A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Temperaturklasse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25901A2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Explosionsgruppe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BA078D3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Explosionsschutz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7647E960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Ausrüstung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FD106F4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Anzahl der Kegel/Lichter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1049AE0" w14:textId="77777777" w:rsidR="00332FBB" w:rsidRPr="00282B46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zusätzliche Anforderungen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oder Bemerkungen</w:t>
            </w:r>
          </w:p>
        </w:tc>
      </w:tr>
      <w:bookmarkEnd w:id="5"/>
      <w:tr w:rsidR="0005746C" w:rsidRPr="00F027E2" w14:paraId="400518B9" w14:textId="77777777" w:rsidTr="00332FBB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4324A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A0405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590410" w14:textId="77777777" w:rsidR="0005746C" w:rsidRPr="00282B46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DC842" w14:textId="77777777" w:rsidR="0005746C" w:rsidRPr="00282B46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85BED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EB65AC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3168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C25EC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7789E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B4AD6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2D1A1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0D7D0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44DF6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F9289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6623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C3AC9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8046A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E36B7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5ED03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26075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B5694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(20)</w:t>
            </w:r>
          </w:p>
        </w:tc>
      </w:tr>
      <w:tr w:rsidR="0005746C" w:rsidRPr="00F027E2" w14:paraId="329A7CF7" w14:textId="77777777" w:rsidTr="00332FBB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4A73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EDE10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DA062C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B914A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18C6A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32491C1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86B63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C7960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92B7F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675E4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5BA1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92B59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0C97B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E267B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742BC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7D820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B1572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29DBD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A4802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94161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F91D" w14:textId="77777777" w:rsidR="0005746C" w:rsidRPr="00F027E2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</w:tr>
      <w:tr w:rsidR="0029191F" w:rsidRPr="00F027E2" w14:paraId="57CE4E1E" w14:textId="77777777" w:rsidTr="0029191F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91BBD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1977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9F369" w14:textId="37CD65E8" w:rsidR="0029191F" w:rsidRPr="00282B46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  <w:lang w:val="de-DE" w:bidi="th-TH"/>
              </w:rPr>
            </w:pPr>
            <w:bookmarkStart w:id="7" w:name="_Hlk106370385"/>
            <w:r w:rsidRPr="00F027E2">
              <w:rPr>
                <w:color w:val="000000"/>
                <w:sz w:val="16"/>
                <w:szCs w:val="16"/>
                <w:lang w:val="de-DE" w:bidi="th-TH"/>
              </w:rPr>
              <w:t>STICKSTOFF, TIEFGEKÜHLT, FLÜSSIG</w:t>
            </w:r>
            <w:bookmarkEnd w:id="7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E8BBD24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3D82F" w14:textId="77777777" w:rsidR="0029191F" w:rsidRPr="00282B46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3A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94F33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D904658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2.2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7909C" w14:textId="77777777" w:rsidR="0029191F" w:rsidRPr="00282B46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38737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71AF4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1D18A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07F3D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E1469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1E467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3F83E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73E88" w14:textId="5B3F80C5" w:rsidR="0029191F" w:rsidRPr="00282B46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nein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6E9B5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099CB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9072A" w14:textId="4FD7D10F" w:rsidR="0029191F" w:rsidRPr="00282B46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nein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4D15D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PP</w:t>
            </w:r>
            <w:r w:rsidRPr="00282B46">
              <w:rPr>
                <w:color w:val="000000"/>
                <w:sz w:val="16"/>
                <w:szCs w:val="16"/>
                <w:lang w:val="de-DE" w:bidi="th-TH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C756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BECF6" w14:textId="77777777" w:rsidR="0029191F" w:rsidRPr="00F027E2" w:rsidRDefault="0029191F" w:rsidP="0029191F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31, 39*, 42, 46**</w:t>
            </w:r>
          </w:p>
        </w:tc>
      </w:tr>
      <w:bookmarkEnd w:id="6"/>
    </w:tbl>
    <w:p w14:paraId="10FA29BA" w14:textId="77777777" w:rsidR="0005746C" w:rsidRPr="00F027E2" w:rsidRDefault="0005746C" w:rsidP="00580281">
      <w:pPr>
        <w:pStyle w:val="SingleTxtG"/>
        <w:rPr>
          <w:rFonts w:eastAsia="Calibri"/>
          <w:lang w:val="de-DE" w:eastAsia="nl-NL"/>
        </w:rPr>
      </w:pPr>
    </w:p>
    <w:p w14:paraId="441D71F3" w14:textId="7A3FBCA1" w:rsidR="00E205F6" w:rsidRPr="00282B46" w:rsidRDefault="00C91B9B" w:rsidP="00C91B9B">
      <w:pPr>
        <w:pStyle w:val="SingleTxtG"/>
        <w:tabs>
          <w:tab w:val="left" w:pos="1843"/>
        </w:tabs>
        <w:rPr>
          <w:lang w:val="de-DE"/>
        </w:rPr>
      </w:pPr>
      <w:r w:rsidRPr="00F027E2">
        <w:rPr>
          <w:lang w:val="de-DE"/>
        </w:rPr>
        <w:t>3.2.3.1</w:t>
      </w:r>
      <w:r w:rsidRPr="00F027E2">
        <w:rPr>
          <w:lang w:val="de-DE"/>
        </w:rPr>
        <w:tab/>
        <w:t>Erläuterungen zur Tabelle C, Spalte (20) „Zusätzliche Anforderungen/Bemerkungen“:</w:t>
      </w:r>
    </w:p>
    <w:p w14:paraId="26FF97B8" w14:textId="485ABD02" w:rsidR="00E205F6" w:rsidRPr="00282B46" w:rsidRDefault="00E205F6" w:rsidP="00E205F6">
      <w:pPr>
        <w:pStyle w:val="SingleTxtG"/>
        <w:tabs>
          <w:tab w:val="left" w:pos="1701"/>
        </w:tabs>
        <w:ind w:left="2268" w:hanging="2268"/>
        <w:rPr>
          <w:lang w:val="de-DE"/>
        </w:rPr>
      </w:pPr>
      <w:r w:rsidRPr="00C5012B">
        <w:rPr>
          <w:lang w:val="de-DE"/>
        </w:rPr>
        <w:t xml:space="preserve">* </w:t>
      </w:r>
      <w:r w:rsidR="00B328BF" w:rsidRPr="00C5012B">
        <w:rPr>
          <w:lang w:val="de-DE"/>
        </w:rPr>
        <w:t>Geändert</w:t>
      </w:r>
      <w:r w:rsidRPr="00C5012B">
        <w:rPr>
          <w:lang w:val="de-DE"/>
        </w:rPr>
        <w:t xml:space="preserve"> 39.</w:t>
      </w:r>
      <w:r w:rsidRPr="00282B46">
        <w:rPr>
          <w:lang w:val="de-DE"/>
        </w:rPr>
        <w:tab/>
      </w:r>
      <w:r w:rsidRPr="00E205F6">
        <w:rPr>
          <w:lang w:val="de-DE"/>
        </w:rPr>
        <w:t>a)</w:t>
      </w:r>
      <w:r w:rsidRPr="00282B46">
        <w:rPr>
          <w:lang w:val="de-DE"/>
        </w:rPr>
        <w:tab/>
      </w:r>
      <w:r w:rsidRPr="00E205F6">
        <w:rPr>
          <w:lang w:val="de-DE"/>
        </w:rPr>
        <w:t>Die Abdichtungen, Ablassöffnungen, Verschließvorrichtungen und andere technische Einrichtungen müssen so ausgeführt sein, dass unter normalen Beförderungsbedingungen kein</w:t>
      </w:r>
      <w:r w:rsidR="00906EFF" w:rsidRPr="00F027E2">
        <w:rPr>
          <w:b/>
          <w:bCs/>
          <w:u w:val="single"/>
          <w:lang w:val="de-DE"/>
        </w:rPr>
        <w:t>e</w:t>
      </w:r>
      <w:r w:rsidRPr="00E205F6">
        <w:rPr>
          <w:lang w:val="de-DE"/>
        </w:rPr>
        <w:t xml:space="preserve"> </w:t>
      </w:r>
      <w:r w:rsidR="00906EFF" w:rsidRPr="00F027E2">
        <w:rPr>
          <w:b/>
          <w:bCs/>
          <w:u w:val="single"/>
          <w:lang w:val="de-DE"/>
        </w:rPr>
        <w:t>tiefgekühlte</w:t>
      </w:r>
      <w:r w:rsidR="00D71A0E" w:rsidRPr="00F027E2">
        <w:rPr>
          <w:b/>
          <w:bCs/>
          <w:u w:val="single"/>
          <w:lang w:val="de-DE"/>
        </w:rPr>
        <w:t>n</w:t>
      </w:r>
      <w:r w:rsidR="00906EFF" w:rsidRPr="00F027E2">
        <w:rPr>
          <w:b/>
          <w:bCs/>
          <w:u w:val="single"/>
          <w:lang w:val="de-DE"/>
        </w:rPr>
        <w:t xml:space="preserve"> verflüssigte</w:t>
      </w:r>
      <w:r w:rsidR="00D71A0E" w:rsidRPr="00F027E2">
        <w:rPr>
          <w:b/>
          <w:bCs/>
          <w:u w:val="single"/>
          <w:lang w:val="de-DE"/>
        </w:rPr>
        <w:t>n</w:t>
      </w:r>
      <w:r w:rsidR="00906EFF" w:rsidRPr="00F027E2">
        <w:rPr>
          <w:b/>
          <w:bCs/>
          <w:u w:val="single"/>
          <w:lang w:val="de-DE"/>
        </w:rPr>
        <w:t xml:space="preserve"> Gase</w:t>
      </w:r>
      <w:r w:rsidR="00D71A0E" w:rsidRPr="00F027E2">
        <w:rPr>
          <w:b/>
          <w:bCs/>
          <w:u w:val="single"/>
          <w:lang w:val="de-DE"/>
        </w:rPr>
        <w:t xml:space="preserve"> </w:t>
      </w:r>
      <w:r w:rsidRPr="00E205F6">
        <w:rPr>
          <w:strike/>
          <w:lang w:val="de-DE"/>
        </w:rPr>
        <w:t>Kohlendioxid</w:t>
      </w:r>
      <w:r w:rsidRPr="00E205F6">
        <w:rPr>
          <w:lang w:val="de-DE"/>
        </w:rPr>
        <w:t xml:space="preserve"> austreten </w:t>
      </w:r>
      <w:r w:rsidR="00D71A0E" w:rsidRPr="00F027E2">
        <w:rPr>
          <w:b/>
          <w:bCs/>
          <w:u w:val="single"/>
          <w:lang w:val="de-DE"/>
        </w:rPr>
        <w:t>können</w:t>
      </w:r>
      <w:r w:rsidR="00D71A0E" w:rsidRPr="00F027E2">
        <w:rPr>
          <w:lang w:val="de-DE"/>
        </w:rPr>
        <w:t xml:space="preserve"> </w:t>
      </w:r>
      <w:r w:rsidRPr="00E205F6">
        <w:rPr>
          <w:strike/>
          <w:lang w:val="de-DE"/>
        </w:rPr>
        <w:t>kann</w:t>
      </w:r>
      <w:r w:rsidRPr="00E205F6">
        <w:rPr>
          <w:lang w:val="de-DE"/>
        </w:rPr>
        <w:t xml:space="preserve"> (Kälte, Brüchigkeit von Materialien, gefrorene Verkleidungen, Ausströmöffnungen usw).</w:t>
      </w:r>
    </w:p>
    <w:p w14:paraId="366C2E48" w14:textId="77777777" w:rsidR="00E205F6" w:rsidRPr="00282B46" w:rsidRDefault="00E205F6" w:rsidP="00E205F6">
      <w:pPr>
        <w:pStyle w:val="SingleTxtG"/>
        <w:ind w:left="2268" w:hanging="567"/>
        <w:rPr>
          <w:lang w:val="de-DE"/>
        </w:rPr>
      </w:pPr>
      <w:r w:rsidRPr="00E205F6">
        <w:rPr>
          <w:lang w:val="de-DE"/>
        </w:rPr>
        <w:t>b)</w:t>
      </w:r>
      <w:r w:rsidRPr="00282B46">
        <w:rPr>
          <w:lang w:val="de-DE"/>
        </w:rPr>
        <w:tab/>
      </w:r>
      <w:r w:rsidRPr="00E205F6">
        <w:rPr>
          <w:lang w:val="de-DE"/>
        </w:rPr>
        <w:t>Im Beförderungspapier ist die Ladetemperatur (am Ladeort) anzugeben.</w:t>
      </w:r>
    </w:p>
    <w:p w14:paraId="6F386216" w14:textId="77777777" w:rsidR="00E205F6" w:rsidRPr="00282B46" w:rsidRDefault="00E205F6" w:rsidP="00E205F6">
      <w:pPr>
        <w:pStyle w:val="SingleTxtG"/>
        <w:ind w:left="2268" w:hanging="567"/>
        <w:rPr>
          <w:lang w:val="de-DE"/>
        </w:rPr>
      </w:pPr>
      <w:r w:rsidRPr="00E205F6">
        <w:rPr>
          <w:lang w:val="de-DE"/>
        </w:rPr>
        <w:t>c)</w:t>
      </w:r>
      <w:r w:rsidRPr="00282B46">
        <w:rPr>
          <w:lang w:val="de-DE"/>
        </w:rPr>
        <w:tab/>
      </w:r>
      <w:r w:rsidRPr="00E205F6">
        <w:rPr>
          <w:lang w:val="de-DE"/>
        </w:rPr>
        <w:t>Ein Sauerstoffmessgerät</w:t>
      </w:r>
      <w:r w:rsidRPr="00E205F6" w:rsidDel="00A0288D">
        <w:rPr>
          <w:lang w:val="de-DE"/>
        </w:rPr>
        <w:t xml:space="preserve"> </w:t>
      </w:r>
      <w:r w:rsidRPr="00E205F6">
        <w:rPr>
          <w:lang w:val="de-DE"/>
        </w:rPr>
        <w:t>mit einer Bedienungsanweisung, die von jedem an Bord gelesen werden kann, muss sich an Bord des Schiffes befinden.</w:t>
      </w:r>
      <w:r w:rsidRPr="00282B46">
        <w:rPr>
          <w:lang w:val="de-DE"/>
        </w:rPr>
        <w:t xml:space="preserve"> </w:t>
      </w:r>
      <w:r w:rsidRPr="00E205F6">
        <w:rPr>
          <w:lang w:val="de-DE"/>
        </w:rPr>
        <w:t>Das Sauerstoffmessgerät</w:t>
      </w:r>
      <w:r w:rsidRPr="00E205F6" w:rsidDel="00A0288D">
        <w:rPr>
          <w:lang w:val="de-DE"/>
        </w:rPr>
        <w:t xml:space="preserve"> </w:t>
      </w:r>
      <w:r w:rsidRPr="00E205F6">
        <w:rPr>
          <w:lang w:val="de-DE"/>
        </w:rPr>
        <w:t>muss beim Betreten von Laderäumen, Pumpenräumen, tief gelegenen Räumen und beim Verrichten von Arbeiten an Bord als Beweismittel gebraucht werden.</w:t>
      </w:r>
    </w:p>
    <w:p w14:paraId="6117CF57" w14:textId="77777777" w:rsidR="00E205F6" w:rsidRPr="00282B46" w:rsidRDefault="00E205F6" w:rsidP="00E205F6">
      <w:pPr>
        <w:pStyle w:val="SingleTxtG"/>
        <w:ind w:left="2268" w:hanging="567"/>
        <w:rPr>
          <w:lang w:val="de-DE"/>
        </w:rPr>
      </w:pPr>
      <w:r w:rsidRPr="00E205F6">
        <w:rPr>
          <w:lang w:val="de-DE"/>
        </w:rPr>
        <w:t>d)</w:t>
      </w:r>
      <w:r w:rsidRPr="00282B46">
        <w:rPr>
          <w:lang w:val="de-DE"/>
        </w:rPr>
        <w:tab/>
      </w:r>
      <w:r w:rsidRPr="00E205F6">
        <w:rPr>
          <w:lang w:val="de-DE"/>
        </w:rPr>
        <w:t xml:space="preserve">Vor der Wohnung und anderen Räumen, in denen sich die Besatzung aufhält, muss ein geeignetes Messgerät angebracht sein, das bei einem zu niedrigen Sauerstoffgehalt </w:t>
      </w:r>
      <w:r w:rsidRPr="00E205F6">
        <w:rPr>
          <w:strike/>
          <w:lang w:val="de-DE"/>
        </w:rPr>
        <w:t>oder zu hohem CO2-Gehalt</w:t>
      </w:r>
      <w:r w:rsidRPr="00E205F6">
        <w:rPr>
          <w:lang w:val="de-DE"/>
        </w:rPr>
        <w:t xml:space="preserve"> einen Alarm auslöst.</w:t>
      </w:r>
    </w:p>
    <w:p w14:paraId="697A256E" w14:textId="77777777" w:rsidR="00E205F6" w:rsidRPr="00282B46" w:rsidRDefault="00E205F6" w:rsidP="00E205F6">
      <w:pPr>
        <w:pStyle w:val="SingleTxtG"/>
        <w:ind w:left="2268" w:hanging="567"/>
        <w:rPr>
          <w:lang w:val="de-DE"/>
        </w:rPr>
      </w:pPr>
      <w:r w:rsidRPr="00E205F6">
        <w:rPr>
          <w:lang w:val="de-DE"/>
        </w:rPr>
        <w:t>e)</w:t>
      </w:r>
      <w:r w:rsidRPr="00282B46">
        <w:rPr>
          <w:lang w:val="de-DE"/>
        </w:rPr>
        <w:tab/>
      </w:r>
      <w:r w:rsidRPr="00E205F6">
        <w:rPr>
          <w:lang w:val="de-DE"/>
        </w:rPr>
        <w:t>Im Beförderungspapier sind die (nach dem Laden gemessene) Ladetemperatur und die maximale Beförderungsdauer anzugeben.</w:t>
      </w:r>
    </w:p>
    <w:p w14:paraId="79C3B569" w14:textId="77777777" w:rsidR="00C91B9B" w:rsidRPr="00A85434" w:rsidRDefault="00C91B9B" w:rsidP="00E205F6">
      <w:pPr>
        <w:pStyle w:val="SingleTxtG"/>
        <w:ind w:left="1701" w:hanging="1559"/>
        <w:rPr>
          <w:lang w:val="de-DE"/>
        </w:rPr>
      </w:pPr>
    </w:p>
    <w:p w14:paraId="42D0BE3C" w14:textId="4439BF27" w:rsidR="00E205F6" w:rsidRPr="00986D27" w:rsidRDefault="00E205F6" w:rsidP="004E6202">
      <w:pPr>
        <w:pStyle w:val="SingleTxtG"/>
        <w:ind w:left="1701" w:hanging="1559"/>
        <w:rPr>
          <w:lang w:val="de-DE"/>
        </w:rPr>
      </w:pPr>
      <w:r w:rsidRPr="00C5012B">
        <w:rPr>
          <w:lang w:val="de-DE"/>
        </w:rPr>
        <w:t>**Ne</w:t>
      </w:r>
      <w:r w:rsidR="00B328BF" w:rsidRPr="00C5012B">
        <w:rPr>
          <w:lang w:val="de-DE"/>
        </w:rPr>
        <w:t>u</w:t>
      </w:r>
      <w:r w:rsidRPr="00C5012B">
        <w:rPr>
          <w:lang w:val="de-DE"/>
        </w:rPr>
        <w:t xml:space="preserve"> 46.</w:t>
      </w:r>
      <w:r w:rsidRPr="00C5012B">
        <w:rPr>
          <w:lang w:val="de-DE"/>
        </w:rPr>
        <w:tab/>
      </w:r>
      <w:r w:rsidR="00B91F41" w:rsidRPr="00C5012B">
        <w:rPr>
          <w:lang w:val="de-DE"/>
        </w:rPr>
        <w:t>Bau</w:t>
      </w:r>
      <w:r w:rsidR="00C008AC" w:rsidRPr="00C5012B">
        <w:rPr>
          <w:lang w:val="de-DE"/>
        </w:rPr>
        <w:t xml:space="preserve">werkstoffe und </w:t>
      </w:r>
      <w:r w:rsidR="00CA4FD5" w:rsidRPr="00C5012B">
        <w:rPr>
          <w:lang w:val="de-DE"/>
        </w:rPr>
        <w:t>Zubehörteile</w:t>
      </w:r>
      <w:r w:rsidR="00C008AC" w:rsidRPr="00C5012B">
        <w:rPr>
          <w:lang w:val="de-DE"/>
        </w:rPr>
        <w:t xml:space="preserve"> wie z.</w:t>
      </w:r>
      <w:r w:rsidR="003E444B" w:rsidRPr="00C5012B">
        <w:rPr>
          <w:lang w:val="de-DE"/>
        </w:rPr>
        <w:t> </w:t>
      </w:r>
      <w:r w:rsidR="00C008AC" w:rsidRPr="00C5012B">
        <w:rPr>
          <w:lang w:val="de-DE"/>
        </w:rPr>
        <w:t xml:space="preserve">B. Isolierungen müssen gegen die </w:t>
      </w:r>
      <w:r w:rsidR="00066872" w:rsidRPr="00C5012B">
        <w:rPr>
          <w:lang w:val="de-DE"/>
        </w:rPr>
        <w:t>Einflüsse</w:t>
      </w:r>
      <w:r w:rsidR="00C008AC" w:rsidRPr="00C5012B">
        <w:rPr>
          <w:lang w:val="de-DE"/>
        </w:rPr>
        <w:t xml:space="preserve"> hoher Sauerstoffkonzentrationen beständig sein, die durch Kondensation und Anreicherung bei den </w:t>
      </w:r>
      <w:r w:rsidR="00C834D2" w:rsidRPr="00C5012B">
        <w:rPr>
          <w:lang w:val="de-DE"/>
        </w:rPr>
        <w:t>im</w:t>
      </w:r>
      <w:r w:rsidR="00C008AC" w:rsidRPr="00C5012B">
        <w:rPr>
          <w:lang w:val="de-DE"/>
        </w:rPr>
        <w:t xml:space="preserve"> Ladungssystem</w:t>
      </w:r>
      <w:r w:rsidR="00C834D2" w:rsidRPr="00C5012B">
        <w:rPr>
          <w:lang w:val="de-DE"/>
        </w:rPr>
        <w:t xml:space="preserve"> </w:t>
      </w:r>
      <w:r w:rsidR="001E343A" w:rsidRPr="00C5012B">
        <w:rPr>
          <w:lang w:val="de-DE"/>
        </w:rPr>
        <w:t>teil</w:t>
      </w:r>
      <w:r w:rsidR="002A52FE" w:rsidRPr="00C5012B">
        <w:rPr>
          <w:lang w:val="de-DE"/>
        </w:rPr>
        <w:t>weise</w:t>
      </w:r>
      <w:r w:rsidR="00C008AC" w:rsidRPr="00C5012B">
        <w:rPr>
          <w:lang w:val="de-DE"/>
        </w:rPr>
        <w:t xml:space="preserve"> herrschenden niedrigen Temperaturen entstehen.</w:t>
      </w:r>
      <w:r w:rsidRPr="00C5012B">
        <w:rPr>
          <w:lang w:val="de-DE"/>
        </w:rPr>
        <w:t xml:space="preserve"> </w:t>
      </w:r>
      <w:r w:rsidR="004E6202" w:rsidRPr="00C5012B">
        <w:rPr>
          <w:lang w:val="de-DE"/>
        </w:rPr>
        <w:t>In Bereichen, in denen Kondensation auftreten könnte, ist für ausreichende Belüftung zu sorgen,</w:t>
      </w:r>
      <w:r w:rsidR="002E0F2A" w:rsidRPr="00C5012B">
        <w:rPr>
          <w:lang w:val="de-DE"/>
        </w:rPr>
        <w:t xml:space="preserve"> um eine Schichtung der mit Sauerstoff angereicherten Atmosphäre zu vermeiden.</w:t>
      </w:r>
    </w:p>
    <w:p w14:paraId="31E895FE" w14:textId="7560418A" w:rsidR="002A6E73" w:rsidRPr="00986D27" w:rsidRDefault="002A6E73">
      <w:pPr>
        <w:suppressAutoHyphens w:val="0"/>
        <w:spacing w:line="240" w:lineRule="auto"/>
        <w:rPr>
          <w:lang w:val="de-DE"/>
        </w:rPr>
      </w:pPr>
    </w:p>
    <w:p w14:paraId="2DB13AEA" w14:textId="77777777" w:rsidR="008B73A7" w:rsidRPr="00986D27" w:rsidRDefault="008B73A7" w:rsidP="002A6E73">
      <w:pPr>
        <w:rPr>
          <w:lang w:val="de-DE"/>
        </w:rPr>
        <w:sectPr w:rsidR="008B73A7" w:rsidRPr="00986D27" w:rsidSect="002A6E73">
          <w:headerReference w:type="even" r:id="rId16"/>
          <w:headerReference w:type="default" r:id="rId17"/>
          <w:footerReference w:type="even" r:id="rId18"/>
          <w:footerReference w:type="default" r:id="rId19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8F615C1" w14:textId="2DD29ECC" w:rsidR="009E478D" w:rsidRPr="00282B46" w:rsidRDefault="00616180" w:rsidP="005D7FFB">
      <w:pPr>
        <w:pStyle w:val="H1G"/>
        <w:rPr>
          <w:lang w:val="de-DE"/>
        </w:rPr>
      </w:pPr>
      <w:r w:rsidRPr="00F027E2">
        <w:rPr>
          <w:lang w:val="de-DE"/>
        </w:rPr>
        <w:lastRenderedPageBreak/>
        <w:t>Anlage</w:t>
      </w:r>
      <w:r w:rsidR="005D7FFB" w:rsidRPr="00F027E2">
        <w:rPr>
          <w:lang w:val="de-DE"/>
        </w:rPr>
        <w:t xml:space="preserve"> </w:t>
      </w:r>
      <w:r w:rsidR="009E478D" w:rsidRPr="00F027E2">
        <w:rPr>
          <w:lang w:val="de-DE"/>
        </w:rPr>
        <w:t>I</w:t>
      </w:r>
    </w:p>
    <w:p w14:paraId="51706280" w14:textId="5A0F8F7B" w:rsidR="00C91B9B" w:rsidRPr="00282B46" w:rsidRDefault="00C91B9B" w:rsidP="00C02F3C">
      <w:pPr>
        <w:pStyle w:val="HChG"/>
        <w:jc w:val="both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ab/>
      </w:r>
      <w:r w:rsidRPr="00F027E2">
        <w:rPr>
          <w:rFonts w:asciiTheme="majorBidi" w:hAnsiTheme="majorBidi" w:cstheme="majorBidi"/>
          <w:lang w:val="de-DE"/>
        </w:rPr>
        <w:tab/>
      </w:r>
      <w:r w:rsidR="00B35465" w:rsidRPr="00F027E2">
        <w:rPr>
          <w:rFonts w:asciiTheme="majorBidi" w:hAnsiTheme="majorBidi" w:cstheme="majorBidi"/>
          <w:lang w:val="de-DE"/>
        </w:rPr>
        <w:t>Antragsvordruck für Ausnahmegenehmigungen nach Abschnitt 1.5.2</w:t>
      </w:r>
    </w:p>
    <w:p w14:paraId="5F7FB525" w14:textId="7F81E42E" w:rsidR="00C91B9B" w:rsidRPr="00986D27" w:rsidRDefault="00AE025A" w:rsidP="00B502CF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Bei Anträgen für Ausnahmegenehmigungen sind Angaben zu folgenden Fragen oder Punkten zu machen</w:t>
      </w:r>
      <w:r w:rsidR="00C91B9B" w:rsidRPr="00F027E2">
        <w:rPr>
          <w:rStyle w:val="FootnoteReference"/>
          <w:rFonts w:asciiTheme="majorBidi" w:hAnsiTheme="majorBidi" w:cstheme="majorBidi"/>
        </w:rPr>
        <w:footnoteReference w:id="2"/>
      </w:r>
      <w:r w:rsidR="00C91B9B" w:rsidRPr="00F027E2">
        <w:rPr>
          <w:rFonts w:asciiTheme="majorBidi" w:hAnsiTheme="majorBidi" w:cstheme="majorBidi"/>
          <w:lang w:val="de-DE"/>
        </w:rPr>
        <w:t>.</w:t>
      </w:r>
      <w:r w:rsidR="00C91B9B" w:rsidRPr="00282B46">
        <w:rPr>
          <w:rFonts w:asciiTheme="majorBidi" w:hAnsiTheme="majorBidi" w:cstheme="majorBidi"/>
          <w:lang w:val="de-DE"/>
        </w:rPr>
        <w:t xml:space="preserve"> </w:t>
      </w:r>
      <w:r w:rsidRPr="00F027E2">
        <w:rPr>
          <w:rFonts w:asciiTheme="majorBidi" w:hAnsiTheme="majorBidi" w:cstheme="majorBidi"/>
          <w:lang w:val="de-DE"/>
        </w:rPr>
        <w:t>Die Angaben werden nur für amtliche Zwecke verwendet und vertraulich behandelt</w:t>
      </w:r>
      <w:r w:rsidR="00C91B9B" w:rsidRPr="00F027E2">
        <w:rPr>
          <w:rFonts w:asciiTheme="majorBidi" w:hAnsiTheme="majorBidi" w:cstheme="majorBidi"/>
          <w:lang w:val="de-DE"/>
        </w:rPr>
        <w:t>.</w:t>
      </w:r>
      <w:r w:rsidR="00C91B9B" w:rsidRPr="00282B46">
        <w:rPr>
          <w:rFonts w:asciiTheme="majorBidi" w:hAnsiTheme="majorBidi" w:cstheme="majorBidi"/>
          <w:lang w:val="de-DE"/>
        </w:rPr>
        <w:t xml:space="preserve"> </w:t>
      </w:r>
      <w:r w:rsidR="004E6202" w:rsidRPr="00C5012B">
        <w:rPr>
          <w:rFonts w:asciiTheme="majorBidi" w:hAnsiTheme="majorBidi" w:cstheme="majorBidi"/>
          <w:lang w:val="de-DE"/>
        </w:rPr>
        <w:t>Bitte beachten Sie, dass die Ausnahmegenehmigung und der Antrag gemäß Unterabschnitt 1.5.2.3 vom Verwaltungsausschuss geprüft werden müssen.</w:t>
      </w:r>
    </w:p>
    <w:p w14:paraId="5356F8D8" w14:textId="77777777" w:rsidR="00AE025A" w:rsidRPr="00282B46" w:rsidRDefault="00AE025A" w:rsidP="00C91B9B">
      <w:pPr>
        <w:pStyle w:val="SingleTxtG"/>
        <w:rPr>
          <w:rFonts w:asciiTheme="majorBidi" w:hAnsiTheme="majorBidi" w:cstheme="majorBidi"/>
          <w:lang w:val="nl-NL"/>
        </w:rPr>
      </w:pPr>
      <w:r w:rsidRPr="00F027E2">
        <w:rPr>
          <w:rFonts w:asciiTheme="majorBidi" w:hAnsiTheme="majorBidi" w:cstheme="majorBidi"/>
          <w:lang w:val="nl-NL"/>
        </w:rPr>
        <w:t>Antragsteller</w:t>
      </w:r>
    </w:p>
    <w:p w14:paraId="7CD810BC" w14:textId="742F3D7E" w:rsidR="00C91B9B" w:rsidRPr="00282B46" w:rsidRDefault="00C91B9B" w:rsidP="00C91B9B">
      <w:pPr>
        <w:pStyle w:val="SingleTxtG"/>
        <w:rPr>
          <w:rFonts w:asciiTheme="majorBidi" w:hAnsiTheme="majorBidi" w:cstheme="majorBidi"/>
          <w:lang w:val="nl-NL"/>
        </w:rPr>
      </w:pPr>
      <w:r w:rsidRPr="00F027E2">
        <w:rPr>
          <w:rFonts w:asciiTheme="majorBidi" w:hAnsiTheme="majorBidi" w:cstheme="majorBidi"/>
          <w:lang w:val="nl-NL"/>
        </w:rPr>
        <w:t>Name:</w:t>
      </w:r>
      <w:r w:rsidRPr="00282B46">
        <w:rPr>
          <w:rFonts w:asciiTheme="majorBidi" w:hAnsiTheme="majorBidi" w:cstheme="majorBidi"/>
          <w:lang w:val="nl-NL"/>
        </w:rPr>
        <w:tab/>
      </w:r>
      <w:r w:rsidRPr="00F027E2">
        <w:rPr>
          <w:rFonts w:asciiTheme="majorBidi" w:hAnsiTheme="majorBidi" w:cstheme="majorBidi"/>
          <w:lang w:val="nl-NL"/>
        </w:rPr>
        <w:tab/>
      </w:r>
      <w:r w:rsidRPr="00F027E2">
        <w:rPr>
          <w:rFonts w:asciiTheme="majorBidi" w:hAnsiTheme="majorBidi" w:cstheme="majorBidi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F027E2">
        <w:rPr>
          <w:rFonts w:asciiTheme="majorBidi" w:hAnsiTheme="majorBidi" w:cstheme="majorBidi"/>
          <w:lang w:val="nl-NL"/>
        </w:rPr>
        <w:instrText xml:space="preserve"> FORMTEXT </w:instrText>
      </w:r>
      <w:r w:rsidRPr="00F027E2">
        <w:rPr>
          <w:rFonts w:asciiTheme="majorBidi" w:hAnsiTheme="majorBidi" w:cstheme="majorBidi"/>
        </w:rPr>
      </w:r>
      <w:r w:rsidRPr="00F027E2">
        <w:rPr>
          <w:rFonts w:asciiTheme="majorBidi" w:hAnsiTheme="majorBidi" w:cstheme="majorBidi"/>
        </w:rPr>
        <w:fldChar w:fldCharType="separate"/>
      </w:r>
      <w:r w:rsidRPr="00F027E2">
        <w:rPr>
          <w:rFonts w:asciiTheme="majorBidi" w:hAnsiTheme="majorBidi" w:cstheme="majorBidi"/>
          <w:noProof/>
          <w:lang w:val="nl-NL"/>
        </w:rPr>
        <w:t>Edwin van Leeuwen</w:t>
      </w:r>
      <w:r w:rsidRPr="00F027E2">
        <w:rPr>
          <w:rFonts w:asciiTheme="majorBidi" w:hAnsiTheme="majorBidi" w:cstheme="majorBidi"/>
        </w:rPr>
        <w:fldChar w:fldCharType="end"/>
      </w:r>
    </w:p>
    <w:p w14:paraId="08070233" w14:textId="1AF8CC82" w:rsidR="00C91B9B" w:rsidRPr="00282B46" w:rsidRDefault="00AE025A" w:rsidP="00C91B9B">
      <w:pPr>
        <w:pStyle w:val="SingleTxtG"/>
        <w:rPr>
          <w:rFonts w:asciiTheme="majorBidi" w:hAnsiTheme="majorBidi" w:cstheme="majorBidi"/>
          <w:lang w:val="nl-NL"/>
        </w:rPr>
      </w:pPr>
      <w:r w:rsidRPr="00F027E2">
        <w:rPr>
          <w:rFonts w:asciiTheme="majorBidi" w:hAnsiTheme="majorBidi" w:cstheme="majorBidi"/>
          <w:lang w:val="nl-NL"/>
        </w:rPr>
        <w:t>Firma</w:t>
      </w:r>
      <w:r w:rsidR="00C91B9B" w:rsidRPr="00F027E2">
        <w:rPr>
          <w:rFonts w:asciiTheme="majorBidi" w:hAnsiTheme="majorBidi" w:cstheme="majorBidi"/>
          <w:lang w:val="nl-NL"/>
        </w:rPr>
        <w:t>:</w:t>
      </w:r>
      <w:r w:rsidRPr="00282B46">
        <w:rPr>
          <w:rFonts w:asciiTheme="majorBidi" w:hAnsiTheme="majorBidi" w:cstheme="majorBidi"/>
          <w:lang w:val="nl-NL"/>
        </w:rPr>
        <w:tab/>
      </w:r>
      <w:r w:rsidR="00C91B9B" w:rsidRPr="00F027E2">
        <w:rPr>
          <w:rFonts w:asciiTheme="majorBidi" w:hAnsiTheme="majorBidi" w:cstheme="majorBidi"/>
          <w:lang w:val="nl-NL"/>
        </w:rPr>
        <w:tab/>
      </w:r>
      <w:r w:rsidR="00C91B9B" w:rsidRPr="00F027E2">
        <w:rPr>
          <w:rFonts w:asciiTheme="majorBidi" w:hAnsiTheme="majorBidi" w:cstheme="majorBidi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="00C91B9B" w:rsidRPr="00F027E2">
        <w:rPr>
          <w:rFonts w:asciiTheme="majorBidi" w:hAnsiTheme="majorBidi" w:cstheme="majorBidi"/>
          <w:lang w:val="nl-NL"/>
        </w:rPr>
        <w:instrText xml:space="preserve"> FORMTEXT </w:instrText>
      </w:r>
      <w:r w:rsidR="00C91B9B" w:rsidRPr="00F027E2">
        <w:rPr>
          <w:rFonts w:asciiTheme="majorBidi" w:hAnsiTheme="majorBidi" w:cstheme="majorBidi"/>
        </w:rPr>
      </w:r>
      <w:r w:rsidR="00C91B9B" w:rsidRPr="00F027E2">
        <w:rPr>
          <w:rFonts w:asciiTheme="majorBidi" w:hAnsiTheme="majorBidi" w:cstheme="majorBidi"/>
        </w:rPr>
        <w:fldChar w:fldCharType="separate"/>
      </w:r>
      <w:r w:rsidR="00C91B9B" w:rsidRPr="00F027E2">
        <w:rPr>
          <w:rFonts w:asciiTheme="majorBidi" w:hAnsiTheme="majorBidi" w:cstheme="majorBidi"/>
          <w:noProof/>
          <w:lang w:val="nl-NL"/>
        </w:rPr>
        <w:t>Titan LNG BV</w:t>
      </w:r>
      <w:r w:rsidR="00C91B9B" w:rsidRPr="00F027E2">
        <w:rPr>
          <w:rFonts w:asciiTheme="majorBidi" w:hAnsiTheme="majorBidi" w:cstheme="majorBidi"/>
        </w:rPr>
        <w:fldChar w:fldCharType="end"/>
      </w:r>
    </w:p>
    <w:p w14:paraId="0FEC026C" w14:textId="1FDD1691" w:rsidR="00C91B9B" w:rsidRPr="00282B46" w:rsidRDefault="00AE025A" w:rsidP="00C91B9B">
      <w:pPr>
        <w:pStyle w:val="SingleTxtG"/>
        <w:rPr>
          <w:rFonts w:asciiTheme="majorBidi" w:hAnsiTheme="majorBidi" w:cstheme="majorBidi"/>
          <w:lang w:val="de-DE"/>
        </w:rPr>
      </w:pPr>
      <w:r w:rsidRPr="00A85434">
        <w:rPr>
          <w:rFonts w:asciiTheme="majorBidi" w:hAnsiTheme="majorBidi" w:cstheme="majorBidi"/>
          <w:lang w:val="de-DE"/>
        </w:rPr>
        <w:t>Anschrift</w:t>
      </w:r>
      <w:r w:rsidR="00C91B9B" w:rsidRPr="00A85434">
        <w:rPr>
          <w:rFonts w:asciiTheme="majorBidi" w:hAnsiTheme="majorBidi" w:cstheme="majorBidi"/>
          <w:lang w:val="de-DE"/>
        </w:rPr>
        <w:t>:</w:t>
      </w:r>
      <w:r w:rsidR="00C91B9B" w:rsidRPr="00282B46">
        <w:rPr>
          <w:rFonts w:asciiTheme="majorBidi" w:hAnsiTheme="majorBidi" w:cstheme="majorBidi"/>
          <w:lang w:val="de-DE"/>
        </w:rPr>
        <w:tab/>
      </w:r>
      <w:r w:rsidR="00C91B9B" w:rsidRPr="00F027E2">
        <w:rPr>
          <w:rFonts w:asciiTheme="majorBidi" w:hAnsiTheme="majorBidi" w:cstheme="maj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1B9B" w:rsidRPr="00A85434">
        <w:rPr>
          <w:rFonts w:asciiTheme="majorBidi" w:hAnsiTheme="majorBidi" w:cstheme="majorBidi"/>
          <w:lang w:val="de-DE"/>
        </w:rPr>
        <w:instrText xml:space="preserve"> FORMTEXT </w:instrText>
      </w:r>
      <w:r w:rsidR="00C91B9B" w:rsidRPr="00F027E2">
        <w:rPr>
          <w:rFonts w:asciiTheme="majorBidi" w:hAnsiTheme="majorBidi" w:cstheme="majorBidi"/>
        </w:rPr>
      </w:r>
      <w:r w:rsidR="00C91B9B" w:rsidRPr="00F027E2">
        <w:rPr>
          <w:rFonts w:asciiTheme="majorBidi" w:hAnsiTheme="majorBidi" w:cstheme="majorBidi"/>
        </w:rPr>
        <w:fldChar w:fldCharType="separate"/>
      </w:r>
      <w:r w:rsidR="00C91B9B" w:rsidRPr="00A85434">
        <w:rPr>
          <w:rFonts w:asciiTheme="majorBidi" w:hAnsiTheme="majorBidi" w:cstheme="majorBidi"/>
          <w:noProof/>
          <w:lang w:val="de-DE"/>
        </w:rPr>
        <w:t>Piet Heinkade 93B</w:t>
      </w:r>
      <w:r w:rsidR="00C91B9B" w:rsidRPr="00F027E2">
        <w:rPr>
          <w:rFonts w:asciiTheme="majorBidi" w:hAnsiTheme="majorBidi" w:cstheme="majorBidi"/>
        </w:rPr>
        <w:fldChar w:fldCharType="end"/>
      </w:r>
    </w:p>
    <w:p w14:paraId="6C259CEF" w14:textId="55CA60E1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A85434">
        <w:rPr>
          <w:rFonts w:asciiTheme="majorBidi" w:hAnsiTheme="majorBidi" w:cstheme="majorBidi"/>
          <w:lang w:val="de-DE"/>
        </w:rPr>
        <w:tab/>
      </w:r>
      <w:r w:rsidRPr="00A85434">
        <w:rPr>
          <w:rFonts w:asciiTheme="majorBidi" w:hAnsiTheme="majorBidi" w:cstheme="majorBidi"/>
          <w:lang w:val="de-DE"/>
        </w:rPr>
        <w:tab/>
      </w:r>
      <w:r w:rsidR="00AE025A" w:rsidRPr="00A85434">
        <w:rPr>
          <w:rFonts w:asciiTheme="majorBidi" w:hAnsiTheme="majorBidi" w:cstheme="majorBidi"/>
          <w:lang w:val="de-DE"/>
        </w:rPr>
        <w:tab/>
      </w:r>
      <w:r w:rsidRPr="00F027E2">
        <w:rPr>
          <w:rFonts w:asciiTheme="majorBidi" w:hAnsiTheme="majorBidi" w:cstheme="majorBidi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A85434">
        <w:rPr>
          <w:rFonts w:asciiTheme="majorBidi" w:hAnsiTheme="majorBidi" w:cstheme="majorBidi"/>
          <w:lang w:val="de-DE"/>
        </w:rPr>
        <w:instrText xml:space="preserve"> FORMTEXT </w:instrText>
      </w:r>
      <w:r w:rsidRPr="00F027E2">
        <w:rPr>
          <w:rFonts w:asciiTheme="majorBidi" w:hAnsiTheme="majorBidi" w:cstheme="majorBidi"/>
        </w:rPr>
      </w:r>
      <w:r w:rsidRPr="00F027E2">
        <w:rPr>
          <w:rFonts w:asciiTheme="majorBidi" w:hAnsiTheme="majorBidi" w:cstheme="majorBidi"/>
        </w:rPr>
        <w:fldChar w:fldCharType="separate"/>
      </w:r>
      <w:r w:rsidRPr="00A85434">
        <w:rPr>
          <w:rFonts w:asciiTheme="majorBidi" w:hAnsiTheme="majorBidi" w:cstheme="majorBidi"/>
          <w:noProof/>
          <w:lang w:val="de-DE"/>
        </w:rPr>
        <w:t>1019 GM Amsterdam</w:t>
      </w:r>
      <w:r w:rsidRPr="00F027E2">
        <w:rPr>
          <w:rFonts w:asciiTheme="majorBidi" w:hAnsiTheme="majorBidi" w:cstheme="majorBidi"/>
        </w:rPr>
        <w:fldChar w:fldCharType="end"/>
      </w:r>
    </w:p>
    <w:p w14:paraId="7A026366" w14:textId="47945456" w:rsidR="00C91B9B" w:rsidRPr="00282B46" w:rsidRDefault="00C91B9B" w:rsidP="00C91B9B">
      <w:pPr>
        <w:pStyle w:val="SingleTxtG"/>
        <w:spacing w:after="240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rFonts w:asciiTheme="majorBidi" w:hAnsiTheme="majorBidi" w:cstheme="majorBidi"/>
          <w:sz w:val="18"/>
          <w:lang w:val="de-DE"/>
        </w:rPr>
        <w:instrText xml:space="preserve"> FORMCHECKBOX </w:instrText>
      </w:r>
      <w:r w:rsidR="00923BE9">
        <w:rPr>
          <w:rFonts w:asciiTheme="majorBidi" w:hAnsiTheme="majorBidi" w:cstheme="majorBidi"/>
          <w:sz w:val="18"/>
        </w:rPr>
      </w:r>
      <w:r w:rsidR="00923BE9">
        <w:rPr>
          <w:rFonts w:asciiTheme="majorBidi" w:hAnsiTheme="majorBidi" w:cstheme="majorBidi"/>
          <w:sz w:val="18"/>
        </w:rPr>
        <w:fldChar w:fldCharType="separate"/>
      </w:r>
      <w:r w:rsidRPr="00F027E2">
        <w:rPr>
          <w:rFonts w:asciiTheme="majorBidi" w:hAnsiTheme="majorBidi" w:cstheme="majorBidi"/>
          <w:sz w:val="18"/>
        </w:rPr>
        <w:fldChar w:fldCharType="end"/>
      </w:r>
      <w:r w:rsidRPr="00F027E2">
        <w:rPr>
          <w:rFonts w:asciiTheme="majorBidi" w:hAnsiTheme="majorBidi" w:cstheme="majorBidi"/>
          <w:sz w:val="18"/>
          <w:lang w:val="de-DE"/>
        </w:rPr>
        <w:t xml:space="preserve"> </w:t>
      </w:r>
      <w:r w:rsidR="00AE025A" w:rsidRPr="00F027E2">
        <w:rPr>
          <w:rFonts w:asciiTheme="majorBidi" w:hAnsiTheme="majorBidi" w:cstheme="majorBidi"/>
          <w:sz w:val="18"/>
          <w:lang w:val="de-DE"/>
        </w:rPr>
        <w:t>Betrifft mehrere Antragsteller</w:t>
      </w:r>
    </w:p>
    <w:p w14:paraId="48AC3385" w14:textId="634F9A87" w:rsidR="00C91B9B" w:rsidRPr="00282B46" w:rsidRDefault="005277D9" w:rsidP="00AE025A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Kurzfassung des Antrags</w:t>
      </w:r>
    </w:p>
    <w:p w14:paraId="61F55930" w14:textId="2E5359E3" w:rsidR="00F00EA3" w:rsidRPr="00C5012B" w:rsidRDefault="00B623A9" w:rsidP="00A474F2">
      <w:pPr>
        <w:pStyle w:val="SingleTxtG"/>
        <w:rPr>
          <w:rFonts w:asciiTheme="majorBidi" w:hAnsiTheme="majorBidi" w:cstheme="majorBidi"/>
          <w:lang w:val="de-DE"/>
        </w:rPr>
      </w:pPr>
      <w:r w:rsidRPr="00C5012B">
        <w:rPr>
          <w:rFonts w:asciiTheme="majorBidi" w:hAnsiTheme="majorBidi" w:cstheme="majorBidi"/>
          <w:lang w:val="de-DE"/>
        </w:rPr>
        <w:t xml:space="preserve">Genehmigung zur Beförderung von </w:t>
      </w:r>
      <w:r w:rsidRPr="00C5012B">
        <w:rPr>
          <w:rFonts w:asciiTheme="majorBidi" w:hAnsiTheme="majorBidi" w:cstheme="majorBidi"/>
          <w:noProof/>
          <w:highlight w:val="darkGray"/>
        </w:rPr>
        <w:t>flüssigem Stickstoff</w:t>
      </w:r>
      <w:r w:rsidRPr="00C5012B">
        <w:rPr>
          <w:rFonts w:asciiTheme="majorBidi" w:hAnsiTheme="majorBidi" w:cstheme="majorBidi"/>
          <w:lang w:val="de-DE"/>
        </w:rPr>
        <w:t xml:space="preserve"> in Tankschiffen als Stoff der Klasse</w:t>
      </w:r>
    </w:p>
    <w:p w14:paraId="11024928" w14:textId="15A81071" w:rsidR="00C91B9B" w:rsidRPr="00C5012B" w:rsidRDefault="00A474F2" w:rsidP="00C91B9B">
      <w:pPr>
        <w:pStyle w:val="SingleTxtG"/>
        <w:rPr>
          <w:rFonts w:asciiTheme="majorBidi" w:hAnsiTheme="majorBidi" w:cstheme="majorBidi"/>
          <w:lang w:val="de-DE"/>
        </w:rPr>
      </w:pPr>
      <w:r w:rsidRPr="00A57296">
        <w:rPr>
          <w:rFonts w:asciiTheme="majorBidi" w:hAnsiTheme="majorBidi" w:cstheme="majorBidi"/>
          <w:noProof/>
          <w:highlight w:val="darkGray"/>
          <w:lang w:val="de-DE"/>
        </w:rPr>
        <w:t>2.2 - Nicht entzündbare, nicht giftige Gase</w:t>
      </w:r>
      <w:r w:rsidR="005277D9" w:rsidRPr="00C5012B">
        <w:rPr>
          <w:rFonts w:asciiTheme="majorBidi" w:hAnsiTheme="majorBidi" w:cstheme="majorBidi"/>
          <w:lang w:val="de-DE"/>
        </w:rPr>
        <w:t xml:space="preserve"> </w:t>
      </w:r>
      <w:r w:rsidRPr="00C5012B">
        <w:rPr>
          <w:rFonts w:asciiTheme="majorBidi" w:hAnsiTheme="majorBidi" w:cstheme="majorBidi"/>
          <w:lang w:val="de-DE"/>
        </w:rPr>
        <w:t>an folgenden Orten und/oder auf folgenden Strecken</w:t>
      </w:r>
      <w:r w:rsidR="00C91B9B" w:rsidRPr="00C5012B">
        <w:rPr>
          <w:rFonts w:asciiTheme="majorBidi" w:hAnsiTheme="majorBidi" w:cstheme="majorBidi"/>
          <w:lang w:val="de-DE"/>
        </w:rPr>
        <w:t>:</w:t>
      </w:r>
    </w:p>
    <w:p w14:paraId="1FBD3450" w14:textId="274343B7" w:rsidR="00C91B9B" w:rsidRPr="00986D27" w:rsidRDefault="00A474F2" w:rsidP="00C91B9B">
      <w:pPr>
        <w:pStyle w:val="SingleTxtG"/>
        <w:rPr>
          <w:rFonts w:asciiTheme="majorBidi" w:hAnsiTheme="majorBidi" w:cstheme="majorBidi"/>
          <w:lang w:val="de-DE"/>
        </w:rPr>
      </w:pPr>
      <w:r w:rsidRPr="00C5012B">
        <w:rPr>
          <w:rFonts w:asciiTheme="majorBidi" w:hAnsiTheme="majorBidi" w:cstheme="majorBidi"/>
          <w:highlight w:val="darkGray"/>
          <w:lang w:val="de-DE"/>
        </w:rPr>
        <w:t>Binnenwasserstraßen in den Niederlanden und Flandern (Belgien)</w:t>
      </w:r>
      <w:r w:rsidR="00C91B9B" w:rsidRPr="00C5012B">
        <w:rPr>
          <w:rFonts w:asciiTheme="majorBidi" w:hAnsiTheme="majorBidi" w:cstheme="majorBidi"/>
          <w:highlight w:val="darkGray"/>
          <w:lang w:val="de-DE"/>
        </w:rPr>
        <w:t>.</w:t>
      </w:r>
    </w:p>
    <w:p w14:paraId="388C9E0E" w14:textId="2B7FDF3E" w:rsidR="00C91B9B" w:rsidRPr="00986D27" w:rsidRDefault="00C91B9B" w:rsidP="00C91B9B">
      <w:pPr>
        <w:pStyle w:val="HChG"/>
        <w:rPr>
          <w:rFonts w:asciiTheme="majorBidi" w:hAnsiTheme="majorBidi" w:cstheme="majorBidi"/>
          <w:lang w:val="de-DE"/>
        </w:rPr>
      </w:pPr>
      <w:r w:rsidRPr="00986D27">
        <w:rPr>
          <w:rFonts w:asciiTheme="majorBidi" w:hAnsiTheme="majorBidi" w:cstheme="majorBidi"/>
          <w:lang w:val="de-DE"/>
        </w:rPr>
        <w:tab/>
      </w:r>
      <w:r w:rsidRPr="00986D27">
        <w:rPr>
          <w:rFonts w:asciiTheme="majorBidi" w:hAnsiTheme="majorBidi" w:cstheme="majorBidi"/>
          <w:lang w:val="de-DE"/>
        </w:rPr>
        <w:tab/>
      </w:r>
      <w:r w:rsidR="003938AF" w:rsidRPr="00986D27">
        <w:rPr>
          <w:rFonts w:asciiTheme="majorBidi" w:hAnsiTheme="majorBidi" w:cstheme="majorBidi"/>
          <w:lang w:val="de-DE"/>
        </w:rPr>
        <w:t>Anlagen</w:t>
      </w:r>
      <w:r w:rsidRPr="00F027E2">
        <w:rPr>
          <w:rStyle w:val="FootnoteReference"/>
          <w:rFonts w:asciiTheme="majorBidi" w:hAnsiTheme="majorBidi" w:cstheme="majorBidi"/>
        </w:rPr>
        <w:footnoteReference w:id="3"/>
      </w:r>
      <w:r w:rsidRPr="00986D27">
        <w:rPr>
          <w:rFonts w:asciiTheme="majorBidi" w:hAnsiTheme="majorBidi" w:cstheme="majorBidi"/>
          <w:lang w:val="de-DE"/>
        </w:rPr>
        <w:t xml:space="preserve"> (</w:t>
      </w:r>
      <w:r w:rsidR="003938AF" w:rsidRPr="00986D27">
        <w:rPr>
          <w:rFonts w:asciiTheme="majorBidi" w:hAnsiTheme="majorBidi" w:cstheme="majorBidi"/>
          <w:lang w:val="de-DE"/>
        </w:rPr>
        <w:t>mit kurzer Bechreibung</w:t>
      </w:r>
      <w:r w:rsidRPr="00986D27">
        <w:rPr>
          <w:rFonts w:asciiTheme="majorBidi" w:hAnsiTheme="majorBidi" w:cstheme="majorBidi"/>
          <w:lang w:val="de-DE"/>
        </w:rPr>
        <w:t>)</w:t>
      </w:r>
    </w:p>
    <w:p w14:paraId="05985362" w14:textId="3F0DEAF3" w:rsidR="00C91B9B" w:rsidRPr="00C5012B" w:rsidRDefault="00C0345A" w:rsidP="00E714CF">
      <w:pPr>
        <w:pStyle w:val="SingleTxtG"/>
        <w:rPr>
          <w:rFonts w:asciiTheme="majorBidi" w:hAnsiTheme="majorBidi" w:cstheme="majorBidi"/>
          <w:lang w:val="de-DE"/>
        </w:rPr>
      </w:pPr>
      <w:r w:rsidRPr="00C5012B">
        <w:rPr>
          <w:rFonts w:asciiTheme="majorBidi" w:hAnsiTheme="majorBidi" w:cstheme="majorBidi"/>
          <w:lang w:val="de-DE"/>
        </w:rPr>
        <w:t>Flüssiger Stickstoff wird zur Inertisierung einer im Tank gelagerten Flüssigkeit verwendet, wobei ständig LIN in den Behälter fließt.</w:t>
      </w:r>
    </w:p>
    <w:p w14:paraId="3FC39757" w14:textId="1C031D8D" w:rsidR="00C91B9B" w:rsidRPr="00C5012B" w:rsidRDefault="00C0345A" w:rsidP="00EC2617">
      <w:pPr>
        <w:pStyle w:val="SingleTxtG"/>
        <w:rPr>
          <w:lang w:val="de-DE"/>
        </w:rPr>
      </w:pPr>
      <w:r w:rsidRPr="00C5012B">
        <w:rPr>
          <w:rFonts w:asciiTheme="majorBidi" w:hAnsiTheme="majorBidi" w:cstheme="majorBidi"/>
          <w:lang w:val="de-DE"/>
        </w:rPr>
        <w:t xml:space="preserve">Stickstoff wird üblicherweise zum Spülen oder Druckbeaufschlagen von Rohrleitungen und Lagerbehältern, zum Inertisieren brennbarer </w:t>
      </w:r>
      <w:r w:rsidR="004007FE" w:rsidRPr="00C5012B">
        <w:rPr>
          <w:rFonts w:asciiTheme="majorBidi" w:hAnsiTheme="majorBidi" w:cstheme="majorBidi"/>
          <w:lang w:val="de-DE"/>
        </w:rPr>
        <w:t>Stoffe</w:t>
      </w:r>
      <w:r w:rsidRPr="00C5012B">
        <w:rPr>
          <w:rFonts w:asciiTheme="majorBidi" w:hAnsiTheme="majorBidi" w:cstheme="majorBidi"/>
          <w:lang w:val="de-DE"/>
        </w:rPr>
        <w:t>, zum Sterilisieren, zu</w:t>
      </w:r>
      <w:r w:rsidR="004007FE" w:rsidRPr="00C5012B">
        <w:rPr>
          <w:rFonts w:asciiTheme="majorBidi" w:hAnsiTheme="majorBidi" w:cstheme="majorBidi"/>
          <w:lang w:val="de-DE"/>
        </w:rPr>
        <w:t>r</w:t>
      </w:r>
      <w:r w:rsidRPr="00C5012B">
        <w:rPr>
          <w:rFonts w:asciiTheme="majorBidi" w:hAnsiTheme="majorBidi" w:cstheme="majorBidi"/>
          <w:lang w:val="de-DE"/>
        </w:rPr>
        <w:t xml:space="preserve"> </w:t>
      </w:r>
      <w:r w:rsidR="004007FE" w:rsidRPr="00C5012B">
        <w:rPr>
          <w:rFonts w:asciiTheme="majorBidi" w:hAnsiTheme="majorBidi" w:cstheme="majorBidi"/>
          <w:lang w:val="de-DE"/>
        </w:rPr>
        <w:t>Schutzgas</w:t>
      </w:r>
      <w:r w:rsidR="00A966A5" w:rsidRPr="00C5012B">
        <w:rPr>
          <w:rFonts w:asciiTheme="majorBidi" w:hAnsiTheme="majorBidi" w:cstheme="majorBidi"/>
          <w:lang w:val="de-DE"/>
        </w:rPr>
        <w:softHyphen/>
      </w:r>
      <w:r w:rsidR="004007FE" w:rsidRPr="00C5012B">
        <w:rPr>
          <w:rFonts w:asciiTheme="majorBidi" w:hAnsiTheme="majorBidi" w:cstheme="majorBidi"/>
          <w:lang w:val="de-DE"/>
        </w:rPr>
        <w:t>überlagerung</w:t>
      </w:r>
      <w:r w:rsidRPr="00C5012B">
        <w:rPr>
          <w:rFonts w:asciiTheme="majorBidi" w:hAnsiTheme="majorBidi" w:cstheme="majorBidi"/>
          <w:lang w:val="de-DE"/>
        </w:rPr>
        <w:t xml:space="preserve"> und zum Abschirmen sauerstoffempfindlicher </w:t>
      </w:r>
      <w:r w:rsidR="00217BE7" w:rsidRPr="00C5012B">
        <w:rPr>
          <w:rFonts w:asciiTheme="majorBidi" w:hAnsiTheme="majorBidi" w:cstheme="majorBidi"/>
          <w:lang w:val="de-DE"/>
        </w:rPr>
        <w:t>Stoffe</w:t>
      </w:r>
      <w:r w:rsidRPr="00C5012B">
        <w:rPr>
          <w:rFonts w:asciiTheme="majorBidi" w:hAnsiTheme="majorBidi" w:cstheme="majorBidi"/>
          <w:lang w:val="de-DE"/>
        </w:rPr>
        <w:t xml:space="preserve"> von der Luft verwendet.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6937D1" w:rsidRPr="00C5012B">
        <w:rPr>
          <w:rFonts w:asciiTheme="majorBidi" w:hAnsiTheme="majorBidi" w:cstheme="majorBidi"/>
          <w:lang w:val="de-DE"/>
        </w:rPr>
        <w:t xml:space="preserve">Gemäß 3.1, 3.2, 4.1 und 4.2 ist flüssiger Stickstoff nicht </w:t>
      </w:r>
      <w:r w:rsidR="000B78A4" w:rsidRPr="00C5012B">
        <w:rPr>
          <w:rFonts w:asciiTheme="majorBidi" w:hAnsiTheme="majorBidi" w:cstheme="majorBidi"/>
          <w:lang w:val="de-DE"/>
        </w:rPr>
        <w:t>entzünd</w:t>
      </w:r>
      <w:r w:rsidR="006937D1" w:rsidRPr="00C5012B">
        <w:rPr>
          <w:rFonts w:asciiTheme="majorBidi" w:hAnsiTheme="majorBidi" w:cstheme="majorBidi"/>
          <w:lang w:val="de-DE"/>
        </w:rPr>
        <w:t>bar (hat keinen Flammpunkt), nicht ätzend (3.8) und hat keine bekannten toxikologischen Auswirkungen.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081E62" w:rsidRPr="00C5012B">
        <w:rPr>
          <w:rFonts w:asciiTheme="majorBidi" w:hAnsiTheme="majorBidi" w:cstheme="majorBidi"/>
          <w:lang w:val="de-DE"/>
        </w:rPr>
        <w:t>Es ist nicht zu erwarten, dass Stickstoff mutagene, embryotoxische, teratogene oder reproduktionsschädigende Wirkungen beim Menschen hervorruft.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081E62" w:rsidRPr="00C5012B">
        <w:rPr>
          <w:rFonts w:asciiTheme="majorBidi" w:hAnsiTheme="majorBidi" w:cstheme="majorBidi"/>
          <w:lang w:val="de-DE"/>
        </w:rPr>
        <w:t>Er gilt auch nicht als Meeresschadstoff.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081E62" w:rsidRPr="00C5012B">
        <w:rPr>
          <w:rFonts w:asciiTheme="majorBidi" w:hAnsiTheme="majorBidi" w:cstheme="majorBidi"/>
          <w:lang w:val="de-DE"/>
        </w:rPr>
        <w:t>Stickstoff kommt natürlich in der Atmosphäre vor.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435FA6" w:rsidRPr="00C5012B">
        <w:rPr>
          <w:rFonts w:asciiTheme="majorBidi" w:hAnsiTheme="majorBidi" w:cstheme="majorBidi"/>
          <w:lang w:val="de-DE"/>
        </w:rPr>
        <w:t>Das Gas wird in gut belüfteten Bereichen schnell abgebaut.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435FA6" w:rsidRPr="00C5012B">
        <w:rPr>
          <w:rFonts w:asciiTheme="majorBidi" w:hAnsiTheme="majorBidi" w:cstheme="majorBidi"/>
          <w:lang w:val="de-DE"/>
        </w:rPr>
        <w:t xml:space="preserve">Nur in verflüssigtem Zustand oder als tiefgekühltes Gas kann LN2 jedoch </w:t>
      </w:r>
      <w:r w:rsidR="005953E9" w:rsidRPr="00C5012B">
        <w:rPr>
          <w:rFonts w:asciiTheme="majorBidi" w:hAnsiTheme="majorBidi" w:cstheme="majorBidi"/>
          <w:lang w:val="de-DE"/>
        </w:rPr>
        <w:t>Kältev</w:t>
      </w:r>
      <w:r w:rsidR="00435FA6" w:rsidRPr="00C5012B">
        <w:rPr>
          <w:rFonts w:asciiTheme="majorBidi" w:hAnsiTheme="majorBidi" w:cstheme="majorBidi"/>
          <w:lang w:val="de-DE"/>
        </w:rPr>
        <w:t xml:space="preserve">erbrennungen oder </w:t>
      </w:r>
      <w:r w:rsidR="005953E9" w:rsidRPr="00C5012B">
        <w:rPr>
          <w:rFonts w:asciiTheme="majorBidi" w:hAnsiTheme="majorBidi" w:cstheme="majorBidi"/>
          <w:lang w:val="de-DE"/>
        </w:rPr>
        <w:t>-v</w:t>
      </w:r>
      <w:r w:rsidR="00435FA6" w:rsidRPr="00C5012B">
        <w:rPr>
          <w:rFonts w:asciiTheme="majorBidi" w:hAnsiTheme="majorBidi" w:cstheme="majorBidi"/>
          <w:lang w:val="de-DE"/>
        </w:rPr>
        <w:t>erletzungen nach Hautkontakt verursachen.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5953E9" w:rsidRPr="00C5012B">
        <w:rPr>
          <w:rFonts w:asciiTheme="majorBidi" w:hAnsiTheme="majorBidi" w:cstheme="majorBidi"/>
          <w:lang w:val="de-DE"/>
        </w:rPr>
        <w:t>Verschüttetes LN2 kann zur Versprödung von Baustoffen und zu Frostschäden an der Vegetation führen.</w:t>
      </w:r>
      <w:r w:rsidR="00C91B9B" w:rsidRPr="00C5012B">
        <w:rPr>
          <w:rFonts w:asciiTheme="majorBidi" w:hAnsiTheme="majorBidi" w:cstheme="majorBidi"/>
          <w:lang w:val="de-DE"/>
        </w:rPr>
        <w:t xml:space="preserve"> </w:t>
      </w:r>
      <w:r w:rsidR="008176BF" w:rsidRPr="00C5012B">
        <w:rPr>
          <w:rFonts w:asciiTheme="majorBidi" w:hAnsiTheme="majorBidi" w:cstheme="majorBidi"/>
          <w:lang w:val="de-DE"/>
        </w:rPr>
        <w:t>Bei einmaliger oder wiederholter Exposition kann es zu schweren oder dauerhaften Schäden kommen.</w:t>
      </w:r>
      <w:r w:rsidR="00C91B9B" w:rsidRPr="00C5012B">
        <w:rPr>
          <w:lang w:val="de-DE"/>
        </w:rPr>
        <w:t xml:space="preserve"> </w:t>
      </w:r>
      <w:r w:rsidR="008176BF" w:rsidRPr="00C5012B">
        <w:rPr>
          <w:lang w:val="de-DE"/>
        </w:rPr>
        <w:t>In hohen Konzentrationen kann es zum Erstickungstod führen.</w:t>
      </w:r>
      <w:r w:rsidR="00C91B9B" w:rsidRPr="00C5012B">
        <w:rPr>
          <w:lang w:val="de-DE"/>
        </w:rPr>
        <w:t xml:space="preserve"> </w:t>
      </w:r>
      <w:r w:rsidR="008176BF" w:rsidRPr="00C5012B">
        <w:rPr>
          <w:lang w:val="de-DE"/>
        </w:rPr>
        <w:t>Zu den Symptomen kann der Verlust der Bewegungsfähigkeit/des Bewusstseins gehören.</w:t>
      </w:r>
      <w:r w:rsidR="00C91B9B" w:rsidRPr="00C5012B">
        <w:rPr>
          <w:lang w:val="de-DE"/>
        </w:rPr>
        <w:t xml:space="preserve"> </w:t>
      </w:r>
      <w:r w:rsidR="00EC2617" w:rsidRPr="00C5012B">
        <w:rPr>
          <w:lang w:val="de-DE"/>
        </w:rPr>
        <w:t>Das Opfer ist sich einer Erstickung möglicherweise nicht bewusst.</w:t>
      </w:r>
    </w:p>
    <w:p w14:paraId="4D91BC0C" w14:textId="710AA6D4" w:rsidR="00C91B9B" w:rsidRPr="00C5012B" w:rsidRDefault="00EC2617" w:rsidP="00F07BA8">
      <w:pPr>
        <w:pStyle w:val="SingleTxtG"/>
        <w:rPr>
          <w:lang w:val="de-DE"/>
        </w:rPr>
      </w:pPr>
      <w:r w:rsidRPr="00C5012B">
        <w:rPr>
          <w:lang w:val="de-DE"/>
        </w:rPr>
        <w:t>NITROGEN:</w:t>
      </w:r>
      <w:r w:rsidR="00C91B9B" w:rsidRPr="00C5012B">
        <w:rPr>
          <w:lang w:val="de-DE"/>
        </w:rPr>
        <w:t xml:space="preserve"> </w:t>
      </w:r>
      <w:r w:rsidR="000A0A2E" w:rsidRPr="00C5012B">
        <w:rPr>
          <w:lang w:val="de-DE"/>
        </w:rPr>
        <w:t>Log Kow = 0,92; Wasserlöslichkeit = 1,49</w:t>
      </w:r>
      <w:r w:rsidR="007F2CCE" w:rsidRPr="00C5012B">
        <w:rPr>
          <w:lang w:val="de-DE"/>
        </w:rPr>
        <w:t> </w:t>
      </w:r>
      <w:r w:rsidR="000A0A2E" w:rsidRPr="00C5012B">
        <w:rPr>
          <w:lang w:val="de-DE"/>
        </w:rPr>
        <w:t>% v/v (25°C, 1 atm).</w:t>
      </w:r>
      <w:r w:rsidR="00C91B9B" w:rsidRPr="00C5012B">
        <w:rPr>
          <w:lang w:val="de-DE"/>
        </w:rPr>
        <w:t xml:space="preserve"> </w:t>
      </w:r>
      <w:r w:rsidR="00F07BA8" w:rsidRPr="00C5012B">
        <w:rPr>
          <w:lang w:val="de-DE"/>
        </w:rPr>
        <w:t>Orale Toxizität LD50 Ratte: &lt; 1 mg/kg. Dermale Toxizität LD50 Ratte oder Kaninchen: &lt; 20 mg/kg. Inhalationstoxizität LC50 4</w:t>
      </w:r>
      <w:r w:rsidR="00564AE7" w:rsidRPr="00C5012B">
        <w:rPr>
          <w:lang w:val="de-DE"/>
        </w:rPr>
        <w:t xml:space="preserve"> </w:t>
      </w:r>
      <w:r w:rsidR="00F07BA8" w:rsidRPr="00C5012B">
        <w:rPr>
          <w:lang w:val="de-DE"/>
        </w:rPr>
        <w:t>Stunden Ratte: &lt; 0,05 mg/L).</w:t>
      </w:r>
    </w:p>
    <w:p w14:paraId="0BB37D6A" w14:textId="77777777" w:rsidR="00A57296" w:rsidRDefault="00A57296">
      <w:pPr>
        <w:suppressAutoHyphens w:val="0"/>
        <w:spacing w:line="240" w:lineRule="auto"/>
        <w:rPr>
          <w:lang w:val="de-DE"/>
        </w:rPr>
      </w:pPr>
      <w:r>
        <w:rPr>
          <w:lang w:val="de-DE"/>
        </w:rPr>
        <w:br w:type="page"/>
      </w:r>
    </w:p>
    <w:p w14:paraId="6AE7F139" w14:textId="35E77655" w:rsidR="00C91B9B" w:rsidRPr="00A57296" w:rsidRDefault="00E87045" w:rsidP="00724F52">
      <w:pPr>
        <w:pStyle w:val="SingleTxtG"/>
        <w:rPr>
          <w:lang w:val="de-DE"/>
        </w:rPr>
      </w:pPr>
      <w:r w:rsidRPr="00A57296">
        <w:rPr>
          <w:lang w:val="de-DE"/>
        </w:rPr>
        <w:lastRenderedPageBreak/>
        <w:t xml:space="preserve">In Bezug auf 7.1 sind die Lagerbehälter und die Ausrüstung (Rohre, Ventile, Armaturen zur Druckentlastung usw.) für die Lagerung von </w:t>
      </w:r>
      <w:r w:rsidR="004B4588" w:rsidRPr="00A57296">
        <w:rPr>
          <w:lang w:val="de-DE"/>
        </w:rPr>
        <w:t>f</w:t>
      </w:r>
      <w:r w:rsidRPr="00A57296">
        <w:rPr>
          <w:lang w:val="de-DE"/>
        </w:rPr>
        <w:t>lüssig</w:t>
      </w:r>
      <w:r w:rsidR="004B4588" w:rsidRPr="00A57296">
        <w:rPr>
          <w:lang w:val="de-DE"/>
        </w:rPr>
        <w:t>em S</w:t>
      </w:r>
      <w:r w:rsidRPr="00A57296">
        <w:rPr>
          <w:lang w:val="de-DE"/>
        </w:rPr>
        <w:t>tickstoff ausgelegt.</w:t>
      </w:r>
      <w:r w:rsidR="00C91B9B" w:rsidRPr="00A57296">
        <w:rPr>
          <w:lang w:val="de-DE"/>
        </w:rPr>
        <w:t xml:space="preserve"> </w:t>
      </w:r>
      <w:r w:rsidRPr="00A57296">
        <w:rPr>
          <w:lang w:val="de-DE"/>
        </w:rPr>
        <w:t>Neodym, Lithium, Zirkonium und Ozon können mit Stickstoff reagieren.</w:t>
      </w:r>
      <w:r w:rsidR="00C91B9B" w:rsidRPr="00A57296">
        <w:rPr>
          <w:lang w:val="de-DE"/>
        </w:rPr>
        <w:t xml:space="preserve"> </w:t>
      </w:r>
      <w:r w:rsidR="001E067A" w:rsidRPr="00A57296">
        <w:rPr>
          <w:lang w:val="de-DE"/>
        </w:rPr>
        <w:t>Kalzium, Strontium, Barium und Titan reagieren bei Rotglut und bilden Nitride.</w:t>
      </w:r>
      <w:r w:rsidR="00C91B9B" w:rsidRPr="00A57296">
        <w:rPr>
          <w:lang w:val="de-DE"/>
        </w:rPr>
        <w:t xml:space="preserve"> </w:t>
      </w:r>
      <w:r w:rsidR="00246BE1" w:rsidRPr="00A57296">
        <w:rPr>
          <w:lang w:val="de-DE"/>
        </w:rPr>
        <w:t>Wasserstoff reagiert bei Funkenbildung zu Ammoniak.</w:t>
      </w:r>
      <w:r w:rsidR="00C91B9B" w:rsidRPr="00A57296">
        <w:rPr>
          <w:lang w:val="de-DE"/>
        </w:rPr>
        <w:t xml:space="preserve"> </w:t>
      </w:r>
      <w:r w:rsidR="000D0478" w:rsidRPr="00A57296">
        <w:rPr>
          <w:lang w:val="de-DE"/>
        </w:rPr>
        <w:t>Wasserstoff reagiert bei Funkenbildung zu Ammoniak. Flüssiger Stickstoff beim kryogenen Vermahlen von Fettstoffen kann zu einer Explosion führen.</w:t>
      </w:r>
      <w:r w:rsidR="00C91B9B" w:rsidRPr="00A57296">
        <w:rPr>
          <w:lang w:val="de-DE"/>
        </w:rPr>
        <w:t xml:space="preserve"> </w:t>
      </w:r>
      <w:r w:rsidR="000D0478" w:rsidRPr="00A57296">
        <w:rPr>
          <w:lang w:val="de-DE"/>
        </w:rPr>
        <w:t>Ein Gemisch aus Magnesiumpulver und flüssigem Stickstoff reagiert beim Anzünden mit einer Lunte sehr heftig und bildet Magnesiumnitrid.</w:t>
      </w:r>
      <w:r w:rsidR="00C91B9B" w:rsidRPr="00A57296">
        <w:rPr>
          <w:lang w:val="de-DE"/>
        </w:rPr>
        <w:t xml:space="preserve"> </w:t>
      </w:r>
      <w:r w:rsidR="00724F52" w:rsidRPr="00A57296">
        <w:rPr>
          <w:lang w:val="de-DE"/>
        </w:rPr>
        <w:t>Flüssiger Stickstoff hat auf Metalle keine korrosive Wirkung.</w:t>
      </w:r>
    </w:p>
    <w:p w14:paraId="5F1E01E1" w14:textId="54D58493" w:rsidR="00C91B9B" w:rsidRPr="00A57296" w:rsidRDefault="00F76598" w:rsidP="00572EAC">
      <w:pPr>
        <w:pStyle w:val="SingleTxtG"/>
        <w:rPr>
          <w:lang w:val="de-DE"/>
        </w:rPr>
      </w:pPr>
      <w:r w:rsidRPr="00A57296">
        <w:rPr>
          <w:lang w:val="de-DE"/>
        </w:rPr>
        <w:t xml:space="preserve">Eine örtliche </w:t>
      </w:r>
      <w:r w:rsidR="004E3A77" w:rsidRPr="00A57296">
        <w:rPr>
          <w:lang w:val="de-DE"/>
        </w:rPr>
        <w:t>Ent</w:t>
      </w:r>
      <w:r w:rsidRPr="00A57296">
        <w:rPr>
          <w:lang w:val="de-DE"/>
        </w:rPr>
        <w:t>lüftung ist vorzuziehen, da sie die Ausbreitung des Stickstoffs am Arbeitsplatz verhindert, indem sie ihn an der Quelle beseitigt.</w:t>
      </w:r>
      <w:r w:rsidR="00C91B9B" w:rsidRPr="00A57296">
        <w:rPr>
          <w:lang w:val="de-DE"/>
        </w:rPr>
        <w:t xml:space="preserve"> </w:t>
      </w:r>
      <w:r w:rsidR="004E3A77" w:rsidRPr="00A57296">
        <w:rPr>
          <w:lang w:val="de-DE"/>
        </w:rPr>
        <w:t xml:space="preserve">Bei der Beförderung ist darauf zu achten, dass </w:t>
      </w:r>
      <w:r w:rsidR="00921ECE" w:rsidRPr="00A57296">
        <w:rPr>
          <w:lang w:val="de-DE"/>
        </w:rPr>
        <w:t>da</w:t>
      </w:r>
      <w:r w:rsidR="00E714CF" w:rsidRPr="00A57296">
        <w:rPr>
          <w:lang w:val="de-DE"/>
        </w:rPr>
        <w:t>r</w:t>
      </w:r>
      <w:r w:rsidR="00921ECE" w:rsidRPr="00A57296">
        <w:rPr>
          <w:lang w:val="de-DE"/>
        </w:rPr>
        <w:t xml:space="preserve"> </w:t>
      </w:r>
      <w:r w:rsidR="00E714CF" w:rsidRPr="00A57296">
        <w:rPr>
          <w:lang w:val="de-DE"/>
        </w:rPr>
        <w:t>Behälter</w:t>
      </w:r>
      <w:r w:rsidR="004E3A77" w:rsidRPr="00A57296">
        <w:rPr>
          <w:lang w:val="de-DE"/>
        </w:rPr>
        <w:t xml:space="preserve"> nicht um</w:t>
      </w:r>
      <w:r w:rsidR="00921ECE" w:rsidRPr="00A57296">
        <w:rPr>
          <w:lang w:val="de-DE"/>
        </w:rPr>
        <w:t>kippen</w:t>
      </w:r>
      <w:r w:rsidR="004E3A77" w:rsidRPr="00A57296">
        <w:rPr>
          <w:lang w:val="de-DE"/>
        </w:rPr>
        <w:t xml:space="preserve"> kann.</w:t>
      </w:r>
    </w:p>
    <w:p w14:paraId="1D3AFD6A" w14:textId="5F882E73" w:rsidR="00C91B9B" w:rsidRPr="00A57296" w:rsidRDefault="00572EAC" w:rsidP="00A40652">
      <w:pPr>
        <w:pStyle w:val="SingleTxtG"/>
        <w:rPr>
          <w:lang w:val="de-DE"/>
        </w:rPr>
      </w:pPr>
      <w:r w:rsidRPr="00A57296">
        <w:rPr>
          <w:lang w:val="de-DE"/>
        </w:rPr>
        <w:t>Ferner</w:t>
      </w:r>
      <w:r w:rsidR="00921ECE" w:rsidRPr="00A57296">
        <w:rPr>
          <w:lang w:val="de-DE"/>
        </w:rPr>
        <w:t xml:space="preserve"> sind Sicherheitsmaßnahmen erforderlich, wie das Tragen von Schutzkleidung und eine geeignete Ausrüstung für die Verwendung und Lagerung von flüssigem Stickstoff (8.1).</w:t>
      </w:r>
      <w:r w:rsidR="00BC4F70" w:rsidRPr="00A57296">
        <w:rPr>
          <w:lang w:val="de-DE"/>
        </w:rPr>
        <w:t xml:space="preserve"> </w:t>
      </w:r>
      <w:r w:rsidRPr="00A57296">
        <w:rPr>
          <w:lang w:val="de-DE"/>
        </w:rPr>
        <w:t xml:space="preserve">Was </w:t>
      </w:r>
      <w:r w:rsidR="00BC4F70" w:rsidRPr="00A57296">
        <w:rPr>
          <w:lang w:val="de-DE"/>
        </w:rPr>
        <w:t>Frage 8.2</w:t>
      </w:r>
      <w:r w:rsidRPr="00A57296">
        <w:rPr>
          <w:lang w:val="de-DE"/>
        </w:rPr>
        <w:t xml:space="preserve"> betrifft, so</w:t>
      </w:r>
      <w:r w:rsidR="00BC4F70" w:rsidRPr="00A57296">
        <w:rPr>
          <w:lang w:val="de-DE"/>
        </w:rPr>
        <w:t xml:space="preserve"> sind keine zusätzlichen Sicherheitsmaßnahmen erforderlich.</w:t>
      </w:r>
    </w:p>
    <w:p w14:paraId="7B189BD4" w14:textId="4E568CED" w:rsidR="00C91B9B" w:rsidRPr="00986D27" w:rsidRDefault="006E02EF" w:rsidP="00951942">
      <w:pPr>
        <w:pStyle w:val="SingleTxtG"/>
        <w:rPr>
          <w:rFonts w:cstheme="minorHAnsi"/>
          <w:bCs/>
          <w:lang w:val="de-DE"/>
        </w:rPr>
      </w:pPr>
      <w:r w:rsidRPr="00A57296">
        <w:rPr>
          <w:lang w:val="de-DE"/>
        </w:rPr>
        <w:t xml:space="preserve">Beim Laden und Löschen muss ein Wasservorhang </w:t>
      </w:r>
      <w:r w:rsidR="00A40652" w:rsidRPr="00A57296">
        <w:rPr>
          <w:lang w:val="de-DE"/>
        </w:rPr>
        <w:t>vorgesehen</w:t>
      </w:r>
      <w:r w:rsidRPr="00A57296">
        <w:rPr>
          <w:lang w:val="de-DE"/>
        </w:rPr>
        <w:t xml:space="preserve"> sein, um den Schiffs</w:t>
      </w:r>
      <w:r w:rsidR="0034097E" w:rsidRPr="00A57296">
        <w:rPr>
          <w:lang w:val="de-DE"/>
        </w:rPr>
        <w:t>körper</w:t>
      </w:r>
      <w:r w:rsidRPr="00A57296">
        <w:rPr>
          <w:lang w:val="de-DE"/>
        </w:rPr>
        <w:t xml:space="preserve"> im Falle einer Leckage vor mechanischen Schäden zu schützen.</w:t>
      </w:r>
    </w:p>
    <w:p w14:paraId="7A1F096D" w14:textId="77777777" w:rsidR="00C91B9B" w:rsidRPr="00986D27" w:rsidRDefault="00C91B9B" w:rsidP="00C91B9B">
      <w:pPr>
        <w:rPr>
          <w:rFonts w:cstheme="minorHAnsi"/>
          <w:b/>
          <w:lang w:val="de-DE"/>
        </w:rPr>
      </w:pPr>
    </w:p>
    <w:p w14:paraId="13B98CB7" w14:textId="51ABB958" w:rsidR="00C91B9B" w:rsidRPr="00282B46" w:rsidRDefault="00F00EA3" w:rsidP="00C91B9B">
      <w:pPr>
        <w:rPr>
          <w:rFonts w:cstheme="minorHAnsi"/>
          <w:b/>
          <w:lang w:val="de-DE"/>
        </w:rPr>
      </w:pPr>
      <w:r w:rsidRPr="00F027E2">
        <w:rPr>
          <w:rFonts w:cstheme="minorHAnsi"/>
          <w:b/>
          <w:lang w:val="de-DE"/>
        </w:rPr>
        <w:t>Dieser Antrag betrifft folgende Schiffe</w:t>
      </w:r>
      <w:r w:rsidR="00C91B9B" w:rsidRPr="00F027E2">
        <w:rPr>
          <w:rFonts w:cstheme="minorHAnsi"/>
          <w:b/>
          <w:lang w:val="de-DE"/>
        </w:rPr>
        <w:t>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4814"/>
      </w:tblGrid>
      <w:tr w:rsidR="00C91B9B" w:rsidRPr="00F027E2" w14:paraId="6EEFED5F" w14:textId="77777777" w:rsidTr="00637B49">
        <w:tc>
          <w:tcPr>
            <w:tcW w:w="4868" w:type="dxa"/>
          </w:tcPr>
          <w:p w14:paraId="50581488" w14:textId="77777777" w:rsidR="00C91B9B" w:rsidRPr="00282B46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Name: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</w:rPr>
              <w:t>Flexfueler 001</w:t>
            </w:r>
          </w:p>
        </w:tc>
        <w:tc>
          <w:tcPr>
            <w:tcW w:w="4868" w:type="dxa"/>
          </w:tcPr>
          <w:p w14:paraId="5E188D41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ENI: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</w:rPr>
              <w:t>2338215</w:t>
            </w:r>
          </w:p>
        </w:tc>
      </w:tr>
      <w:tr w:rsidR="00C91B9B" w:rsidRPr="00F027E2" w14:paraId="1463DC23" w14:textId="77777777" w:rsidTr="00637B49">
        <w:tc>
          <w:tcPr>
            <w:tcW w:w="4868" w:type="dxa"/>
          </w:tcPr>
          <w:p w14:paraId="057251E6" w14:textId="77777777" w:rsidR="00C91B9B" w:rsidRPr="00282B46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Name: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</w:rPr>
              <w:t>Flexfueler 002</w:t>
            </w:r>
          </w:p>
        </w:tc>
        <w:tc>
          <w:tcPr>
            <w:tcW w:w="4868" w:type="dxa"/>
          </w:tcPr>
          <w:p w14:paraId="0DBC85C0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ENI: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</w:rPr>
              <w:t>6105694</w:t>
            </w:r>
          </w:p>
        </w:tc>
      </w:tr>
      <w:tr w:rsidR="00C91B9B" w:rsidRPr="00F027E2" w14:paraId="2C2A5F32" w14:textId="77777777" w:rsidTr="00637B49">
        <w:tc>
          <w:tcPr>
            <w:tcW w:w="4868" w:type="dxa"/>
          </w:tcPr>
          <w:p w14:paraId="5600E5D5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Name: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  <w:tc>
          <w:tcPr>
            <w:tcW w:w="4868" w:type="dxa"/>
          </w:tcPr>
          <w:p w14:paraId="7B7E0247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ENI: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</w:tr>
      <w:tr w:rsidR="00C91B9B" w:rsidRPr="00F027E2" w14:paraId="5CA8B6DD" w14:textId="77777777" w:rsidTr="00637B49">
        <w:tc>
          <w:tcPr>
            <w:tcW w:w="4868" w:type="dxa"/>
          </w:tcPr>
          <w:p w14:paraId="7092CF50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Name: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  <w:tc>
          <w:tcPr>
            <w:tcW w:w="4868" w:type="dxa"/>
          </w:tcPr>
          <w:p w14:paraId="4B281B36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ENI: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</w:tr>
      <w:tr w:rsidR="00C91B9B" w:rsidRPr="00F027E2" w14:paraId="721B4BEE" w14:textId="77777777" w:rsidTr="00637B49">
        <w:tc>
          <w:tcPr>
            <w:tcW w:w="4868" w:type="dxa"/>
          </w:tcPr>
          <w:p w14:paraId="4F7C2ABB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Name: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  <w:tc>
          <w:tcPr>
            <w:tcW w:w="4868" w:type="dxa"/>
          </w:tcPr>
          <w:p w14:paraId="698017BB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ENI: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</w:tr>
      <w:tr w:rsidR="00C91B9B" w:rsidRPr="00F027E2" w14:paraId="0318AFC7" w14:textId="77777777" w:rsidTr="00637B49">
        <w:tc>
          <w:tcPr>
            <w:tcW w:w="4868" w:type="dxa"/>
          </w:tcPr>
          <w:p w14:paraId="1C3CD1FD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Name: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  <w:tc>
          <w:tcPr>
            <w:tcW w:w="4868" w:type="dxa"/>
          </w:tcPr>
          <w:p w14:paraId="6450995F" w14:textId="77777777" w:rsidR="00C91B9B" w:rsidRPr="00F027E2" w:rsidRDefault="00C91B9B" w:rsidP="00637B49">
            <w:pPr>
              <w:rPr>
                <w:rFonts w:asciiTheme="majorBidi" w:hAnsiTheme="majorBidi" w:cstheme="majorBidi"/>
                <w:bCs/>
              </w:rPr>
            </w:pPr>
            <w:r w:rsidRPr="00F027E2">
              <w:rPr>
                <w:rFonts w:asciiTheme="majorBidi" w:hAnsiTheme="majorBidi" w:cstheme="majorBidi"/>
                <w:bCs/>
              </w:rPr>
              <w:t>ENI:</w:t>
            </w:r>
            <w:r w:rsidRPr="00282B46">
              <w:rPr>
                <w:rFonts w:asciiTheme="majorBidi" w:hAnsiTheme="majorBidi" w:cstheme="majorBidi"/>
                <w:bCs/>
              </w:rPr>
              <w:t xml:space="preserve"> </w:t>
            </w:r>
            <w:r w:rsidRPr="00F027E2">
              <w:rPr>
                <w:rFonts w:asciiTheme="majorBidi" w:hAnsiTheme="majorBidi" w:cstheme="majorBidi"/>
                <w:b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027E2">
              <w:rPr>
                <w:rFonts w:asciiTheme="majorBidi" w:hAnsiTheme="majorBidi" w:cstheme="majorBidi"/>
                <w:bCs/>
              </w:rPr>
              <w:instrText xml:space="preserve"> FORMTEXT </w:instrText>
            </w:r>
            <w:r w:rsidRPr="00F027E2">
              <w:rPr>
                <w:rFonts w:asciiTheme="majorBidi" w:hAnsiTheme="majorBidi" w:cstheme="majorBidi"/>
                <w:bCs/>
              </w:rPr>
            </w:r>
            <w:r w:rsidRPr="00F027E2">
              <w:rPr>
                <w:rFonts w:asciiTheme="majorBidi" w:hAnsiTheme="majorBidi" w:cstheme="majorBidi"/>
                <w:bCs/>
              </w:rPr>
              <w:fldChar w:fldCharType="separate"/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  <w:noProof/>
              </w:rPr>
              <w:t> </w:t>
            </w:r>
            <w:r w:rsidRPr="00F027E2">
              <w:rPr>
                <w:rFonts w:asciiTheme="majorBidi" w:hAnsiTheme="majorBidi" w:cstheme="majorBidi"/>
                <w:bCs/>
              </w:rPr>
              <w:fldChar w:fldCharType="end"/>
            </w:r>
          </w:p>
        </w:tc>
      </w:tr>
    </w:tbl>
    <w:p w14:paraId="651C05BC" w14:textId="77777777" w:rsidR="00C91B9B" w:rsidRPr="00F027E2" w:rsidRDefault="00C91B9B" w:rsidP="00C91B9B">
      <w:pPr>
        <w:rPr>
          <w:rFonts w:cstheme="minorHAnsi"/>
          <w:bCs/>
        </w:rPr>
      </w:pPr>
    </w:p>
    <w:p w14:paraId="7F14F016" w14:textId="77777777" w:rsidR="00C91B9B" w:rsidRPr="00F027E2" w:rsidRDefault="00C91B9B" w:rsidP="00C91B9B">
      <w:pPr>
        <w:rPr>
          <w:rFonts w:cstheme="minorHAnsi"/>
          <w:bCs/>
        </w:rPr>
      </w:pPr>
    </w:p>
    <w:p w14:paraId="614B7753" w14:textId="77777777" w:rsidR="00C91B9B" w:rsidRPr="00F027E2" w:rsidRDefault="00C91B9B" w:rsidP="00C91B9B">
      <w:pPr>
        <w:rPr>
          <w:rFonts w:cstheme="minorHAnsi"/>
          <w:bCs/>
        </w:rPr>
      </w:pPr>
    </w:p>
    <w:p w14:paraId="272D8465" w14:textId="5281DE1C" w:rsidR="00C91B9B" w:rsidRPr="00282B46" w:rsidRDefault="00F00EA3" w:rsidP="00C91B9B">
      <w:pPr>
        <w:pStyle w:val="SingleTxtG"/>
        <w:rPr>
          <w:b/>
          <w:bCs/>
        </w:rPr>
      </w:pPr>
      <w:r w:rsidRPr="00F027E2">
        <w:rPr>
          <w:b/>
          <w:bCs/>
        </w:rPr>
        <w:t>Antrag aufgestellt</w:t>
      </w:r>
      <w:r w:rsidR="00C91B9B" w:rsidRPr="00F027E2">
        <w:rPr>
          <w:b/>
          <w:bCs/>
        </w:rPr>
        <w:t>:</w:t>
      </w:r>
    </w:p>
    <w:p w14:paraId="183CD6FC" w14:textId="61914252" w:rsidR="00C91B9B" w:rsidRPr="00282B46" w:rsidRDefault="00F00EA3" w:rsidP="00C91B9B">
      <w:pPr>
        <w:pStyle w:val="SingleTxtG"/>
        <w:rPr>
          <w:b/>
          <w:bCs/>
        </w:rPr>
      </w:pPr>
      <w:r w:rsidRPr="00F027E2">
        <w:t>Ort</w:t>
      </w:r>
      <w:r w:rsidR="00C91B9B" w:rsidRPr="00F027E2">
        <w:t>:</w:t>
      </w:r>
      <w:r w:rsidR="00C91B9B" w:rsidRPr="00282B46">
        <w:tab/>
      </w:r>
      <w:r w:rsidRPr="00F027E2">
        <w:tab/>
      </w:r>
      <w:r w:rsidR="00C91B9B" w:rsidRPr="00F027E2">
        <w:rPr>
          <w:b/>
          <w:bCs/>
        </w:rPr>
        <w:t>Amsterdam</w:t>
      </w:r>
    </w:p>
    <w:p w14:paraId="71102F2D" w14:textId="08720051" w:rsidR="00C91B9B" w:rsidRPr="00282B46" w:rsidRDefault="00F00EA3" w:rsidP="00C91B9B">
      <w:pPr>
        <w:pStyle w:val="SingleTxtG"/>
      </w:pPr>
      <w:r w:rsidRPr="00F027E2">
        <w:t>Datum</w:t>
      </w:r>
      <w:r w:rsidR="00C91B9B" w:rsidRPr="00F027E2">
        <w:t>:</w:t>
      </w:r>
      <w:r w:rsidR="00C91B9B" w:rsidRPr="00282B46">
        <w:tab/>
      </w:r>
      <w:r w:rsidR="00C91B9B" w:rsidRPr="00F027E2">
        <w:rPr>
          <w:b/>
          <w:bCs/>
        </w:rPr>
        <w:t>26</w:t>
      </w:r>
      <w:r w:rsidRPr="00F027E2">
        <w:rPr>
          <w:b/>
          <w:bCs/>
        </w:rPr>
        <w:t>.</w:t>
      </w:r>
      <w:r w:rsidR="00C91B9B" w:rsidRPr="00F027E2">
        <w:rPr>
          <w:b/>
          <w:bCs/>
        </w:rPr>
        <w:t xml:space="preserve"> </w:t>
      </w:r>
      <w:r w:rsidRPr="00F027E2">
        <w:rPr>
          <w:b/>
          <w:bCs/>
        </w:rPr>
        <w:t>Mai</w:t>
      </w:r>
      <w:r w:rsidR="00C91B9B" w:rsidRPr="00F027E2">
        <w:rPr>
          <w:b/>
          <w:bCs/>
        </w:rPr>
        <w:t xml:space="preserve"> 202</w:t>
      </w:r>
      <w:r w:rsidRPr="00F027E2">
        <w:rPr>
          <w:b/>
          <w:bCs/>
        </w:rPr>
        <w:t>2</w:t>
      </w:r>
    </w:p>
    <w:p w14:paraId="14EEC2F1" w14:textId="7CEC186D" w:rsidR="00C91B9B" w:rsidRPr="00282B46" w:rsidRDefault="00F00EA3" w:rsidP="00F00EA3">
      <w:pPr>
        <w:pStyle w:val="SingleTxtG"/>
        <w:rPr>
          <w:lang w:val="de-DE"/>
        </w:rPr>
      </w:pPr>
      <w:r w:rsidRPr="00F027E2">
        <w:rPr>
          <w:lang w:val="de-DE"/>
        </w:rPr>
        <w:t>Unterschrift (der für die Angaben verantwortlichen Person):</w:t>
      </w:r>
    </w:p>
    <w:p w14:paraId="26B9591D" w14:textId="77777777" w:rsidR="00C91B9B" w:rsidRPr="00F027E2" w:rsidRDefault="00C91B9B" w:rsidP="00C91B9B">
      <w:pPr>
        <w:rPr>
          <w:rFonts w:cstheme="minorHAnsi"/>
          <w:lang w:val="de-DE"/>
        </w:rPr>
      </w:pPr>
    </w:p>
    <w:p w14:paraId="2F9C84E7" w14:textId="77777777" w:rsidR="00C91B9B" w:rsidRPr="00F027E2" w:rsidRDefault="00C91B9B" w:rsidP="00C91B9B">
      <w:pPr>
        <w:rPr>
          <w:rFonts w:cstheme="minorHAnsi"/>
          <w:lang w:val="de-DE"/>
        </w:rPr>
      </w:pPr>
    </w:p>
    <w:p w14:paraId="738BB7C0" w14:textId="77777777" w:rsidR="00B37E16" w:rsidRPr="00F027E2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br w:type="page"/>
      </w:r>
    </w:p>
    <w:p w14:paraId="22A363D1" w14:textId="2CF9654C" w:rsidR="00C91B9B" w:rsidRPr="00282B46" w:rsidRDefault="00C91B9B" w:rsidP="00C91B9B">
      <w:pPr>
        <w:pStyle w:val="SingleTxtG"/>
        <w:rPr>
          <w:rFonts w:asciiTheme="majorBidi" w:hAnsiTheme="majorBidi" w:cstheme="majorBidi"/>
          <w:b/>
          <w:bCs/>
          <w:lang w:val="de-DE"/>
        </w:rPr>
      </w:pPr>
      <w:r w:rsidRPr="00F027E2">
        <w:rPr>
          <w:rFonts w:asciiTheme="majorBidi" w:hAnsiTheme="majorBidi" w:cstheme="majorBidi"/>
          <w:b/>
          <w:bCs/>
          <w:lang w:val="de-DE"/>
        </w:rPr>
        <w:lastRenderedPageBreak/>
        <w:t>1.</w:t>
      </w:r>
      <w:r w:rsidRPr="00F027E2">
        <w:rPr>
          <w:rFonts w:asciiTheme="majorBidi" w:hAnsiTheme="majorBidi" w:cstheme="majorBidi"/>
          <w:b/>
          <w:bCs/>
          <w:lang w:val="de-DE"/>
        </w:rPr>
        <w:tab/>
      </w:r>
      <w:r w:rsidR="00B37E16" w:rsidRPr="00F027E2">
        <w:rPr>
          <w:rFonts w:asciiTheme="majorBidi" w:hAnsiTheme="majorBidi" w:cstheme="majorBidi"/>
          <w:b/>
          <w:bCs/>
          <w:lang w:val="de-DE"/>
        </w:rPr>
        <w:t>Allgemeine Angaben zum gefährlichen Stoff</w:t>
      </w:r>
    </w:p>
    <w:p w14:paraId="713910DB" w14:textId="1BA99643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1.1</w:t>
      </w:r>
      <w:r w:rsidRPr="00F027E2">
        <w:rPr>
          <w:rFonts w:asciiTheme="majorBidi" w:hAnsiTheme="majorBidi" w:cstheme="majorBidi"/>
          <w:lang w:val="de-DE"/>
        </w:rPr>
        <w:tab/>
      </w:r>
      <w:r w:rsidR="00505137" w:rsidRPr="00F027E2">
        <w:rPr>
          <w:rFonts w:asciiTheme="majorBidi" w:hAnsiTheme="majorBidi" w:cstheme="majorBidi"/>
          <w:lang w:val="de-DE"/>
        </w:rPr>
        <w:t>Handelt es sich um</w:t>
      </w:r>
    </w:p>
    <w:p w14:paraId="354889C9" w14:textId="228A12EE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 xml:space="preserve">- </w:t>
      </w:r>
      <w:r w:rsidR="00505137" w:rsidRPr="00F027E2">
        <w:rPr>
          <w:rFonts w:asciiTheme="majorBidi" w:hAnsiTheme="majorBidi" w:cstheme="majorBidi"/>
          <w:lang w:val="de-DE"/>
        </w:rPr>
        <w:t xml:space="preserve">einen reinen Stoff </w:t>
      </w:r>
      <w:r w:rsidRPr="00F027E2">
        <w:rPr>
          <w:rFonts w:asciiTheme="majorBidi" w:hAnsiTheme="majorBidi" w:cstheme="majorBidi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bookmarkStart w:id="8" w:name="Selectievakje1"/>
      <w:r w:rsidRPr="00F027E2">
        <w:rPr>
          <w:rFonts w:asciiTheme="majorBidi" w:hAnsiTheme="majorBidi" w:cstheme="majorBidi"/>
          <w:lang w:val="de-DE"/>
        </w:rPr>
        <w:instrText xml:space="preserve"> FORMCHECKBOX </w:instrText>
      </w:r>
      <w:r w:rsidR="00923BE9">
        <w:rPr>
          <w:rFonts w:asciiTheme="majorBidi" w:hAnsiTheme="majorBidi" w:cstheme="majorBidi"/>
        </w:rPr>
      </w:r>
      <w:r w:rsidR="00923BE9">
        <w:rPr>
          <w:rFonts w:asciiTheme="majorBidi" w:hAnsiTheme="majorBidi" w:cstheme="majorBidi"/>
        </w:rPr>
        <w:fldChar w:fldCharType="separate"/>
      </w:r>
      <w:r w:rsidRPr="00F027E2">
        <w:rPr>
          <w:rFonts w:asciiTheme="majorBidi" w:hAnsiTheme="majorBidi" w:cstheme="majorBidi"/>
        </w:rPr>
        <w:fldChar w:fldCharType="end"/>
      </w:r>
      <w:bookmarkEnd w:id="8"/>
      <w:r w:rsidRPr="00F027E2">
        <w:rPr>
          <w:rFonts w:asciiTheme="majorBidi" w:hAnsiTheme="majorBidi" w:cstheme="majorBidi"/>
          <w:lang w:val="de-DE"/>
        </w:rPr>
        <w:t>,</w:t>
      </w:r>
    </w:p>
    <w:p w14:paraId="3ADAB0F9" w14:textId="0440CECF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 xml:space="preserve">- </w:t>
      </w:r>
      <w:r w:rsidR="00505137" w:rsidRPr="00F027E2">
        <w:rPr>
          <w:rFonts w:asciiTheme="majorBidi" w:hAnsiTheme="majorBidi" w:cstheme="majorBidi"/>
          <w:lang w:val="de-DE"/>
        </w:rPr>
        <w:t xml:space="preserve">ein Gemisch </w:t>
      </w:r>
      <w:r w:rsidRPr="00F027E2">
        <w:rPr>
          <w:rFonts w:asciiTheme="majorBidi" w:hAnsiTheme="majorBidi" w:cstheme="majorBid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rFonts w:asciiTheme="majorBidi" w:hAnsiTheme="majorBidi" w:cstheme="majorBidi"/>
          <w:lang w:val="de-DE"/>
        </w:rPr>
        <w:instrText xml:space="preserve"> FORMCHECKBOX </w:instrText>
      </w:r>
      <w:r w:rsidR="00923BE9">
        <w:rPr>
          <w:rFonts w:asciiTheme="majorBidi" w:hAnsiTheme="majorBidi" w:cstheme="majorBidi"/>
        </w:rPr>
      </w:r>
      <w:r w:rsidR="00923BE9">
        <w:rPr>
          <w:rFonts w:asciiTheme="majorBidi" w:hAnsiTheme="majorBidi" w:cstheme="majorBidi"/>
        </w:rPr>
        <w:fldChar w:fldCharType="separate"/>
      </w:r>
      <w:r w:rsidRPr="00F027E2">
        <w:rPr>
          <w:rFonts w:asciiTheme="majorBidi" w:hAnsiTheme="majorBidi" w:cstheme="majorBidi"/>
        </w:rPr>
        <w:fldChar w:fldCharType="end"/>
      </w:r>
      <w:r w:rsidRPr="00F027E2">
        <w:rPr>
          <w:rFonts w:asciiTheme="majorBidi" w:hAnsiTheme="majorBidi" w:cstheme="majorBidi"/>
          <w:lang w:val="de-DE"/>
        </w:rPr>
        <w:t>,</w:t>
      </w:r>
    </w:p>
    <w:p w14:paraId="72C408D6" w14:textId="064ACA19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 xml:space="preserve">- </w:t>
      </w:r>
      <w:r w:rsidR="00505137" w:rsidRPr="00F027E2">
        <w:rPr>
          <w:rFonts w:asciiTheme="majorBidi" w:hAnsiTheme="majorBidi" w:cstheme="majorBidi"/>
          <w:lang w:val="de-DE"/>
        </w:rPr>
        <w:t>eine Lösung</w:t>
      </w:r>
      <w:r w:rsidRPr="00F027E2">
        <w:rPr>
          <w:rFonts w:asciiTheme="majorBidi" w:hAnsiTheme="majorBidi" w:cstheme="majorBidi"/>
          <w:lang w:val="de-DE"/>
        </w:rPr>
        <w:t xml:space="preserve"> </w:t>
      </w:r>
      <w:r w:rsidRPr="00F027E2">
        <w:rPr>
          <w:rFonts w:asciiTheme="majorBidi" w:hAnsiTheme="majorBidi" w:cstheme="majorBid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rFonts w:asciiTheme="majorBidi" w:hAnsiTheme="majorBidi" w:cstheme="majorBidi"/>
          <w:lang w:val="de-DE"/>
        </w:rPr>
        <w:instrText xml:space="preserve"> FORMCHECKBOX </w:instrText>
      </w:r>
      <w:r w:rsidR="00923BE9">
        <w:rPr>
          <w:rFonts w:asciiTheme="majorBidi" w:hAnsiTheme="majorBidi" w:cstheme="majorBidi"/>
        </w:rPr>
      </w:r>
      <w:r w:rsidR="00923BE9">
        <w:rPr>
          <w:rFonts w:asciiTheme="majorBidi" w:hAnsiTheme="majorBidi" w:cstheme="majorBidi"/>
        </w:rPr>
        <w:fldChar w:fldCharType="separate"/>
      </w:r>
      <w:r w:rsidRPr="00F027E2">
        <w:rPr>
          <w:rFonts w:asciiTheme="majorBidi" w:hAnsiTheme="majorBidi" w:cstheme="majorBidi"/>
        </w:rPr>
        <w:fldChar w:fldCharType="end"/>
      </w:r>
      <w:r w:rsidRPr="00F027E2">
        <w:rPr>
          <w:rFonts w:asciiTheme="majorBidi" w:hAnsiTheme="majorBidi" w:cstheme="majorBidi"/>
          <w:lang w:val="de-DE"/>
        </w:rPr>
        <w:t xml:space="preserve"> ?</w:t>
      </w:r>
    </w:p>
    <w:p w14:paraId="6593E56A" w14:textId="63A38EEE" w:rsidR="00C91B9B" w:rsidRPr="00F027E2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1.2</w:t>
      </w:r>
      <w:r w:rsidRPr="00F027E2">
        <w:rPr>
          <w:rFonts w:asciiTheme="majorBidi" w:hAnsiTheme="majorBidi" w:cstheme="majorBidi"/>
          <w:lang w:val="de-DE"/>
        </w:rPr>
        <w:tab/>
      </w:r>
      <w:r w:rsidR="00505137" w:rsidRPr="00F027E2">
        <w:rPr>
          <w:rFonts w:asciiTheme="majorBidi" w:hAnsiTheme="majorBidi" w:cstheme="majorBidi"/>
          <w:lang w:val="de-DE"/>
        </w:rPr>
        <w:t>Technische Benennung (möglichst ADN- oder gegebenenfalls IBC Code-Nomenklatur).</w:t>
      </w:r>
      <w:r w:rsidRPr="00282B46">
        <w:rPr>
          <w:rStyle w:val="FootnoteReference"/>
          <w:sz w:val="20"/>
        </w:rPr>
        <w:footnoteReference w:id="4"/>
      </w:r>
    </w:p>
    <w:p w14:paraId="75D4EE18" w14:textId="7E4BDDDF" w:rsidR="00C91B9B" w:rsidRPr="00282B46" w:rsidRDefault="00C91B9B" w:rsidP="00C91B9B">
      <w:pPr>
        <w:pStyle w:val="SingleTxtG"/>
        <w:rPr>
          <w:rFonts w:asciiTheme="majorBidi" w:hAnsiTheme="majorBidi" w:cstheme="majorBidi"/>
          <w:b/>
          <w:lang w:val="de-DE"/>
        </w:rPr>
      </w:pPr>
      <w:r w:rsidRPr="00F027E2">
        <w:rPr>
          <w:rFonts w:asciiTheme="majorBidi" w:hAnsiTheme="majorBidi" w:cstheme="majorBidi"/>
          <w:b/>
          <w:lang w:val="de-DE"/>
        </w:rPr>
        <w:tab/>
      </w:r>
      <w:r w:rsidR="001D6316" w:rsidRPr="00F027E2">
        <w:rPr>
          <w:rFonts w:asciiTheme="majorBidi" w:hAnsiTheme="majorBidi" w:cstheme="majorBidi"/>
          <w:b/>
          <w:lang w:val="de-DE"/>
        </w:rPr>
        <w:t xml:space="preserve">STICKSTOFF, TIEFGEKÜHLT, FLÜSSIG </w:t>
      </w:r>
      <w:r w:rsidRPr="00F027E2">
        <w:rPr>
          <w:rFonts w:asciiTheme="majorBidi" w:hAnsiTheme="majorBidi" w:cstheme="majorBidi"/>
          <w:b/>
          <w:lang w:val="de-DE"/>
        </w:rPr>
        <w:t xml:space="preserve">UN 1977 </w:t>
      </w:r>
      <w:r w:rsidR="001D6316" w:rsidRPr="00F027E2">
        <w:rPr>
          <w:rFonts w:asciiTheme="majorBidi" w:hAnsiTheme="majorBidi" w:cstheme="majorBidi"/>
          <w:b/>
          <w:lang w:val="de-DE"/>
        </w:rPr>
        <w:t>Klasse</w:t>
      </w:r>
      <w:r w:rsidRPr="00F027E2">
        <w:rPr>
          <w:rFonts w:asciiTheme="majorBidi" w:hAnsiTheme="majorBidi" w:cstheme="majorBidi"/>
          <w:b/>
          <w:lang w:val="de-DE"/>
        </w:rPr>
        <w:t xml:space="preserve"> 2.3A</w:t>
      </w:r>
    </w:p>
    <w:p w14:paraId="04BEFFB7" w14:textId="77777777" w:rsidR="00C91B9B" w:rsidRPr="00282B46" w:rsidRDefault="00C91B9B" w:rsidP="00C91B9B">
      <w:pPr>
        <w:pStyle w:val="SingleTxtG"/>
        <w:rPr>
          <w:rFonts w:asciiTheme="majorBidi" w:hAnsiTheme="majorBidi" w:cstheme="majorBidi"/>
          <w:b/>
          <w:lang w:val="de-DE"/>
        </w:rPr>
      </w:pPr>
      <w:r w:rsidRPr="00A57296">
        <w:rPr>
          <w:rFonts w:asciiTheme="majorBidi" w:hAnsiTheme="majorBidi" w:cstheme="majorBidi"/>
          <w:lang w:val="de-DE"/>
        </w:rPr>
        <w:t>1.3</w:t>
      </w:r>
      <w:r w:rsidRPr="00A57296">
        <w:rPr>
          <w:rFonts w:asciiTheme="majorBidi" w:hAnsiTheme="majorBidi" w:cstheme="majorBidi"/>
          <w:lang w:val="de-DE"/>
        </w:rPr>
        <w:tab/>
        <w:t xml:space="preserve">Synonym: </w:t>
      </w:r>
      <w:r w:rsidRPr="00A57296">
        <w:rPr>
          <w:rFonts w:asciiTheme="majorBidi" w:hAnsiTheme="majorBidi" w:cstheme="majorBidi"/>
          <w:b/>
          <w:lang w:val="de-DE"/>
        </w:rPr>
        <w:t>LIN, LN2</w:t>
      </w:r>
    </w:p>
    <w:p w14:paraId="2E64BFA9" w14:textId="608DA65D" w:rsidR="00C91B9B" w:rsidRPr="00A5729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A57296">
        <w:rPr>
          <w:rFonts w:asciiTheme="majorBidi" w:hAnsiTheme="majorBidi" w:cstheme="majorBidi"/>
          <w:lang w:val="de-DE"/>
        </w:rPr>
        <w:t>1.4</w:t>
      </w:r>
      <w:r w:rsidRPr="00A57296">
        <w:rPr>
          <w:rFonts w:asciiTheme="majorBidi" w:hAnsiTheme="majorBidi" w:cstheme="majorBidi"/>
          <w:lang w:val="de-DE"/>
        </w:rPr>
        <w:tab/>
      </w:r>
      <w:r w:rsidR="001D6316" w:rsidRPr="00A57296">
        <w:rPr>
          <w:rFonts w:asciiTheme="majorBidi" w:hAnsiTheme="majorBidi" w:cstheme="majorBidi"/>
          <w:lang w:val="de-DE"/>
        </w:rPr>
        <w:t>Handelsname</w:t>
      </w:r>
      <w:r w:rsidRPr="00A57296">
        <w:rPr>
          <w:rFonts w:asciiTheme="majorBidi" w:hAnsiTheme="majorBidi" w:cstheme="majorBidi"/>
          <w:lang w:val="de-DE"/>
        </w:rPr>
        <w:t xml:space="preserve">: </w:t>
      </w:r>
      <w:r w:rsidR="005E5DF5" w:rsidRPr="00A57296">
        <w:rPr>
          <w:rFonts w:asciiTheme="majorBidi" w:hAnsiTheme="majorBidi" w:cstheme="majorBidi"/>
          <w:highlight w:val="darkGray"/>
          <w:lang w:val="de-DE"/>
        </w:rPr>
        <w:t>Füssigstickstoff</w:t>
      </w:r>
    </w:p>
    <w:p w14:paraId="6A19885D" w14:textId="42251E06" w:rsidR="00C91B9B" w:rsidRPr="00A5729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A57296">
        <w:rPr>
          <w:rFonts w:asciiTheme="majorBidi" w:hAnsiTheme="majorBidi" w:cstheme="majorBidi"/>
          <w:lang w:val="de-DE"/>
        </w:rPr>
        <w:t>1.5</w:t>
      </w:r>
      <w:r w:rsidRPr="00A57296">
        <w:rPr>
          <w:rFonts w:asciiTheme="majorBidi" w:hAnsiTheme="majorBidi" w:cstheme="majorBidi"/>
          <w:lang w:val="de-DE"/>
        </w:rPr>
        <w:tab/>
      </w:r>
      <w:r w:rsidR="001D6316" w:rsidRPr="00A57296">
        <w:rPr>
          <w:rFonts w:asciiTheme="majorBidi" w:hAnsiTheme="majorBidi" w:cstheme="majorBidi"/>
          <w:lang w:val="de-DE"/>
        </w:rPr>
        <w:t>Strukturformel und bei Gemischen die Zusammensetzung und/oder Konzentration</w:t>
      </w:r>
      <w:r w:rsidRPr="00A57296">
        <w:rPr>
          <w:rFonts w:asciiTheme="majorBidi" w:hAnsiTheme="majorBidi" w:cstheme="majorBidi"/>
          <w:lang w:val="de-DE"/>
        </w:rPr>
        <w:t>:</w:t>
      </w:r>
    </w:p>
    <w:p w14:paraId="70914D0C" w14:textId="58542DC3" w:rsidR="00C91B9B" w:rsidRPr="00986D27" w:rsidRDefault="00C91B9B" w:rsidP="002775E7">
      <w:pPr>
        <w:pStyle w:val="SingleTxtG"/>
        <w:rPr>
          <w:rFonts w:asciiTheme="majorBidi" w:hAnsiTheme="majorBidi" w:cstheme="majorBidi"/>
          <w:lang w:val="de-DE"/>
        </w:rPr>
      </w:pPr>
      <w:r w:rsidRPr="00A57296">
        <w:rPr>
          <w:rFonts w:asciiTheme="majorBidi" w:hAnsiTheme="majorBidi" w:cstheme="majorBidi"/>
          <w:lang w:val="de-DE"/>
        </w:rPr>
        <w:tab/>
      </w:r>
      <w:r w:rsidR="002775E7" w:rsidRPr="00A57296">
        <w:rPr>
          <w:rFonts w:asciiTheme="majorBidi" w:hAnsiTheme="majorBidi" w:cstheme="majorBidi"/>
          <w:highlight w:val="darkGray"/>
          <w:lang w:val="de-DE"/>
        </w:rPr>
        <w:t>N2, Inertgas und tiefkalte Flüssigkeit</w:t>
      </w:r>
    </w:p>
    <w:p w14:paraId="1145A977" w14:textId="04924B8F" w:rsidR="00C91B9B" w:rsidRPr="00282B46" w:rsidRDefault="00C91B9B" w:rsidP="002775E7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1.6</w:t>
      </w:r>
      <w:r w:rsidRPr="00F027E2">
        <w:rPr>
          <w:rFonts w:asciiTheme="majorBidi" w:hAnsiTheme="majorBidi" w:cstheme="majorBidi"/>
          <w:lang w:val="de-DE"/>
        </w:rPr>
        <w:tab/>
      </w:r>
      <w:r w:rsidR="00ED5605" w:rsidRPr="002775E7">
        <w:rPr>
          <w:rFonts w:asciiTheme="majorBidi" w:hAnsiTheme="majorBidi" w:cstheme="majorBidi"/>
          <w:lang w:val="de-DE"/>
        </w:rPr>
        <w:t>Gefahrenklasse und gegebenenfalls Klassifizierungscode, Verpackungsgruppe</w:t>
      </w:r>
      <w:r w:rsidRPr="002775E7">
        <w:rPr>
          <w:rFonts w:asciiTheme="majorBidi" w:hAnsiTheme="majorBidi" w:cstheme="majorBidi"/>
          <w:lang w:val="de-DE"/>
        </w:rPr>
        <w:t>:</w:t>
      </w:r>
    </w:p>
    <w:p w14:paraId="3883077B" w14:textId="77777777" w:rsidR="00C91B9B" w:rsidRPr="00A85434" w:rsidRDefault="00C91B9B" w:rsidP="00C91B9B">
      <w:pPr>
        <w:pStyle w:val="SingleTxtG"/>
        <w:rPr>
          <w:rFonts w:asciiTheme="majorBidi" w:hAnsiTheme="majorBidi" w:cstheme="majorBidi"/>
          <w:b/>
          <w:lang w:val="de-DE"/>
        </w:rPr>
      </w:pPr>
      <w:r w:rsidRPr="00F027E2">
        <w:rPr>
          <w:rFonts w:asciiTheme="majorBidi" w:hAnsiTheme="majorBidi" w:cstheme="majorBidi"/>
          <w:b/>
          <w:lang w:val="de-DE"/>
        </w:rPr>
        <w:tab/>
      </w:r>
      <w:r w:rsidRPr="00A85434">
        <w:rPr>
          <w:rFonts w:asciiTheme="majorBidi" w:hAnsiTheme="majorBidi" w:cstheme="majorBidi"/>
          <w:b/>
          <w:lang w:val="de-DE"/>
        </w:rPr>
        <w:t>2.2</w:t>
      </w:r>
    </w:p>
    <w:p w14:paraId="15C2DDF1" w14:textId="6AE21AD9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1.7</w:t>
      </w:r>
      <w:r w:rsidRPr="00F027E2">
        <w:rPr>
          <w:rFonts w:asciiTheme="majorBidi" w:hAnsiTheme="majorBidi" w:cstheme="majorBidi"/>
          <w:lang w:val="de-DE"/>
        </w:rPr>
        <w:tab/>
      </w:r>
      <w:r w:rsidR="00ED5605" w:rsidRPr="00F027E2">
        <w:rPr>
          <w:rFonts w:asciiTheme="majorBidi" w:hAnsiTheme="majorBidi" w:cstheme="majorBidi"/>
          <w:lang w:val="de-DE"/>
        </w:rPr>
        <w:t>UN-Nummer oder Stoffnummer (soweit bekannt)</w:t>
      </w:r>
      <w:r w:rsidRPr="00F027E2">
        <w:rPr>
          <w:rFonts w:asciiTheme="majorBidi" w:hAnsiTheme="majorBidi" w:cstheme="majorBidi"/>
          <w:lang w:val="de-DE"/>
        </w:rPr>
        <w:t>:</w:t>
      </w:r>
    </w:p>
    <w:p w14:paraId="6FC91B5F" w14:textId="77777777" w:rsidR="00C91B9B" w:rsidRPr="00A85434" w:rsidRDefault="00C91B9B" w:rsidP="00C91B9B">
      <w:pPr>
        <w:pStyle w:val="SingleTxtG"/>
        <w:rPr>
          <w:rFonts w:asciiTheme="majorBidi" w:hAnsiTheme="majorBidi" w:cstheme="majorBidi"/>
          <w:b/>
          <w:bCs/>
          <w:lang w:val="de-DE"/>
        </w:rPr>
      </w:pPr>
      <w:r w:rsidRPr="00F027E2">
        <w:rPr>
          <w:rFonts w:asciiTheme="majorBidi" w:hAnsiTheme="majorBidi" w:cstheme="majorBidi"/>
          <w:b/>
          <w:bCs/>
          <w:lang w:val="de-DE"/>
        </w:rPr>
        <w:tab/>
      </w:r>
      <w:r w:rsidRPr="00A85434">
        <w:rPr>
          <w:rFonts w:asciiTheme="majorBidi" w:hAnsiTheme="majorBidi" w:cstheme="majorBidi"/>
          <w:b/>
          <w:bCs/>
          <w:lang w:val="de-DE"/>
        </w:rPr>
        <w:t>1977</w:t>
      </w:r>
    </w:p>
    <w:p w14:paraId="112C0DE4" w14:textId="77BD7940" w:rsidR="00C91B9B" w:rsidRPr="00282B46" w:rsidRDefault="00C91B9B" w:rsidP="00C91B9B">
      <w:pPr>
        <w:pStyle w:val="SingleTxtG"/>
        <w:rPr>
          <w:rFonts w:asciiTheme="majorBidi" w:hAnsiTheme="majorBidi" w:cstheme="majorBidi"/>
          <w:b/>
          <w:bCs/>
          <w:lang w:val="de-DE"/>
        </w:rPr>
      </w:pPr>
      <w:r w:rsidRPr="00F027E2">
        <w:rPr>
          <w:rFonts w:asciiTheme="majorBidi" w:hAnsiTheme="majorBidi" w:cstheme="majorBidi"/>
          <w:b/>
          <w:bCs/>
          <w:lang w:val="de-DE"/>
        </w:rPr>
        <w:t>2.</w:t>
      </w:r>
      <w:r w:rsidRPr="00F027E2">
        <w:rPr>
          <w:rFonts w:asciiTheme="majorBidi" w:hAnsiTheme="majorBidi" w:cstheme="majorBidi"/>
          <w:b/>
          <w:bCs/>
          <w:lang w:val="de-DE"/>
        </w:rPr>
        <w:tab/>
      </w:r>
      <w:r w:rsidR="00ED5605" w:rsidRPr="00F027E2">
        <w:rPr>
          <w:rFonts w:asciiTheme="majorBidi" w:hAnsiTheme="majorBidi" w:cstheme="majorBidi"/>
          <w:b/>
          <w:bCs/>
          <w:lang w:val="de-DE"/>
        </w:rPr>
        <w:t>Physikalisch-chemische Eigenschaften</w:t>
      </w:r>
    </w:p>
    <w:p w14:paraId="621D9966" w14:textId="407AB628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2.1</w:t>
      </w:r>
      <w:r w:rsidRPr="00F027E2">
        <w:rPr>
          <w:rFonts w:asciiTheme="majorBidi" w:hAnsiTheme="majorBidi" w:cstheme="majorBidi"/>
          <w:lang w:val="de-DE"/>
        </w:rPr>
        <w:tab/>
      </w:r>
      <w:r w:rsidR="00ED5605" w:rsidRPr="00F027E2">
        <w:rPr>
          <w:rFonts w:asciiTheme="majorBidi" w:hAnsiTheme="majorBidi" w:cstheme="majorBidi"/>
          <w:lang w:val="de-DE"/>
        </w:rPr>
        <w:t>Zustand während der Beförderung (z.</w:t>
      </w:r>
      <w:r w:rsidR="00ED5605" w:rsidRPr="00282B46">
        <w:rPr>
          <w:rFonts w:asciiTheme="majorBidi" w:hAnsiTheme="majorBidi" w:cstheme="majorBidi"/>
          <w:lang w:val="de-DE"/>
        </w:rPr>
        <w:t xml:space="preserve"> </w:t>
      </w:r>
      <w:r w:rsidR="00ED5605" w:rsidRPr="00F027E2">
        <w:rPr>
          <w:rFonts w:asciiTheme="majorBidi" w:hAnsiTheme="majorBidi" w:cstheme="majorBidi"/>
          <w:lang w:val="de-DE"/>
        </w:rPr>
        <w:t>B.</w:t>
      </w:r>
      <w:r w:rsidR="00ED5605" w:rsidRPr="00282B46">
        <w:rPr>
          <w:rFonts w:asciiTheme="majorBidi" w:hAnsiTheme="majorBidi" w:cstheme="majorBidi"/>
          <w:lang w:val="de-DE"/>
        </w:rPr>
        <w:t xml:space="preserve"> </w:t>
      </w:r>
      <w:r w:rsidR="00ED5605" w:rsidRPr="00F027E2">
        <w:rPr>
          <w:rFonts w:asciiTheme="majorBidi" w:hAnsiTheme="majorBidi" w:cstheme="majorBidi"/>
          <w:lang w:val="de-DE"/>
        </w:rPr>
        <w:t>gasförmig, flüssig, geschmolzen, ...)</w:t>
      </w:r>
      <w:r w:rsidRPr="00F027E2">
        <w:rPr>
          <w:rFonts w:asciiTheme="majorBidi" w:hAnsiTheme="majorBidi" w:cstheme="majorBidi"/>
          <w:lang w:val="de-DE"/>
        </w:rPr>
        <w:t>:</w:t>
      </w:r>
      <w:r w:rsidRPr="00282B46">
        <w:rPr>
          <w:rFonts w:asciiTheme="majorBidi" w:hAnsiTheme="majorBidi" w:cstheme="majorBidi"/>
          <w:lang w:val="de-DE"/>
        </w:rPr>
        <w:t xml:space="preserve"> </w:t>
      </w:r>
      <w:r w:rsidR="00ED5605" w:rsidRPr="00F027E2">
        <w:rPr>
          <w:rFonts w:asciiTheme="majorBidi" w:hAnsiTheme="majorBidi" w:cstheme="majorBidi"/>
          <w:b/>
          <w:lang w:val="de-DE"/>
        </w:rPr>
        <w:t>flüssig</w:t>
      </w:r>
    </w:p>
    <w:p w14:paraId="2492D963" w14:textId="16F8A2C5" w:rsidR="00C91B9B" w:rsidRPr="00F027E2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2.2</w:t>
      </w:r>
      <w:r w:rsidRPr="00F027E2">
        <w:rPr>
          <w:rFonts w:asciiTheme="majorBidi" w:hAnsiTheme="majorBidi" w:cstheme="majorBidi"/>
          <w:lang w:val="de-DE"/>
        </w:rPr>
        <w:tab/>
      </w:r>
      <w:r w:rsidR="00ED5605" w:rsidRPr="00F027E2">
        <w:rPr>
          <w:rFonts w:asciiTheme="majorBidi" w:hAnsiTheme="majorBidi" w:cstheme="majorBidi"/>
          <w:lang w:val="de-DE"/>
        </w:rPr>
        <w:t>Relative Dichte der Flüssigkeit bei 20 ºC oder bei der Beförderungstemperatur bei Stoffen, die in erwärmtem oder gekühltem Zustand befördert werden:</w:t>
      </w:r>
      <w:r w:rsidRPr="00282B46">
        <w:rPr>
          <w:rFonts w:asciiTheme="majorBidi" w:hAnsiTheme="majorBidi" w:cstheme="majorBidi"/>
          <w:lang w:val="de-DE"/>
        </w:rPr>
        <w:t xml:space="preserve"> </w:t>
      </w:r>
      <w:r w:rsidRPr="00F027E2">
        <w:rPr>
          <w:rFonts w:asciiTheme="majorBidi" w:hAnsiTheme="majorBidi" w:cstheme="majorBidi"/>
          <w:b/>
          <w:lang w:val="de-DE"/>
        </w:rPr>
        <w:t>0.8</w:t>
      </w:r>
    </w:p>
    <w:p w14:paraId="30AA840E" w14:textId="7451C897" w:rsidR="00C91B9B" w:rsidRPr="00282B46" w:rsidRDefault="00C91B9B" w:rsidP="00A57296">
      <w:pPr>
        <w:pStyle w:val="SingleTxtG"/>
        <w:jc w:val="left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2.3</w:t>
      </w:r>
      <w:r w:rsidRPr="00F027E2">
        <w:rPr>
          <w:rFonts w:asciiTheme="majorBidi" w:hAnsiTheme="majorBidi" w:cstheme="majorBidi"/>
          <w:lang w:val="de-DE"/>
        </w:rPr>
        <w:tab/>
      </w:r>
      <w:r w:rsidR="00ED5605" w:rsidRPr="00F027E2">
        <w:rPr>
          <w:rFonts w:asciiTheme="majorBidi" w:hAnsiTheme="majorBidi" w:cstheme="majorBidi"/>
          <w:lang w:val="de-DE"/>
        </w:rPr>
        <w:t>Beförderungstemperatur (bei Stoffen, die in erwärmtem oder gekühltem Zustand befördert werden)</w:t>
      </w:r>
      <w:r w:rsidRPr="00F027E2">
        <w:rPr>
          <w:rFonts w:asciiTheme="majorBidi" w:hAnsiTheme="majorBidi" w:cstheme="majorBidi"/>
          <w:lang w:val="de-DE"/>
        </w:rPr>
        <w:t>:</w:t>
      </w:r>
      <w:r w:rsidR="00A57296">
        <w:rPr>
          <w:rFonts w:asciiTheme="majorBidi" w:hAnsiTheme="majorBidi" w:cstheme="majorBidi"/>
          <w:lang w:val="de-DE"/>
        </w:rPr>
        <w:br/>
      </w:r>
      <w:r w:rsidRPr="00F027E2">
        <w:rPr>
          <w:rFonts w:asciiTheme="majorBidi" w:hAnsiTheme="majorBidi" w:cstheme="majorBidi"/>
          <w:b/>
          <w:lang w:val="de-DE"/>
        </w:rPr>
        <w:t>-196 °C</w:t>
      </w:r>
    </w:p>
    <w:p w14:paraId="1898E5CE" w14:textId="365534C6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2.4</w:t>
      </w:r>
      <w:r w:rsidRPr="00F027E2">
        <w:rPr>
          <w:rFonts w:asciiTheme="majorBidi" w:hAnsiTheme="majorBidi" w:cstheme="majorBidi"/>
          <w:lang w:val="de-DE"/>
        </w:rPr>
        <w:tab/>
      </w:r>
      <w:r w:rsidR="00ED5605" w:rsidRPr="00F027E2">
        <w:rPr>
          <w:rFonts w:asciiTheme="majorBidi" w:hAnsiTheme="majorBidi" w:cstheme="majorBidi"/>
          <w:lang w:val="de-DE"/>
        </w:rPr>
        <w:t>Schmelzpunkt oder Schmelzbereich</w:t>
      </w:r>
      <w:r w:rsidRPr="00F027E2">
        <w:rPr>
          <w:rFonts w:asciiTheme="majorBidi" w:hAnsiTheme="majorBidi" w:cstheme="majorBidi"/>
          <w:lang w:val="de-DE"/>
        </w:rPr>
        <w:t>:</w:t>
      </w:r>
      <w:r w:rsidRPr="00282B46">
        <w:rPr>
          <w:rFonts w:asciiTheme="majorBidi" w:hAnsiTheme="majorBidi" w:cstheme="majorBidi"/>
          <w:lang w:val="de-DE"/>
        </w:rPr>
        <w:t xml:space="preserve"> </w:t>
      </w:r>
      <w:r w:rsidRPr="00F027E2">
        <w:rPr>
          <w:rFonts w:asciiTheme="majorBidi" w:hAnsiTheme="majorBidi" w:cstheme="majorBidi"/>
          <w:lang w:val="de-DE"/>
        </w:rPr>
        <w:tab/>
      </w:r>
      <w:r w:rsidRPr="00F027E2">
        <w:rPr>
          <w:rFonts w:asciiTheme="majorBidi" w:hAnsiTheme="majorBidi" w:cstheme="majorBidi"/>
          <w:b/>
          <w:lang w:val="de-DE"/>
        </w:rPr>
        <w:t>-210 °C.</w:t>
      </w:r>
    </w:p>
    <w:p w14:paraId="3CB4C5B6" w14:textId="7F966D0E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A85434">
        <w:rPr>
          <w:rFonts w:asciiTheme="majorBidi" w:hAnsiTheme="majorBidi" w:cstheme="majorBidi"/>
          <w:lang w:val="de-DE"/>
        </w:rPr>
        <w:t>2.5</w:t>
      </w:r>
      <w:r w:rsidRPr="00A85434">
        <w:rPr>
          <w:rFonts w:asciiTheme="majorBidi" w:hAnsiTheme="majorBidi" w:cstheme="majorBidi"/>
          <w:lang w:val="de-DE"/>
        </w:rPr>
        <w:tab/>
      </w:r>
      <w:r w:rsidR="00ED5605" w:rsidRPr="00A85434">
        <w:rPr>
          <w:rFonts w:asciiTheme="majorBidi" w:hAnsiTheme="majorBidi" w:cstheme="majorBidi"/>
          <w:lang w:val="de-DE"/>
        </w:rPr>
        <w:t>Siedepunkt oder Siedebereich</w:t>
      </w:r>
      <w:r w:rsidRPr="00A85434">
        <w:rPr>
          <w:rFonts w:asciiTheme="majorBidi" w:hAnsiTheme="majorBidi" w:cstheme="majorBidi"/>
          <w:lang w:val="de-DE"/>
        </w:rPr>
        <w:t>:</w:t>
      </w:r>
      <w:r w:rsidRPr="00282B46">
        <w:rPr>
          <w:rFonts w:asciiTheme="majorBidi" w:hAnsiTheme="majorBidi" w:cstheme="majorBidi"/>
          <w:lang w:val="de-DE"/>
        </w:rPr>
        <w:t xml:space="preserve"> </w:t>
      </w:r>
      <w:r w:rsidRPr="00A85434">
        <w:rPr>
          <w:rFonts w:asciiTheme="majorBidi" w:hAnsiTheme="majorBidi" w:cstheme="majorBidi"/>
          <w:b/>
          <w:lang w:val="de-DE"/>
        </w:rPr>
        <w:t>-195.8 °C.</w:t>
      </w:r>
    </w:p>
    <w:p w14:paraId="7E11A198" w14:textId="446299B6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A85434">
        <w:rPr>
          <w:rFonts w:asciiTheme="majorBidi" w:hAnsiTheme="majorBidi" w:cstheme="majorBidi"/>
          <w:lang w:val="de-DE"/>
        </w:rPr>
        <w:t>2.6</w:t>
      </w:r>
      <w:r w:rsidRPr="00A85434">
        <w:rPr>
          <w:rFonts w:asciiTheme="majorBidi" w:hAnsiTheme="majorBidi" w:cstheme="majorBidi"/>
          <w:lang w:val="de-DE"/>
        </w:rPr>
        <w:tab/>
      </w:r>
      <w:r w:rsidR="00ED5605" w:rsidRPr="00A85434">
        <w:rPr>
          <w:rFonts w:asciiTheme="majorBidi" w:hAnsiTheme="majorBidi" w:cstheme="majorBidi"/>
          <w:lang w:val="de-DE"/>
        </w:rPr>
        <w:t>Dampfdruck bei</w:t>
      </w:r>
      <w:r w:rsidR="00273438" w:rsidRPr="00A85434">
        <w:rPr>
          <w:rFonts w:asciiTheme="majorBidi" w:hAnsiTheme="majorBidi" w:cstheme="majorBidi"/>
          <w:lang w:val="de-DE"/>
        </w:rPr>
        <w:t>:</w:t>
      </w:r>
    </w:p>
    <w:tbl>
      <w:tblPr>
        <w:tblStyle w:val="TableGrid"/>
        <w:tblW w:w="0" w:type="auto"/>
        <w:tblInd w:w="127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2409"/>
      </w:tblGrid>
      <w:tr w:rsidR="00C91B9B" w:rsidRPr="00F027E2" w14:paraId="509ABEB0" w14:textId="77777777" w:rsidTr="00955D07">
        <w:trPr>
          <w:trHeight w:val="240"/>
        </w:trPr>
        <w:tc>
          <w:tcPr>
            <w:tcW w:w="4253" w:type="dxa"/>
          </w:tcPr>
          <w:p w14:paraId="05713331" w14:textId="77777777" w:rsidR="00C91B9B" w:rsidRPr="00282B46" w:rsidRDefault="00C91B9B" w:rsidP="00637B49">
            <w:pPr>
              <w:rPr>
                <w:rFonts w:asciiTheme="majorBidi" w:hAnsiTheme="majorBidi" w:cstheme="majorBidi"/>
              </w:rPr>
            </w:pPr>
            <w:r w:rsidRPr="00F027E2">
              <w:rPr>
                <w:rFonts w:asciiTheme="majorBidi" w:hAnsiTheme="majorBidi" w:cstheme="majorBidi"/>
              </w:rPr>
              <w:t>15 °C</w:t>
            </w:r>
          </w:p>
        </w:tc>
        <w:tc>
          <w:tcPr>
            <w:tcW w:w="2409" w:type="dxa"/>
          </w:tcPr>
          <w:p w14:paraId="62C592B9" w14:textId="79730C38" w:rsidR="00C91B9B" w:rsidRPr="00A57296" w:rsidRDefault="00955D07" w:rsidP="00955D07">
            <w:pPr>
              <w:rPr>
                <w:rFonts w:asciiTheme="majorBidi" w:hAnsiTheme="majorBidi" w:cstheme="majorBidi"/>
              </w:rPr>
            </w:pPr>
            <w:r w:rsidRPr="00A57296">
              <w:rPr>
                <w:rFonts w:asciiTheme="majorBidi" w:hAnsiTheme="majorBidi" w:cstheme="majorBidi"/>
                <w:b/>
                <w:bCs/>
                <w:lang w:val="de-DE"/>
              </w:rPr>
              <w:t xml:space="preserve">nicht </w:t>
            </w:r>
            <w:r w:rsidR="0028188D" w:rsidRPr="00A57296">
              <w:rPr>
                <w:rFonts w:asciiTheme="majorBidi" w:hAnsiTheme="majorBidi" w:cstheme="majorBidi"/>
                <w:b/>
                <w:bCs/>
                <w:lang w:val="de-DE"/>
              </w:rPr>
              <w:t>zutreffend</w:t>
            </w:r>
          </w:p>
        </w:tc>
      </w:tr>
      <w:tr w:rsidR="00C91B9B" w:rsidRPr="00F027E2" w14:paraId="7DA057E0" w14:textId="77777777" w:rsidTr="00955D07">
        <w:trPr>
          <w:trHeight w:val="240"/>
        </w:trPr>
        <w:tc>
          <w:tcPr>
            <w:tcW w:w="4253" w:type="dxa"/>
          </w:tcPr>
          <w:p w14:paraId="5B924CF6" w14:textId="77777777" w:rsidR="00C91B9B" w:rsidRPr="00282B46" w:rsidRDefault="00C91B9B" w:rsidP="00637B49">
            <w:pPr>
              <w:rPr>
                <w:rFonts w:asciiTheme="majorBidi" w:hAnsiTheme="majorBidi" w:cstheme="majorBidi"/>
              </w:rPr>
            </w:pPr>
            <w:r w:rsidRPr="00F027E2">
              <w:rPr>
                <w:rFonts w:asciiTheme="majorBidi" w:hAnsiTheme="majorBidi" w:cstheme="majorBidi"/>
              </w:rPr>
              <w:t>20 °C</w:t>
            </w:r>
          </w:p>
        </w:tc>
        <w:tc>
          <w:tcPr>
            <w:tcW w:w="2409" w:type="dxa"/>
          </w:tcPr>
          <w:p w14:paraId="169F7035" w14:textId="5C029078" w:rsidR="00C91B9B" w:rsidRPr="00A57296" w:rsidRDefault="00A57296" w:rsidP="00955D07">
            <w:pPr>
              <w:rPr>
                <w:rFonts w:asciiTheme="majorBidi" w:hAnsiTheme="majorBidi" w:cstheme="majorBidi"/>
              </w:rPr>
            </w:pPr>
            <w:r w:rsidRPr="00A57296">
              <w:rPr>
                <w:rFonts w:asciiTheme="majorBidi" w:hAnsiTheme="majorBidi" w:cstheme="majorBidi"/>
                <w:b/>
                <w:bCs/>
                <w:lang w:val="de-DE"/>
              </w:rPr>
              <w:t>nicht zutreffend</w:t>
            </w:r>
          </w:p>
        </w:tc>
      </w:tr>
      <w:tr w:rsidR="00C91B9B" w:rsidRPr="00F027E2" w14:paraId="312723C5" w14:textId="77777777" w:rsidTr="00955D07">
        <w:trPr>
          <w:trHeight w:val="240"/>
        </w:trPr>
        <w:tc>
          <w:tcPr>
            <w:tcW w:w="4253" w:type="dxa"/>
          </w:tcPr>
          <w:p w14:paraId="0B58162D" w14:textId="77777777" w:rsidR="00C91B9B" w:rsidRPr="00282B46" w:rsidRDefault="00C91B9B" w:rsidP="00637B49">
            <w:pPr>
              <w:rPr>
                <w:rFonts w:asciiTheme="majorBidi" w:hAnsiTheme="majorBidi" w:cstheme="majorBidi"/>
              </w:rPr>
            </w:pPr>
            <w:r w:rsidRPr="00F027E2">
              <w:rPr>
                <w:rFonts w:asciiTheme="majorBidi" w:hAnsiTheme="majorBidi" w:cstheme="majorBidi"/>
              </w:rPr>
              <w:t>30 °C</w:t>
            </w:r>
          </w:p>
        </w:tc>
        <w:tc>
          <w:tcPr>
            <w:tcW w:w="2409" w:type="dxa"/>
          </w:tcPr>
          <w:p w14:paraId="4D57821B" w14:textId="39E7CEA4" w:rsidR="00C91B9B" w:rsidRPr="00A57296" w:rsidRDefault="00955D07" w:rsidP="00955D07">
            <w:pPr>
              <w:rPr>
                <w:rFonts w:asciiTheme="majorBidi" w:hAnsiTheme="majorBidi" w:cstheme="majorBidi"/>
              </w:rPr>
            </w:pPr>
            <w:r w:rsidRPr="00A57296">
              <w:rPr>
                <w:rFonts w:asciiTheme="majorBidi" w:hAnsiTheme="majorBidi" w:cstheme="majorBidi"/>
                <w:b/>
                <w:bCs/>
                <w:lang w:val="de-DE"/>
              </w:rPr>
              <w:t xml:space="preserve">nicht </w:t>
            </w:r>
            <w:r w:rsidR="0028188D" w:rsidRPr="00A57296">
              <w:rPr>
                <w:rFonts w:asciiTheme="majorBidi" w:hAnsiTheme="majorBidi" w:cstheme="majorBidi"/>
                <w:b/>
                <w:bCs/>
                <w:lang w:val="de-DE"/>
              </w:rPr>
              <w:t>zutreffend</w:t>
            </w:r>
          </w:p>
        </w:tc>
      </w:tr>
      <w:tr w:rsidR="00C91B9B" w:rsidRPr="00F027E2" w14:paraId="6FE1C4FE" w14:textId="77777777" w:rsidTr="00955D07">
        <w:trPr>
          <w:trHeight w:val="240"/>
        </w:trPr>
        <w:tc>
          <w:tcPr>
            <w:tcW w:w="4253" w:type="dxa"/>
          </w:tcPr>
          <w:p w14:paraId="45940DDD" w14:textId="77777777" w:rsidR="00C91B9B" w:rsidRPr="00282B46" w:rsidRDefault="00C91B9B" w:rsidP="00637B49">
            <w:pPr>
              <w:rPr>
                <w:rFonts w:asciiTheme="majorBidi" w:hAnsiTheme="majorBidi" w:cstheme="majorBidi"/>
              </w:rPr>
            </w:pPr>
            <w:r w:rsidRPr="00F027E2">
              <w:rPr>
                <w:rFonts w:asciiTheme="majorBidi" w:hAnsiTheme="majorBidi" w:cstheme="majorBidi"/>
              </w:rPr>
              <w:t>37.8 °C</w:t>
            </w:r>
          </w:p>
        </w:tc>
        <w:tc>
          <w:tcPr>
            <w:tcW w:w="2409" w:type="dxa"/>
          </w:tcPr>
          <w:p w14:paraId="5BE4B432" w14:textId="5056846D" w:rsidR="00C91B9B" w:rsidRPr="00A57296" w:rsidRDefault="00955D07" w:rsidP="00955D07">
            <w:pPr>
              <w:rPr>
                <w:rFonts w:asciiTheme="majorBidi" w:hAnsiTheme="majorBidi" w:cstheme="majorBidi"/>
                <w:b/>
              </w:rPr>
            </w:pPr>
            <w:r w:rsidRPr="00A57296">
              <w:rPr>
                <w:rFonts w:asciiTheme="majorBidi" w:hAnsiTheme="majorBidi" w:cstheme="majorBidi"/>
                <w:b/>
                <w:bCs/>
                <w:lang w:val="de-DE"/>
              </w:rPr>
              <w:t xml:space="preserve">nicht </w:t>
            </w:r>
            <w:r w:rsidR="0028188D" w:rsidRPr="00A57296">
              <w:rPr>
                <w:rFonts w:asciiTheme="majorBidi" w:hAnsiTheme="majorBidi" w:cstheme="majorBidi"/>
                <w:b/>
                <w:bCs/>
                <w:lang w:val="de-DE"/>
              </w:rPr>
              <w:t>zutreffend</w:t>
            </w:r>
          </w:p>
        </w:tc>
      </w:tr>
      <w:tr w:rsidR="00C91B9B" w:rsidRPr="00F027E2" w14:paraId="6D1507B1" w14:textId="77777777" w:rsidTr="00955D07">
        <w:trPr>
          <w:trHeight w:val="240"/>
        </w:trPr>
        <w:tc>
          <w:tcPr>
            <w:tcW w:w="4253" w:type="dxa"/>
          </w:tcPr>
          <w:p w14:paraId="434F3484" w14:textId="77777777" w:rsidR="00C91B9B" w:rsidRPr="00282B46" w:rsidRDefault="00C91B9B" w:rsidP="00637B49">
            <w:pPr>
              <w:rPr>
                <w:rFonts w:asciiTheme="majorBidi" w:hAnsiTheme="majorBidi" w:cstheme="majorBidi"/>
              </w:rPr>
            </w:pPr>
            <w:r w:rsidRPr="00F027E2">
              <w:rPr>
                <w:rFonts w:asciiTheme="majorBidi" w:hAnsiTheme="majorBidi" w:cstheme="majorBidi"/>
              </w:rPr>
              <w:t>50 °C</w:t>
            </w:r>
          </w:p>
        </w:tc>
        <w:tc>
          <w:tcPr>
            <w:tcW w:w="2409" w:type="dxa"/>
          </w:tcPr>
          <w:p w14:paraId="509E89B0" w14:textId="37306716" w:rsidR="00C91B9B" w:rsidRPr="00A57296" w:rsidRDefault="00955D07" w:rsidP="00955D07">
            <w:pPr>
              <w:rPr>
                <w:rFonts w:asciiTheme="majorBidi" w:hAnsiTheme="majorBidi" w:cstheme="majorBidi"/>
                <w:b/>
              </w:rPr>
            </w:pPr>
            <w:r w:rsidRPr="00A57296">
              <w:rPr>
                <w:rFonts w:asciiTheme="majorBidi" w:hAnsiTheme="majorBidi" w:cstheme="majorBidi"/>
                <w:b/>
                <w:bCs/>
                <w:lang w:val="de-DE"/>
              </w:rPr>
              <w:t xml:space="preserve">nicht </w:t>
            </w:r>
            <w:r w:rsidR="0028188D" w:rsidRPr="00A57296">
              <w:rPr>
                <w:rFonts w:asciiTheme="majorBidi" w:hAnsiTheme="majorBidi" w:cstheme="majorBidi"/>
                <w:b/>
                <w:bCs/>
                <w:lang w:val="de-DE"/>
              </w:rPr>
              <w:t>zutreffend</w:t>
            </w:r>
          </w:p>
        </w:tc>
      </w:tr>
      <w:tr w:rsidR="00C91B9B" w:rsidRPr="00F027E2" w14:paraId="3922D57D" w14:textId="77777777" w:rsidTr="00955D07">
        <w:trPr>
          <w:trHeight w:val="240"/>
        </w:trPr>
        <w:tc>
          <w:tcPr>
            <w:tcW w:w="4253" w:type="dxa"/>
          </w:tcPr>
          <w:p w14:paraId="5AD4FA93" w14:textId="041155DA" w:rsidR="00C91B9B" w:rsidRPr="00282B46" w:rsidRDefault="00273438" w:rsidP="00637B49">
            <w:pPr>
              <w:rPr>
                <w:rFonts w:asciiTheme="majorBidi" w:hAnsiTheme="majorBidi" w:cstheme="majorBidi"/>
                <w:lang w:val="de-DE"/>
              </w:rPr>
            </w:pPr>
            <w:r w:rsidRPr="00F027E2">
              <w:rPr>
                <w:rFonts w:asciiTheme="majorBidi" w:hAnsiTheme="majorBidi" w:cstheme="majorBidi"/>
                <w:lang w:val="de-DE"/>
              </w:rPr>
              <w:t>bei verflüssigten Gasen:</w:t>
            </w:r>
            <w:r w:rsidRPr="00282B46">
              <w:rPr>
                <w:rFonts w:asciiTheme="majorBidi" w:hAnsiTheme="majorBidi" w:cstheme="majorBidi"/>
                <w:lang w:val="de-DE"/>
              </w:rPr>
              <w:t xml:space="preserve"> </w:t>
            </w:r>
            <w:r w:rsidRPr="00F027E2">
              <w:rPr>
                <w:rFonts w:asciiTheme="majorBidi" w:hAnsiTheme="majorBidi" w:cstheme="majorBidi"/>
                <w:lang w:val="de-DE"/>
              </w:rPr>
              <w:t xml:space="preserve">Dampfdruck bei </w:t>
            </w:r>
            <w:r w:rsidR="00C91B9B" w:rsidRPr="00F027E2">
              <w:rPr>
                <w:rFonts w:asciiTheme="majorBidi" w:hAnsiTheme="majorBidi" w:cstheme="majorBidi"/>
                <w:lang w:val="de-DE"/>
              </w:rPr>
              <w:t>70 °C</w:t>
            </w:r>
          </w:p>
        </w:tc>
        <w:tc>
          <w:tcPr>
            <w:tcW w:w="2409" w:type="dxa"/>
          </w:tcPr>
          <w:p w14:paraId="379DBB2F" w14:textId="6EB8F724" w:rsidR="00C91B9B" w:rsidRPr="00A57296" w:rsidRDefault="00955D07" w:rsidP="00955D07">
            <w:pPr>
              <w:rPr>
                <w:rFonts w:asciiTheme="majorBidi" w:hAnsiTheme="majorBidi" w:cstheme="majorBidi"/>
                <w:b/>
              </w:rPr>
            </w:pPr>
            <w:r w:rsidRPr="00A57296">
              <w:rPr>
                <w:rFonts w:asciiTheme="majorBidi" w:hAnsiTheme="majorBidi" w:cstheme="majorBidi"/>
                <w:b/>
                <w:bCs/>
                <w:lang w:val="de-DE"/>
              </w:rPr>
              <w:t xml:space="preserve">nicht </w:t>
            </w:r>
            <w:r w:rsidR="0028188D" w:rsidRPr="00A57296">
              <w:rPr>
                <w:rFonts w:asciiTheme="majorBidi" w:hAnsiTheme="majorBidi" w:cstheme="majorBidi"/>
                <w:b/>
                <w:bCs/>
                <w:lang w:val="de-DE"/>
              </w:rPr>
              <w:t>zutreffend</w:t>
            </w:r>
          </w:p>
        </w:tc>
      </w:tr>
      <w:tr w:rsidR="00C91B9B" w:rsidRPr="00F027E2" w14:paraId="108AC36F" w14:textId="77777777" w:rsidTr="00955D07">
        <w:trPr>
          <w:trHeight w:val="240"/>
        </w:trPr>
        <w:tc>
          <w:tcPr>
            <w:tcW w:w="4253" w:type="dxa"/>
          </w:tcPr>
          <w:p w14:paraId="0864E6F8" w14:textId="6682D642" w:rsidR="00C91B9B" w:rsidRPr="00282B46" w:rsidRDefault="00273438" w:rsidP="00637B49">
            <w:pPr>
              <w:rPr>
                <w:rFonts w:asciiTheme="majorBidi" w:hAnsiTheme="majorBidi" w:cstheme="majorBidi"/>
                <w:lang w:val="de-DE"/>
              </w:rPr>
            </w:pPr>
            <w:r w:rsidRPr="00F027E2">
              <w:rPr>
                <w:rFonts w:asciiTheme="majorBidi" w:hAnsiTheme="majorBidi" w:cstheme="majorBidi"/>
                <w:lang w:val="de-DE"/>
              </w:rPr>
              <w:t>bei Permanentgasen:</w:t>
            </w:r>
            <w:r w:rsidRPr="00282B46">
              <w:rPr>
                <w:rFonts w:asciiTheme="majorBidi" w:hAnsiTheme="majorBidi" w:cstheme="majorBidi"/>
                <w:lang w:val="de-DE"/>
              </w:rPr>
              <w:t xml:space="preserve"> </w:t>
            </w:r>
            <w:r w:rsidRPr="00F027E2">
              <w:rPr>
                <w:rFonts w:asciiTheme="majorBidi" w:hAnsiTheme="majorBidi" w:cstheme="majorBidi"/>
                <w:lang w:val="de-DE"/>
              </w:rPr>
              <w:t xml:space="preserve">Füllungsdruck bei </w:t>
            </w:r>
            <w:r w:rsidR="00C91B9B" w:rsidRPr="00F027E2">
              <w:rPr>
                <w:rFonts w:asciiTheme="majorBidi" w:hAnsiTheme="majorBidi" w:cstheme="majorBidi"/>
                <w:lang w:val="de-DE"/>
              </w:rPr>
              <w:t>15 °C</w:t>
            </w:r>
          </w:p>
        </w:tc>
        <w:tc>
          <w:tcPr>
            <w:tcW w:w="2409" w:type="dxa"/>
          </w:tcPr>
          <w:p w14:paraId="21FD614E" w14:textId="647DEA40" w:rsidR="00C91B9B" w:rsidRPr="00A57296" w:rsidRDefault="00955D07" w:rsidP="00955D07">
            <w:pPr>
              <w:rPr>
                <w:rFonts w:asciiTheme="majorBidi" w:hAnsiTheme="majorBidi" w:cstheme="majorBidi"/>
                <w:b/>
              </w:rPr>
            </w:pPr>
            <w:r w:rsidRPr="00A57296">
              <w:rPr>
                <w:rFonts w:asciiTheme="majorBidi" w:hAnsiTheme="majorBidi" w:cstheme="majorBidi"/>
                <w:b/>
                <w:bCs/>
                <w:lang w:val="de-DE"/>
              </w:rPr>
              <w:t xml:space="preserve">nicht </w:t>
            </w:r>
            <w:r w:rsidR="0028188D" w:rsidRPr="00A57296">
              <w:rPr>
                <w:rFonts w:asciiTheme="majorBidi" w:hAnsiTheme="majorBidi" w:cstheme="majorBidi"/>
                <w:b/>
                <w:bCs/>
                <w:lang w:val="de-DE"/>
              </w:rPr>
              <w:t>zutreffend</w:t>
            </w:r>
          </w:p>
        </w:tc>
      </w:tr>
    </w:tbl>
    <w:p w14:paraId="3678217D" w14:textId="77777777" w:rsidR="00C91B9B" w:rsidRPr="00F027E2" w:rsidRDefault="00C91B9B" w:rsidP="00C91B9B">
      <w:pPr>
        <w:ind w:firstLine="708"/>
        <w:rPr>
          <w:rFonts w:asciiTheme="majorBidi" w:hAnsiTheme="majorBidi" w:cstheme="majorBidi"/>
        </w:rPr>
      </w:pPr>
    </w:p>
    <w:p w14:paraId="39A979AC" w14:textId="1543904F" w:rsidR="00C91B9B" w:rsidRPr="00282B46" w:rsidRDefault="00C91B9B" w:rsidP="00C91B9B">
      <w:pPr>
        <w:pStyle w:val="SingleTxtG"/>
        <w:rPr>
          <w:rFonts w:asciiTheme="majorBidi" w:hAnsiTheme="majorBidi" w:cstheme="majorBidi"/>
        </w:rPr>
      </w:pPr>
      <w:r w:rsidRPr="00F027E2">
        <w:rPr>
          <w:rFonts w:asciiTheme="majorBidi" w:hAnsiTheme="majorBidi" w:cstheme="majorBidi"/>
        </w:rPr>
        <w:t>2.7</w:t>
      </w:r>
      <w:r w:rsidRPr="00F027E2">
        <w:rPr>
          <w:rFonts w:asciiTheme="majorBidi" w:hAnsiTheme="majorBidi" w:cstheme="majorBidi"/>
        </w:rPr>
        <w:tab/>
      </w:r>
      <w:r w:rsidR="00273438" w:rsidRPr="00F027E2">
        <w:rPr>
          <w:rFonts w:asciiTheme="majorBidi" w:hAnsiTheme="majorBidi" w:cstheme="majorBidi"/>
        </w:rPr>
        <w:t>Kubischer Ausdehnungskoeffizient</w:t>
      </w:r>
      <w:r w:rsidRPr="00F027E2">
        <w:rPr>
          <w:rFonts w:asciiTheme="majorBidi" w:hAnsiTheme="majorBidi" w:cstheme="majorBidi"/>
        </w:rPr>
        <w:t>:</w:t>
      </w:r>
      <w:r w:rsidRPr="00282B46">
        <w:rPr>
          <w:rFonts w:asciiTheme="majorBidi" w:hAnsiTheme="majorBidi" w:cstheme="majorBidi"/>
        </w:rPr>
        <w:t xml:space="preserve"> </w:t>
      </w:r>
      <w:r w:rsidRPr="00F027E2">
        <w:rPr>
          <w:rFonts w:asciiTheme="majorBidi" w:hAnsiTheme="majorBidi" w:cstheme="majorBidi"/>
          <w:b/>
          <w:bCs/>
        </w:rPr>
        <w:t>0.0058</w:t>
      </w:r>
      <w:r w:rsidRPr="00F027E2">
        <w:rPr>
          <w:rFonts w:asciiTheme="majorBidi" w:hAnsiTheme="majorBidi" w:cstheme="majorBidi"/>
          <w:b/>
        </w:rPr>
        <w:t xml:space="preserve"> K</w:t>
      </w:r>
      <w:r w:rsidRPr="00F027E2">
        <w:rPr>
          <w:rFonts w:asciiTheme="majorBidi" w:hAnsiTheme="majorBidi" w:cstheme="majorBidi"/>
          <w:b/>
          <w:vertAlign w:val="superscript"/>
        </w:rPr>
        <w:t>-1</w:t>
      </w:r>
    </w:p>
    <w:p w14:paraId="6BF2B5A4" w14:textId="77777777" w:rsidR="00A57296" w:rsidRDefault="00A57296">
      <w:pPr>
        <w:suppressAutoHyphens w:val="0"/>
        <w:spacing w:line="240" w:lineRule="auto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br w:type="page"/>
      </w:r>
    </w:p>
    <w:p w14:paraId="35AD9D57" w14:textId="673B6085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lastRenderedPageBreak/>
        <w:t>2.8</w:t>
      </w:r>
      <w:r w:rsidRPr="00F027E2">
        <w:rPr>
          <w:rFonts w:asciiTheme="majorBidi" w:hAnsiTheme="majorBidi" w:cstheme="majorBidi"/>
          <w:lang w:val="de-DE"/>
        </w:rPr>
        <w:tab/>
      </w:r>
      <w:r w:rsidR="00273438" w:rsidRPr="00F027E2">
        <w:rPr>
          <w:rFonts w:asciiTheme="majorBidi" w:hAnsiTheme="majorBidi" w:cstheme="majorBidi"/>
          <w:lang w:val="de-DE"/>
        </w:rPr>
        <w:t xml:space="preserve">Löslichkeit in Wasser bei </w:t>
      </w:r>
      <w:r w:rsidRPr="00F027E2">
        <w:rPr>
          <w:rFonts w:asciiTheme="majorBidi" w:hAnsiTheme="majorBidi" w:cstheme="majorBidi"/>
          <w:lang w:val="de-DE"/>
        </w:rPr>
        <w:t>20 °C</w:t>
      </w:r>
    </w:p>
    <w:p w14:paraId="6079F4FC" w14:textId="28286420" w:rsidR="00C91B9B" w:rsidRPr="00F027E2" w:rsidRDefault="00273438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 xml:space="preserve">Sättigungskonzentration </w:t>
      </w:r>
      <w:r w:rsidR="00C91B9B" w:rsidRPr="00F027E2">
        <w:rPr>
          <w:rFonts w:asciiTheme="majorBidi" w:hAnsiTheme="majorBidi" w:cstheme="majorBidi"/>
          <w:b/>
          <w:bCs/>
          <w:lang w:val="de-DE"/>
        </w:rPr>
        <w:t>20</w:t>
      </w:r>
      <w:r w:rsidR="00C91B9B" w:rsidRPr="00F027E2">
        <w:rPr>
          <w:rFonts w:asciiTheme="majorBidi" w:hAnsiTheme="majorBidi" w:cstheme="majorBidi"/>
          <w:b/>
          <w:lang w:val="de-DE"/>
        </w:rPr>
        <w:t xml:space="preserve"> mg/l</w:t>
      </w:r>
      <w:r w:rsidR="00C91B9B" w:rsidRPr="00282B46">
        <w:rPr>
          <w:rFonts w:asciiTheme="majorBidi" w:hAnsiTheme="majorBidi" w:cstheme="majorBidi"/>
          <w:lang w:val="de-DE"/>
        </w:rPr>
        <w:t xml:space="preserve"> </w:t>
      </w:r>
    </w:p>
    <w:p w14:paraId="41B85458" w14:textId="33A25A0D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ab/>
      </w:r>
      <w:r w:rsidR="00273438" w:rsidRPr="00F027E2">
        <w:rPr>
          <w:rFonts w:asciiTheme="majorBidi" w:hAnsiTheme="majorBidi" w:cstheme="majorBidi"/>
          <w:lang w:val="de-DE"/>
        </w:rPr>
        <w:t>oder</w:t>
      </w:r>
    </w:p>
    <w:p w14:paraId="578883EB" w14:textId="60D0BCFA" w:rsidR="00C91B9B" w:rsidRPr="00F027E2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ab/>
      </w:r>
      <w:r w:rsidR="00273438" w:rsidRPr="00F027E2">
        <w:rPr>
          <w:rFonts w:asciiTheme="majorBidi" w:hAnsiTheme="majorBidi" w:cstheme="majorBidi"/>
          <w:lang w:val="de-DE"/>
        </w:rPr>
        <w:t xml:space="preserve">Mischbarkeit mit Wasser bei </w:t>
      </w:r>
      <w:r w:rsidRPr="00F027E2">
        <w:rPr>
          <w:rFonts w:asciiTheme="majorBidi" w:hAnsiTheme="majorBidi" w:cstheme="majorBidi"/>
          <w:lang w:val="de-DE"/>
        </w:rPr>
        <w:t>15 °C</w:t>
      </w:r>
      <w:r w:rsidRPr="00282B46">
        <w:rPr>
          <w:rFonts w:asciiTheme="majorBidi" w:hAnsiTheme="majorBidi" w:cstheme="majorBidi"/>
          <w:lang w:val="de-DE"/>
        </w:rPr>
        <w:t xml:space="preserve"> </w:t>
      </w:r>
      <w:r w:rsidRPr="00F027E2">
        <w:rPr>
          <w:rFonts w:asciiTheme="majorBidi" w:hAnsiTheme="majorBidi" w:cstheme="majorBidi"/>
          <w:lang w:val="de-DE"/>
        </w:rPr>
        <w:tab/>
      </w:r>
    </w:p>
    <w:p w14:paraId="2B39A0F2" w14:textId="091D2371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ab/>
      </w:r>
      <w:r w:rsidRPr="00F027E2">
        <w:rPr>
          <w:rFonts w:asciiTheme="majorBidi" w:hAnsiTheme="majorBidi" w:cstheme="majorBidi"/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rFonts w:asciiTheme="majorBidi" w:hAnsiTheme="majorBidi" w:cstheme="majorBidi"/>
          <w:b/>
          <w:lang w:val="de-DE"/>
        </w:rPr>
        <w:instrText xml:space="preserve"> FORMCHECKBOX </w:instrText>
      </w:r>
      <w:r w:rsidR="00923BE9">
        <w:rPr>
          <w:rFonts w:asciiTheme="majorBidi" w:hAnsiTheme="majorBidi" w:cstheme="majorBidi"/>
          <w:b/>
        </w:rPr>
      </w:r>
      <w:r w:rsidR="00923BE9">
        <w:rPr>
          <w:rFonts w:asciiTheme="majorBidi" w:hAnsiTheme="majorBidi" w:cstheme="majorBidi"/>
          <w:b/>
        </w:rPr>
        <w:fldChar w:fldCharType="separate"/>
      </w:r>
      <w:r w:rsidRPr="00F027E2">
        <w:rPr>
          <w:rFonts w:asciiTheme="majorBidi" w:hAnsiTheme="majorBidi" w:cstheme="majorBidi"/>
          <w:b/>
        </w:rPr>
        <w:fldChar w:fldCharType="end"/>
      </w:r>
      <w:r w:rsidRPr="00F027E2">
        <w:rPr>
          <w:rFonts w:asciiTheme="majorBidi" w:hAnsiTheme="majorBidi" w:cstheme="majorBidi"/>
          <w:lang w:val="de-DE"/>
        </w:rPr>
        <w:t xml:space="preserve">  </w:t>
      </w:r>
      <w:r w:rsidR="00273438" w:rsidRPr="00F027E2">
        <w:rPr>
          <w:rFonts w:asciiTheme="majorBidi" w:hAnsiTheme="majorBidi" w:cstheme="majorBidi"/>
          <w:lang w:val="de-DE"/>
        </w:rPr>
        <w:t>vollständig</w:t>
      </w:r>
      <w:r w:rsidRPr="00282B46">
        <w:rPr>
          <w:rFonts w:asciiTheme="majorBidi" w:hAnsiTheme="majorBidi" w:cstheme="majorBidi"/>
          <w:lang w:val="de-DE"/>
        </w:rPr>
        <w:tab/>
      </w:r>
      <w:r w:rsidRPr="00F027E2">
        <w:rPr>
          <w:rFonts w:asciiTheme="majorBidi" w:hAnsiTheme="majorBidi" w:cstheme="majorBidi"/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rFonts w:asciiTheme="majorBidi" w:hAnsiTheme="majorBidi" w:cstheme="majorBidi"/>
          <w:b/>
          <w:lang w:val="de-DE"/>
        </w:rPr>
        <w:instrText xml:space="preserve"> FORMCHECKBOX </w:instrText>
      </w:r>
      <w:r w:rsidR="00923BE9">
        <w:rPr>
          <w:rFonts w:asciiTheme="majorBidi" w:hAnsiTheme="majorBidi" w:cstheme="majorBidi"/>
          <w:b/>
        </w:rPr>
      </w:r>
      <w:r w:rsidR="00923BE9">
        <w:rPr>
          <w:rFonts w:asciiTheme="majorBidi" w:hAnsiTheme="majorBidi" w:cstheme="majorBidi"/>
          <w:b/>
        </w:rPr>
        <w:fldChar w:fldCharType="separate"/>
      </w:r>
      <w:r w:rsidRPr="00F027E2">
        <w:rPr>
          <w:rFonts w:asciiTheme="majorBidi" w:hAnsiTheme="majorBidi" w:cstheme="majorBidi"/>
          <w:b/>
        </w:rPr>
        <w:fldChar w:fldCharType="end"/>
      </w:r>
      <w:r w:rsidRPr="00F027E2">
        <w:rPr>
          <w:rFonts w:asciiTheme="majorBidi" w:hAnsiTheme="majorBidi" w:cstheme="majorBidi"/>
          <w:lang w:val="de-DE"/>
        </w:rPr>
        <w:t xml:space="preserve">  </w:t>
      </w:r>
      <w:r w:rsidR="00273438" w:rsidRPr="00F027E2">
        <w:rPr>
          <w:rFonts w:asciiTheme="majorBidi" w:hAnsiTheme="majorBidi" w:cstheme="majorBidi"/>
          <w:lang w:val="de-DE"/>
        </w:rPr>
        <w:t>teilweise</w:t>
      </w:r>
      <w:r w:rsidRPr="00282B46">
        <w:rPr>
          <w:rFonts w:asciiTheme="majorBidi" w:hAnsiTheme="majorBidi" w:cstheme="majorBidi"/>
          <w:lang w:val="de-DE"/>
        </w:rPr>
        <w:tab/>
      </w:r>
      <w:r w:rsidRPr="00F027E2">
        <w:rPr>
          <w:rFonts w:asciiTheme="majorBidi" w:hAnsiTheme="majorBidi" w:cstheme="majorBid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027E2">
        <w:rPr>
          <w:rFonts w:asciiTheme="majorBidi" w:hAnsiTheme="majorBidi" w:cstheme="majorBidi"/>
          <w:b/>
          <w:lang w:val="de-DE"/>
        </w:rPr>
        <w:instrText xml:space="preserve"> FORMCHECKBOX </w:instrText>
      </w:r>
      <w:r w:rsidR="00923BE9">
        <w:rPr>
          <w:rFonts w:asciiTheme="majorBidi" w:hAnsiTheme="majorBidi" w:cstheme="majorBidi"/>
          <w:b/>
        </w:rPr>
      </w:r>
      <w:r w:rsidR="00923BE9">
        <w:rPr>
          <w:rFonts w:asciiTheme="majorBidi" w:hAnsiTheme="majorBidi" w:cstheme="majorBidi"/>
          <w:b/>
        </w:rPr>
        <w:fldChar w:fldCharType="separate"/>
      </w:r>
      <w:r w:rsidRPr="00F027E2">
        <w:rPr>
          <w:rFonts w:asciiTheme="majorBidi" w:hAnsiTheme="majorBidi" w:cstheme="majorBidi"/>
          <w:b/>
        </w:rPr>
        <w:fldChar w:fldCharType="end"/>
      </w:r>
      <w:r w:rsidRPr="00F027E2">
        <w:rPr>
          <w:rFonts w:asciiTheme="majorBidi" w:hAnsiTheme="majorBidi" w:cstheme="majorBidi"/>
          <w:lang w:val="de-DE"/>
        </w:rPr>
        <w:t xml:space="preserve">  </w:t>
      </w:r>
      <w:r w:rsidR="00273438" w:rsidRPr="00F027E2">
        <w:rPr>
          <w:rFonts w:asciiTheme="majorBidi" w:hAnsiTheme="majorBidi" w:cstheme="majorBidi"/>
          <w:lang w:val="de-DE"/>
        </w:rPr>
        <w:t>keine</w:t>
      </w:r>
    </w:p>
    <w:p w14:paraId="5CE01DD5" w14:textId="7F6D7E39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ab/>
        <w:t>(</w:t>
      </w:r>
      <w:r w:rsidR="00F3524C" w:rsidRPr="00F027E2">
        <w:rPr>
          <w:rFonts w:asciiTheme="majorBidi" w:hAnsiTheme="majorBidi" w:cstheme="majorBidi"/>
          <w:lang w:val="de-DE"/>
        </w:rPr>
        <w:t>Wenn möglich, bei Lösungen und Gemischen die Konzentration angeben</w:t>
      </w:r>
      <w:r w:rsidRPr="00F027E2">
        <w:rPr>
          <w:rFonts w:asciiTheme="majorBidi" w:hAnsiTheme="majorBidi" w:cstheme="majorBidi"/>
          <w:lang w:val="de-DE"/>
        </w:rPr>
        <w:t>)</w:t>
      </w:r>
    </w:p>
    <w:p w14:paraId="1CE55DE1" w14:textId="07D57CB3" w:rsidR="00C91B9B" w:rsidRPr="00DC7489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986D27">
        <w:rPr>
          <w:rFonts w:asciiTheme="majorBidi" w:hAnsiTheme="majorBidi" w:cstheme="majorBidi"/>
          <w:lang w:val="de-DE"/>
        </w:rPr>
        <w:t>2</w:t>
      </w:r>
      <w:r w:rsidRPr="00DC7489">
        <w:rPr>
          <w:rFonts w:asciiTheme="majorBidi" w:hAnsiTheme="majorBidi" w:cstheme="majorBidi"/>
          <w:lang w:val="de-DE"/>
        </w:rPr>
        <w:t>.9</w:t>
      </w:r>
      <w:r w:rsidRPr="00DC7489">
        <w:rPr>
          <w:rFonts w:asciiTheme="majorBidi" w:hAnsiTheme="majorBidi" w:cstheme="majorBidi"/>
          <w:lang w:val="de-DE"/>
        </w:rPr>
        <w:tab/>
      </w:r>
      <w:r w:rsidR="00F3524C" w:rsidRPr="00DC7489">
        <w:rPr>
          <w:rFonts w:asciiTheme="majorBidi" w:hAnsiTheme="majorBidi" w:cstheme="majorBidi"/>
          <w:lang w:val="de-DE"/>
        </w:rPr>
        <w:t>Fabre</w:t>
      </w:r>
      <w:r w:rsidRPr="00DC7489">
        <w:rPr>
          <w:rFonts w:asciiTheme="majorBidi" w:hAnsiTheme="majorBidi" w:cstheme="majorBidi"/>
          <w:lang w:val="de-DE"/>
        </w:rPr>
        <w:t xml:space="preserve">: </w:t>
      </w:r>
      <w:r w:rsidR="00955D07" w:rsidRPr="00DC7489">
        <w:rPr>
          <w:rFonts w:asciiTheme="majorBidi" w:hAnsiTheme="majorBidi" w:cstheme="majorBidi"/>
          <w:b/>
          <w:bCs/>
          <w:lang w:val="de-DE"/>
        </w:rPr>
        <w:t>Farblos</w:t>
      </w:r>
    </w:p>
    <w:p w14:paraId="264F50FD" w14:textId="2D59FB50" w:rsidR="00C91B9B" w:rsidRPr="00DC7489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2.10</w:t>
      </w:r>
      <w:r w:rsidRPr="00DC7489">
        <w:rPr>
          <w:rFonts w:asciiTheme="majorBidi" w:hAnsiTheme="majorBidi" w:cstheme="majorBidi"/>
          <w:lang w:val="de-DE"/>
        </w:rPr>
        <w:tab/>
      </w:r>
      <w:r w:rsidR="00F3524C" w:rsidRPr="00DC7489">
        <w:rPr>
          <w:rFonts w:asciiTheme="majorBidi" w:hAnsiTheme="majorBidi" w:cstheme="majorBidi"/>
          <w:lang w:val="de-DE"/>
        </w:rPr>
        <w:t>Geruch</w:t>
      </w:r>
      <w:r w:rsidRPr="00DC7489">
        <w:rPr>
          <w:rFonts w:asciiTheme="majorBidi" w:hAnsiTheme="majorBidi" w:cstheme="majorBidi"/>
          <w:lang w:val="de-DE"/>
        </w:rPr>
        <w:t xml:space="preserve">: </w:t>
      </w:r>
      <w:r w:rsidR="00955D07" w:rsidRPr="00DC7489">
        <w:rPr>
          <w:rFonts w:asciiTheme="majorBidi" w:hAnsiTheme="majorBidi" w:cstheme="majorBidi"/>
          <w:b/>
          <w:bCs/>
          <w:lang w:val="de-DE"/>
        </w:rPr>
        <w:t>Geruchlos</w:t>
      </w:r>
    </w:p>
    <w:p w14:paraId="4BE2C1FE" w14:textId="2276FA2B" w:rsidR="00C91B9B" w:rsidRPr="00DC7489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2.11</w:t>
      </w:r>
      <w:r w:rsidRPr="00DC7489">
        <w:rPr>
          <w:rFonts w:asciiTheme="majorBidi" w:hAnsiTheme="majorBidi" w:cstheme="majorBidi"/>
          <w:lang w:val="de-DE"/>
        </w:rPr>
        <w:tab/>
      </w:r>
      <w:r w:rsidR="00F3524C" w:rsidRPr="00DC7489">
        <w:rPr>
          <w:rFonts w:asciiTheme="majorBidi" w:hAnsiTheme="majorBidi" w:cstheme="majorBidi"/>
          <w:lang w:val="de-DE"/>
        </w:rPr>
        <w:t>Viskosität</w:t>
      </w:r>
      <w:r w:rsidRPr="00DC7489">
        <w:rPr>
          <w:rFonts w:asciiTheme="majorBidi" w:hAnsiTheme="majorBidi" w:cstheme="majorBidi"/>
          <w:lang w:val="de-DE"/>
        </w:rPr>
        <w:t xml:space="preserve">: </w:t>
      </w:r>
      <w:r w:rsidRPr="00DC7489">
        <w:rPr>
          <w:rFonts w:asciiTheme="majorBidi" w:hAnsiTheme="majorBidi" w:cstheme="majorBidi"/>
          <w:b/>
          <w:bCs/>
          <w:lang w:val="de-DE"/>
        </w:rPr>
        <w:t>0.174</w:t>
      </w:r>
      <w:r w:rsidRPr="00DC7489">
        <w:rPr>
          <w:rFonts w:asciiTheme="majorBidi" w:hAnsiTheme="majorBidi" w:cstheme="majorBidi"/>
          <w:b/>
          <w:lang w:val="de-DE"/>
        </w:rPr>
        <w:t xml:space="preserve"> </w:t>
      </w:r>
      <w:r w:rsidRPr="00DC7489">
        <w:rPr>
          <w:rFonts w:asciiTheme="majorBidi" w:hAnsiTheme="majorBidi" w:cstheme="majorBidi"/>
          <w:lang w:val="de-DE"/>
        </w:rPr>
        <w:t>mm</w:t>
      </w:r>
      <w:r w:rsidRPr="00DC7489">
        <w:rPr>
          <w:rFonts w:asciiTheme="majorBidi" w:hAnsiTheme="majorBidi" w:cstheme="majorBidi"/>
          <w:vertAlign w:val="superscript"/>
          <w:lang w:val="de-DE"/>
        </w:rPr>
        <w:t>2</w:t>
      </w:r>
      <w:r w:rsidRPr="00DC7489">
        <w:rPr>
          <w:rFonts w:asciiTheme="majorBidi" w:hAnsiTheme="majorBidi" w:cstheme="majorBidi"/>
          <w:lang w:val="de-DE"/>
        </w:rPr>
        <w:t>/s.</w:t>
      </w:r>
    </w:p>
    <w:p w14:paraId="5538FD12" w14:textId="0F02398F" w:rsidR="00C91B9B" w:rsidRPr="00DC7489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2.12</w:t>
      </w:r>
      <w:r w:rsidRPr="00DC7489">
        <w:rPr>
          <w:rFonts w:asciiTheme="majorBidi" w:hAnsiTheme="majorBidi" w:cstheme="majorBidi"/>
          <w:lang w:val="de-DE"/>
        </w:rPr>
        <w:tab/>
      </w:r>
      <w:r w:rsidR="00F3524C" w:rsidRPr="00DC7489">
        <w:rPr>
          <w:rFonts w:asciiTheme="majorBidi" w:hAnsiTheme="majorBidi" w:cstheme="majorBidi"/>
          <w:lang w:val="de-DE"/>
        </w:rPr>
        <w:t xml:space="preserve">Auslaufzeit </w:t>
      </w:r>
      <w:r w:rsidRPr="00DC7489">
        <w:rPr>
          <w:rFonts w:asciiTheme="majorBidi" w:hAnsiTheme="majorBidi" w:cstheme="majorBidi"/>
          <w:lang w:val="de-DE"/>
        </w:rPr>
        <w:t xml:space="preserve">(ISO 2431-1996): </w:t>
      </w:r>
      <w:r w:rsidR="006F1CF8" w:rsidRPr="00DC7489">
        <w:rPr>
          <w:rFonts w:asciiTheme="majorBidi" w:hAnsiTheme="majorBidi" w:cstheme="majorBidi"/>
          <w:b/>
          <w:bCs/>
          <w:lang w:val="de-DE"/>
        </w:rPr>
        <w:t>nicht zutreffend</w:t>
      </w:r>
      <w:r w:rsidRPr="00DC7489">
        <w:rPr>
          <w:rFonts w:asciiTheme="majorBidi" w:hAnsiTheme="majorBidi" w:cstheme="majorBidi"/>
          <w:lang w:val="de-DE"/>
        </w:rPr>
        <w:t>.</w:t>
      </w:r>
    </w:p>
    <w:p w14:paraId="0651868A" w14:textId="7D874AE2" w:rsidR="00C91B9B" w:rsidRPr="00DC7489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2.13</w:t>
      </w:r>
      <w:r w:rsidRPr="00DC7489">
        <w:rPr>
          <w:rFonts w:asciiTheme="majorBidi" w:hAnsiTheme="majorBidi" w:cstheme="majorBidi"/>
          <w:lang w:val="de-DE"/>
        </w:rPr>
        <w:tab/>
      </w:r>
      <w:r w:rsidR="00F3524C" w:rsidRPr="00DC7489">
        <w:rPr>
          <w:rFonts w:asciiTheme="majorBidi" w:hAnsiTheme="majorBidi" w:cstheme="majorBidi"/>
          <w:lang w:val="de-DE"/>
        </w:rPr>
        <w:t>Lösemittel-Trennprüfung</w:t>
      </w:r>
      <w:r w:rsidRPr="00DC7489">
        <w:rPr>
          <w:rFonts w:asciiTheme="majorBidi" w:hAnsiTheme="majorBidi" w:cstheme="majorBidi"/>
          <w:lang w:val="de-DE"/>
        </w:rPr>
        <w:t xml:space="preserve">: </w:t>
      </w:r>
      <w:r w:rsidR="006F1CF8" w:rsidRPr="00DC7489">
        <w:rPr>
          <w:rFonts w:asciiTheme="majorBidi" w:hAnsiTheme="majorBidi" w:cstheme="majorBidi"/>
          <w:b/>
          <w:bCs/>
          <w:lang w:val="de-DE"/>
        </w:rPr>
        <w:t>nicht zutreffend</w:t>
      </w:r>
      <w:r w:rsidRPr="00DC7489">
        <w:rPr>
          <w:rFonts w:asciiTheme="majorBidi" w:hAnsiTheme="majorBidi" w:cstheme="majorBidi"/>
          <w:lang w:val="de-DE"/>
        </w:rPr>
        <w:t>.</w:t>
      </w:r>
    </w:p>
    <w:p w14:paraId="00A31E4C" w14:textId="175B7D2C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2.14</w:t>
      </w:r>
      <w:r w:rsidRPr="00DC7489">
        <w:rPr>
          <w:rFonts w:asciiTheme="majorBidi" w:hAnsiTheme="majorBidi" w:cstheme="majorBidi"/>
          <w:lang w:val="de-DE"/>
        </w:rPr>
        <w:tab/>
      </w:r>
      <w:r w:rsidR="00F3524C" w:rsidRPr="00DC7489">
        <w:rPr>
          <w:rFonts w:asciiTheme="majorBidi" w:hAnsiTheme="majorBidi" w:cstheme="majorBidi"/>
          <w:lang w:val="de-DE"/>
        </w:rPr>
        <w:t>pH-Wert des Stoffes oder der wässerigen Lösung (Konzentration angeben)</w:t>
      </w:r>
      <w:r w:rsidRPr="00DC7489">
        <w:rPr>
          <w:rFonts w:asciiTheme="majorBidi" w:hAnsiTheme="majorBidi" w:cstheme="majorBidi"/>
          <w:lang w:val="de-DE"/>
        </w:rPr>
        <w:t xml:space="preserve">: </w:t>
      </w:r>
      <w:r w:rsidR="006F1CF8" w:rsidRPr="00DC7489">
        <w:rPr>
          <w:rFonts w:asciiTheme="majorBidi" w:hAnsiTheme="majorBidi" w:cstheme="majorBidi"/>
          <w:b/>
          <w:bCs/>
          <w:lang w:val="de-DE"/>
        </w:rPr>
        <w:t>nicht zutreffend</w:t>
      </w:r>
      <w:r w:rsidRPr="00DC7489">
        <w:rPr>
          <w:rFonts w:asciiTheme="majorBidi" w:hAnsiTheme="majorBidi" w:cstheme="majorBidi"/>
          <w:b/>
          <w:bCs/>
          <w:lang w:val="de-DE"/>
        </w:rPr>
        <w:t>.</w:t>
      </w:r>
    </w:p>
    <w:p w14:paraId="0CCE0C00" w14:textId="306B8C98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2.15</w:t>
      </w:r>
      <w:r w:rsidRPr="00F027E2">
        <w:rPr>
          <w:rFonts w:asciiTheme="majorBidi" w:hAnsiTheme="majorBidi" w:cstheme="majorBidi"/>
          <w:lang w:val="de-DE"/>
        </w:rPr>
        <w:tab/>
      </w:r>
      <w:r w:rsidR="00F3524C" w:rsidRPr="00F027E2">
        <w:rPr>
          <w:rFonts w:asciiTheme="majorBidi" w:hAnsiTheme="majorBidi" w:cstheme="majorBidi"/>
          <w:lang w:val="de-DE"/>
        </w:rPr>
        <w:t>Sonstige Angaben</w:t>
      </w:r>
      <w:r w:rsidR="00F3524C" w:rsidRPr="00F027E2">
        <w:rPr>
          <w:rStyle w:val="FootnoteReference"/>
          <w:rFonts w:asciiTheme="majorBidi" w:hAnsiTheme="majorBidi" w:cstheme="majorBidi"/>
          <w:sz w:val="20"/>
          <w:vertAlign w:val="baseline"/>
          <w:lang w:val="de-DE"/>
        </w:rPr>
        <w:t xml:space="preserve"> </w:t>
      </w:r>
      <w:r w:rsidRPr="00F027E2">
        <w:rPr>
          <w:rStyle w:val="FootnoteReference"/>
          <w:rFonts w:asciiTheme="majorBidi" w:hAnsiTheme="majorBidi" w:cstheme="majorBidi"/>
          <w:sz w:val="20"/>
        </w:rPr>
        <w:footnoteReference w:id="5"/>
      </w:r>
    </w:p>
    <w:p w14:paraId="57AF0CEE" w14:textId="792F8F01" w:rsidR="00C91B9B" w:rsidRPr="00282B46" w:rsidRDefault="00F3524C" w:rsidP="00C91B9B">
      <w:pPr>
        <w:pStyle w:val="SingleTxtG"/>
        <w:rPr>
          <w:rFonts w:cstheme="minorHAnsi"/>
          <w:b/>
          <w:lang w:val="de-DE"/>
        </w:rPr>
      </w:pPr>
      <w:r w:rsidRPr="00F027E2">
        <w:rPr>
          <w:rFonts w:cstheme="minorHAnsi"/>
          <w:b/>
          <w:lang w:val="de-DE"/>
        </w:rPr>
        <w:t>keine</w:t>
      </w:r>
    </w:p>
    <w:p w14:paraId="718FDCE3" w14:textId="4A898407" w:rsidR="00C91B9B" w:rsidRPr="00282B46" w:rsidRDefault="00C91B9B" w:rsidP="00C91B9B">
      <w:pPr>
        <w:pStyle w:val="SingleTxtG"/>
        <w:rPr>
          <w:rFonts w:asciiTheme="majorBidi" w:hAnsiTheme="majorBidi" w:cstheme="majorBidi"/>
          <w:u w:val="single"/>
          <w:lang w:val="de-DE"/>
        </w:rPr>
      </w:pPr>
      <w:r w:rsidRPr="00F027E2">
        <w:rPr>
          <w:rFonts w:asciiTheme="majorBidi" w:hAnsiTheme="majorBidi" w:cstheme="majorBidi"/>
          <w:b/>
          <w:u w:val="single"/>
          <w:lang w:val="de-DE"/>
        </w:rPr>
        <w:t>3.</w:t>
      </w:r>
      <w:r w:rsidRPr="00F027E2">
        <w:rPr>
          <w:rFonts w:asciiTheme="majorBidi" w:hAnsiTheme="majorBidi" w:cstheme="majorBidi"/>
          <w:b/>
          <w:u w:val="single"/>
          <w:lang w:val="de-DE"/>
        </w:rPr>
        <w:tab/>
      </w:r>
      <w:r w:rsidR="00F3524C" w:rsidRPr="00F027E2">
        <w:rPr>
          <w:rFonts w:asciiTheme="majorBidi" w:hAnsiTheme="majorBidi" w:cstheme="majorBidi"/>
          <w:b/>
          <w:u w:val="single"/>
          <w:lang w:val="de-DE"/>
        </w:rPr>
        <w:t>Sicherheitstechnische Eigenschaften</w:t>
      </w:r>
    </w:p>
    <w:p w14:paraId="3719F17E" w14:textId="1AB173CE" w:rsidR="00C91B9B" w:rsidRPr="00A85434" w:rsidRDefault="00C91B9B" w:rsidP="00D86E1E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3.1</w:t>
      </w:r>
      <w:r w:rsidRPr="00F027E2">
        <w:rPr>
          <w:rFonts w:asciiTheme="majorBidi" w:hAnsiTheme="majorBidi" w:cstheme="majorBidi"/>
          <w:lang w:val="de-DE"/>
        </w:rPr>
        <w:tab/>
      </w:r>
      <w:r w:rsidR="00D86E1E" w:rsidRPr="00F027E2">
        <w:rPr>
          <w:rFonts w:asciiTheme="majorBidi" w:hAnsiTheme="majorBidi" w:cstheme="majorBidi"/>
          <w:lang w:val="de-DE"/>
        </w:rPr>
        <w:t>Zündtemperatur nach IEC 60079-20-1:2010, EN 14522:2005, DIN 51 794:2003 in °C; gegebenenfalls Angabe der Temperaturklasse nach IEC 60079-20-1:2010.</w:t>
      </w:r>
      <w:r w:rsidRPr="00282B46">
        <w:rPr>
          <w:rStyle w:val="FootnoteReference"/>
          <w:sz w:val="20"/>
        </w:rPr>
        <w:footnoteReference w:id="6"/>
      </w:r>
    </w:p>
    <w:p w14:paraId="79524084" w14:textId="443F67D9" w:rsidR="00C91B9B" w:rsidRPr="00282B46" w:rsidRDefault="00C91B9B" w:rsidP="00C91B9B">
      <w:pPr>
        <w:pStyle w:val="SingleTxtG"/>
        <w:rPr>
          <w:rFonts w:asciiTheme="majorBidi" w:hAnsiTheme="majorBidi" w:cstheme="majorBidi"/>
          <w:vertAlign w:val="superscript"/>
          <w:lang w:val="de-DE"/>
        </w:rPr>
      </w:pPr>
      <w:r w:rsidRPr="00F027E2">
        <w:rPr>
          <w:rFonts w:asciiTheme="majorBidi" w:hAnsiTheme="majorBidi" w:cstheme="majorBidi"/>
          <w:lang w:val="de-DE"/>
        </w:rPr>
        <w:t>3.2</w:t>
      </w:r>
      <w:r w:rsidRPr="00F027E2">
        <w:rPr>
          <w:rFonts w:asciiTheme="majorBidi" w:hAnsiTheme="majorBidi" w:cstheme="majorBidi"/>
          <w:lang w:val="de-DE"/>
        </w:rPr>
        <w:tab/>
      </w:r>
      <w:r w:rsidR="00D86E1E" w:rsidRPr="00F027E2">
        <w:rPr>
          <w:rFonts w:asciiTheme="majorBidi" w:hAnsiTheme="majorBidi" w:cstheme="majorBidi"/>
          <w:lang w:val="de-DE"/>
        </w:rPr>
        <w:t>Flammpunkt</w:t>
      </w:r>
      <w:r w:rsidRPr="00F027E2">
        <w:rPr>
          <w:rFonts w:asciiTheme="majorBidi" w:hAnsiTheme="majorBidi" w:cstheme="majorBidi"/>
          <w:vertAlign w:val="superscript"/>
          <w:lang w:val="de-DE"/>
        </w:rPr>
        <w:t>5</w:t>
      </w:r>
    </w:p>
    <w:p w14:paraId="63820EAC" w14:textId="2C4573B2" w:rsidR="00C91B9B" w:rsidRPr="00282B46" w:rsidRDefault="00D86E1E" w:rsidP="00C91B9B">
      <w:pPr>
        <w:pStyle w:val="SingleTxtG"/>
        <w:rPr>
          <w:rFonts w:asciiTheme="majorBidi" w:hAnsiTheme="majorBidi" w:cstheme="majorBidi"/>
          <w:u w:val="single"/>
          <w:lang w:val="de-DE"/>
        </w:rPr>
      </w:pPr>
      <w:r w:rsidRPr="00F027E2">
        <w:rPr>
          <w:rFonts w:asciiTheme="majorBidi" w:hAnsiTheme="majorBidi" w:cstheme="majorBidi"/>
          <w:u w:val="single"/>
          <w:lang w:val="de-DE"/>
        </w:rPr>
        <w:t xml:space="preserve">Bei Flammpunkten bis </w:t>
      </w:r>
      <w:r w:rsidR="00C91B9B" w:rsidRPr="00F027E2">
        <w:rPr>
          <w:rFonts w:asciiTheme="majorBidi" w:hAnsiTheme="majorBidi" w:cstheme="majorBidi"/>
          <w:u w:val="single"/>
          <w:lang w:val="de-DE"/>
        </w:rPr>
        <w:t>175 °C</w:t>
      </w:r>
    </w:p>
    <w:p w14:paraId="2AFD648B" w14:textId="40756FBB" w:rsidR="00D86E1E" w:rsidRPr="00282B46" w:rsidRDefault="00D86E1E" w:rsidP="00D86E1E">
      <w:pPr>
        <w:autoSpaceDE w:val="0"/>
        <w:autoSpaceDN w:val="0"/>
        <w:adjustRightInd w:val="0"/>
        <w:spacing w:after="12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Prüfmethoden mit geschlossenem Tiegel – Ungleichgewichtsverfahren:</w:t>
      </w:r>
    </w:p>
    <w:p w14:paraId="5606FAEB" w14:textId="77777777" w:rsidR="00D86E1E" w:rsidRPr="00F027E2" w:rsidRDefault="00D86E1E" w:rsidP="00D86E1E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Methode nach Abel: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EN ISO 13736: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2008</w:t>
      </w:r>
    </w:p>
    <w:p w14:paraId="64D4DBB7" w14:textId="77777777" w:rsidR="00D86E1E" w:rsidRPr="00282B46" w:rsidRDefault="00D86E1E" w:rsidP="00D86E1E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Methode nach Abel-Pensky: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DIN 51755–1:1974 oder NF M T60-103:1968</w:t>
      </w:r>
    </w:p>
    <w:p w14:paraId="54FDED38" w14:textId="77777777" w:rsidR="00D86E1E" w:rsidRPr="00F027E2" w:rsidRDefault="00D86E1E" w:rsidP="00D86E1E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Methode nach Pensky-Martens: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EN ISO 2719: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2012</w:t>
      </w:r>
    </w:p>
    <w:p w14:paraId="2C827335" w14:textId="77777777" w:rsidR="00D86E1E" w:rsidRPr="00282B46" w:rsidRDefault="00D86E1E" w:rsidP="00D86E1E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Luchaire-Gerät: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französische Norm NF T60-103:1968</w:t>
      </w:r>
    </w:p>
    <w:p w14:paraId="238A8761" w14:textId="77777777" w:rsidR="00D86E1E" w:rsidRPr="00282B46" w:rsidRDefault="00D86E1E" w:rsidP="00D86E1E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Methode nach Tag: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ASTM D56-05 (2010)</w:t>
      </w:r>
    </w:p>
    <w:p w14:paraId="147866E3" w14:textId="2BEB3498" w:rsidR="00D86E1E" w:rsidRPr="00282B46" w:rsidRDefault="00D86E1E" w:rsidP="00D86E1E">
      <w:pPr>
        <w:autoSpaceDE w:val="0"/>
        <w:autoSpaceDN w:val="0"/>
        <w:adjustRightInd w:val="0"/>
        <w:spacing w:after="12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Prüfmethoden mit geschlossenem Tiegel – Gleichgewichtsverfahren:</w:t>
      </w:r>
    </w:p>
    <w:p w14:paraId="6A0FD35A" w14:textId="77777777" w:rsidR="00D86E1E" w:rsidRPr="00282B46" w:rsidRDefault="00D86E1E" w:rsidP="00D86E1E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Schnelles Gleichgewichtsverfahren: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EN ISO 3679:2004; ASTM D3278-96 (2011)</w:t>
      </w:r>
    </w:p>
    <w:p w14:paraId="7C2C0912" w14:textId="77777777" w:rsidR="00D86E1E" w:rsidRPr="00282B46" w:rsidRDefault="00D86E1E" w:rsidP="00D86E1E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de-DE" w:eastAsia="en-US"/>
        </w:rPr>
      </w:pPr>
      <w:r w:rsidRPr="00F027E2">
        <w:rPr>
          <w:rFonts w:eastAsia="TimesNewRomanPSMT"/>
          <w:lang w:val="de-DE" w:eastAsia="en-US"/>
        </w:rPr>
        <w:t>Gleichgewichtsverfahren mit geschlossenem Tiegel:</w:t>
      </w:r>
      <w:r w:rsidRPr="00282B46">
        <w:rPr>
          <w:rFonts w:eastAsia="TimesNewRomanPSMT"/>
          <w:lang w:val="de-DE" w:eastAsia="en-US"/>
        </w:rPr>
        <w:t xml:space="preserve"> </w:t>
      </w:r>
      <w:r w:rsidRPr="00F027E2">
        <w:rPr>
          <w:rFonts w:eastAsia="TimesNewRomanPSMT"/>
          <w:lang w:val="de-DE" w:eastAsia="en-US"/>
        </w:rPr>
        <w:t>EN ISO 1523:2002+AC1:2006; ASTM D3941-90 (2007)</w:t>
      </w:r>
    </w:p>
    <w:p w14:paraId="4064EE87" w14:textId="7F743C31" w:rsidR="00D86E1E" w:rsidRPr="00282B46" w:rsidRDefault="00D86E1E" w:rsidP="00D86E1E">
      <w:pPr>
        <w:autoSpaceDE w:val="0"/>
        <w:autoSpaceDN w:val="0"/>
        <w:adjustRightInd w:val="0"/>
        <w:spacing w:after="120"/>
        <w:ind w:left="1134"/>
        <w:rPr>
          <w:rFonts w:eastAsia="TimesNewRomanPSMT"/>
          <w:u w:val="single"/>
          <w:lang w:val="de-DE" w:eastAsia="en-US"/>
        </w:rPr>
      </w:pPr>
      <w:r w:rsidRPr="00F027E2">
        <w:rPr>
          <w:rFonts w:eastAsia="TimesNewRomanPSMT"/>
          <w:u w:val="single"/>
          <w:lang w:val="de-DE" w:eastAsia="en-US"/>
        </w:rPr>
        <w:t>Bei Flammpunkten über 175 °C</w:t>
      </w:r>
    </w:p>
    <w:p w14:paraId="7B1F7599" w14:textId="77777777" w:rsidR="00D86E1E" w:rsidRPr="00282B46" w:rsidRDefault="00D86E1E" w:rsidP="00D86E1E">
      <w:pPr>
        <w:pStyle w:val="ListParagraph"/>
        <w:autoSpaceDE w:val="0"/>
        <w:autoSpaceDN w:val="0"/>
        <w:adjustRightInd w:val="0"/>
        <w:spacing w:before="0" w:after="80"/>
        <w:ind w:left="1134"/>
        <w:rPr>
          <w:rFonts w:ascii="Times New Roman" w:eastAsia="TimesNewRomanPSMT" w:hAnsi="Times New Roman" w:cs="Times New Roman"/>
          <w:kern w:val="0"/>
          <w:sz w:val="20"/>
          <w:szCs w:val="20"/>
          <w:lang w:val="de-DE" w:eastAsia="en-US" w:bidi="ar-SA"/>
        </w:rPr>
      </w:pPr>
      <w:r w:rsidRPr="00F027E2">
        <w:rPr>
          <w:rFonts w:ascii="Times New Roman" w:eastAsia="TimesNewRomanPSMT" w:hAnsi="Times New Roman" w:cs="Times New Roman"/>
          <w:kern w:val="0"/>
          <w:sz w:val="20"/>
          <w:szCs w:val="20"/>
          <w:lang w:val="de-DE" w:eastAsia="en-US" w:bidi="ar-SA"/>
        </w:rPr>
        <w:t>Zusätzlich zu den oben aufgeführten Methoden ist folgende Prüfmethode mit offenem Tiegel anwendbar:</w:t>
      </w:r>
    </w:p>
    <w:p w14:paraId="00EF7682" w14:textId="77777777" w:rsidR="00D86E1E" w:rsidRPr="00282B46" w:rsidRDefault="00D86E1E" w:rsidP="00392EFB">
      <w:pPr>
        <w:autoSpaceDE w:val="0"/>
        <w:autoSpaceDN w:val="0"/>
        <w:adjustRightInd w:val="0"/>
        <w:spacing w:after="80"/>
        <w:ind w:left="1134"/>
        <w:rPr>
          <w:rFonts w:eastAsia="TimesNewRomanPSMT"/>
          <w:lang w:val="nl-NL" w:eastAsia="en-US"/>
        </w:rPr>
      </w:pPr>
      <w:r w:rsidRPr="00A85434">
        <w:rPr>
          <w:rFonts w:eastAsia="TimesNewRomanPSMT"/>
          <w:lang w:val="nl-NL" w:eastAsia="en-US"/>
        </w:rPr>
        <w:t>Methode nach Cleveland:</w:t>
      </w:r>
      <w:r w:rsidRPr="00282B46">
        <w:rPr>
          <w:rFonts w:eastAsia="TimesNewRomanPSMT"/>
          <w:lang w:val="nl-NL" w:eastAsia="en-US"/>
        </w:rPr>
        <w:t xml:space="preserve"> </w:t>
      </w:r>
      <w:r w:rsidRPr="00A85434">
        <w:rPr>
          <w:rFonts w:eastAsia="TimesNewRomanPSMT"/>
          <w:lang w:val="nl-NL" w:eastAsia="en-US"/>
        </w:rPr>
        <w:t>EN ISO 2592:2002; ASTM D92-12.</w:t>
      </w:r>
    </w:p>
    <w:p w14:paraId="6AFC84DA" w14:textId="62809154" w:rsidR="00C91B9B" w:rsidRPr="00F027E2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>3.3</w:t>
      </w:r>
      <w:r w:rsidRPr="00F027E2">
        <w:rPr>
          <w:rFonts w:asciiTheme="majorBidi" w:hAnsiTheme="majorBidi" w:cstheme="majorBidi"/>
          <w:lang w:val="de-DE"/>
        </w:rPr>
        <w:tab/>
      </w:r>
      <w:r w:rsidR="00392EFB" w:rsidRPr="00F027E2">
        <w:rPr>
          <w:rFonts w:asciiTheme="majorBidi" w:hAnsiTheme="majorBidi" w:cstheme="majorBidi"/>
          <w:lang w:val="de-DE"/>
        </w:rPr>
        <w:t>Explosionsgrenzen (Zündgrenzen)</w:t>
      </w:r>
      <w:r w:rsidRPr="00F027E2">
        <w:rPr>
          <w:rFonts w:asciiTheme="majorBidi" w:hAnsiTheme="majorBidi" w:cstheme="majorBidi"/>
          <w:lang w:val="de-DE"/>
        </w:rPr>
        <w:t>:</w:t>
      </w:r>
      <w:r w:rsidRPr="00282B46">
        <w:rPr>
          <w:rStyle w:val="FootnoteReference"/>
          <w:sz w:val="20"/>
        </w:rPr>
        <w:footnoteReference w:id="7"/>
      </w:r>
    </w:p>
    <w:p w14:paraId="748189BE" w14:textId="53576B38" w:rsidR="00C91B9B" w:rsidRPr="00282B46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F027E2">
        <w:rPr>
          <w:rFonts w:asciiTheme="majorBidi" w:hAnsiTheme="majorBidi" w:cstheme="majorBidi"/>
          <w:lang w:val="de-DE"/>
        </w:rPr>
        <w:tab/>
      </w:r>
      <w:r w:rsidR="00392EFB" w:rsidRPr="00F027E2">
        <w:rPr>
          <w:rFonts w:asciiTheme="majorBidi" w:hAnsiTheme="majorBidi" w:cstheme="majorBidi"/>
          <w:lang w:val="de-DE"/>
        </w:rPr>
        <w:t>Bestimmung der unteren Explosionsgrenze (UEG) und der oberen Explosionsgrenzen (OEG) nach EN 1839:2012.</w:t>
      </w:r>
    </w:p>
    <w:p w14:paraId="288E2341" w14:textId="2598E6FA" w:rsidR="00C91B9B" w:rsidRPr="00DC7489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3.4</w:t>
      </w:r>
      <w:r w:rsidRPr="00DC7489">
        <w:rPr>
          <w:rFonts w:asciiTheme="majorBidi" w:hAnsiTheme="majorBidi" w:cstheme="majorBidi"/>
          <w:lang w:val="de-DE"/>
        </w:rPr>
        <w:tab/>
      </w:r>
      <w:r w:rsidR="00D83D4D" w:rsidRPr="00DC7489">
        <w:rPr>
          <w:rFonts w:asciiTheme="majorBidi" w:hAnsiTheme="majorBidi" w:cstheme="majorBidi"/>
          <w:lang w:val="de-DE"/>
        </w:rPr>
        <w:t xml:space="preserve">Normenspaltweite nach IEC </w:t>
      </w:r>
      <w:r w:rsidRPr="00DC7489">
        <w:rPr>
          <w:rFonts w:asciiTheme="majorBidi" w:hAnsiTheme="majorBidi" w:cstheme="majorBidi"/>
          <w:lang w:val="de-DE"/>
        </w:rPr>
        <w:t xml:space="preserve">60079-20-1:2010: </w:t>
      </w:r>
      <w:r w:rsidRPr="00DC7489">
        <w:rPr>
          <w:rFonts w:asciiTheme="majorBidi" w:hAnsiTheme="majorBidi" w:cstheme="majorBidi"/>
          <w:b/>
          <w:bCs/>
          <w:lang w:val="de-DE"/>
        </w:rPr>
        <w:t>n</w:t>
      </w:r>
      <w:r w:rsidR="006F1CF8" w:rsidRPr="00DC7489">
        <w:rPr>
          <w:rFonts w:asciiTheme="majorBidi" w:hAnsiTheme="majorBidi" w:cstheme="majorBidi"/>
          <w:b/>
          <w:bCs/>
          <w:lang w:val="de-DE"/>
        </w:rPr>
        <w:t>ich</w:t>
      </w:r>
      <w:r w:rsidRPr="00DC7489">
        <w:rPr>
          <w:rFonts w:asciiTheme="majorBidi" w:hAnsiTheme="majorBidi" w:cstheme="majorBidi"/>
          <w:b/>
          <w:bCs/>
          <w:lang w:val="de-DE"/>
        </w:rPr>
        <w:t xml:space="preserve">t </w:t>
      </w:r>
      <w:r w:rsidR="006F1CF8" w:rsidRPr="00DC7489">
        <w:rPr>
          <w:rFonts w:asciiTheme="majorBidi" w:hAnsiTheme="majorBidi" w:cstheme="majorBidi"/>
          <w:b/>
          <w:bCs/>
          <w:lang w:val="de-DE"/>
        </w:rPr>
        <w:t>zutreffend</w:t>
      </w:r>
    </w:p>
    <w:p w14:paraId="6FEB375F" w14:textId="623C1229" w:rsidR="00C91B9B" w:rsidRPr="00DC7489" w:rsidRDefault="00C91B9B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3.5</w:t>
      </w:r>
      <w:r w:rsidRPr="00DC7489">
        <w:rPr>
          <w:rFonts w:asciiTheme="majorBidi" w:hAnsiTheme="majorBidi" w:cstheme="majorBidi"/>
          <w:lang w:val="de-DE"/>
        </w:rPr>
        <w:tab/>
      </w:r>
      <w:r w:rsidR="00D83D4D" w:rsidRPr="00DC7489">
        <w:rPr>
          <w:rFonts w:asciiTheme="majorBidi" w:hAnsiTheme="majorBidi" w:cstheme="majorBidi"/>
          <w:lang w:val="de-DE"/>
        </w:rPr>
        <w:t>Wird der Stoff in stabilisiertem Zustand befördert</w:t>
      </w:r>
      <w:r w:rsidRPr="00DC7489">
        <w:rPr>
          <w:rFonts w:asciiTheme="majorBidi" w:hAnsiTheme="majorBidi" w:cstheme="majorBidi"/>
          <w:lang w:val="de-DE"/>
        </w:rPr>
        <w:t xml:space="preserve">? </w:t>
      </w:r>
      <w:r w:rsidR="00D83D4D" w:rsidRPr="00DC7489">
        <w:rPr>
          <w:rFonts w:asciiTheme="majorBidi" w:hAnsiTheme="majorBidi" w:cstheme="majorBidi"/>
          <w:b/>
          <w:lang w:val="de-DE"/>
        </w:rPr>
        <w:t>nein</w:t>
      </w:r>
      <w:r w:rsidRPr="00DC7489">
        <w:rPr>
          <w:rFonts w:asciiTheme="majorBidi" w:hAnsiTheme="majorBidi" w:cstheme="majorBidi"/>
          <w:bCs/>
          <w:lang w:val="de-DE"/>
        </w:rPr>
        <w:t>.</w:t>
      </w:r>
    </w:p>
    <w:p w14:paraId="2DB831A5" w14:textId="322CB30F" w:rsidR="00C91B9B" w:rsidRPr="00282B46" w:rsidRDefault="00D83D4D" w:rsidP="00C91B9B">
      <w:pPr>
        <w:pStyle w:val="SingleTxtG"/>
        <w:rPr>
          <w:rFonts w:asciiTheme="majorBidi" w:hAnsiTheme="majorBidi" w:cstheme="majorBidi"/>
          <w:lang w:val="de-DE"/>
        </w:rPr>
      </w:pPr>
      <w:r w:rsidRPr="00DC7489">
        <w:rPr>
          <w:rFonts w:asciiTheme="majorBidi" w:hAnsiTheme="majorBidi" w:cstheme="majorBidi"/>
          <w:lang w:val="de-DE"/>
        </w:rPr>
        <w:t>Gegebenenfalls Angaben zum Stabilisierungsmittel</w:t>
      </w:r>
      <w:r w:rsidR="00C91B9B" w:rsidRPr="00DC7489">
        <w:rPr>
          <w:rFonts w:asciiTheme="majorBidi" w:hAnsiTheme="majorBidi" w:cstheme="majorBidi"/>
          <w:lang w:val="de-DE"/>
        </w:rPr>
        <w:t xml:space="preserve">: </w:t>
      </w:r>
      <w:r w:rsidR="006F1CF8" w:rsidRPr="00DC7489">
        <w:rPr>
          <w:rFonts w:asciiTheme="majorBidi" w:hAnsiTheme="majorBidi" w:cstheme="majorBidi"/>
          <w:b/>
          <w:bCs/>
          <w:lang w:val="de-DE"/>
        </w:rPr>
        <w:t>nicht zutreffend</w:t>
      </w:r>
    </w:p>
    <w:p w14:paraId="4D73C967" w14:textId="77777777" w:rsidR="00D83D4D" w:rsidRPr="00282B46" w:rsidRDefault="00C91B9B" w:rsidP="00C91B9B">
      <w:pPr>
        <w:pStyle w:val="SingleTxtG"/>
        <w:keepNext/>
        <w:rPr>
          <w:lang w:val="de-DE"/>
        </w:rPr>
      </w:pPr>
      <w:r w:rsidRPr="00F027E2">
        <w:rPr>
          <w:lang w:val="de-DE"/>
        </w:rPr>
        <w:lastRenderedPageBreak/>
        <w:t>3.6</w:t>
      </w:r>
      <w:r w:rsidRPr="00F027E2">
        <w:rPr>
          <w:lang w:val="de-DE"/>
        </w:rPr>
        <w:tab/>
      </w:r>
      <w:r w:rsidR="00D83D4D" w:rsidRPr="00F027E2">
        <w:rPr>
          <w:lang w:val="de-DE"/>
        </w:rPr>
        <w:t>Zersetzungsprodukte bei Brand unter Luftkontakt oder bei Einwirkung eines Fremdbrandes:</w:t>
      </w:r>
    </w:p>
    <w:p w14:paraId="7CE1A527" w14:textId="2788D57B" w:rsidR="00C91B9B" w:rsidRPr="00DC7489" w:rsidRDefault="00E714CF" w:rsidP="00E714CF">
      <w:pPr>
        <w:pStyle w:val="SingleTxtG"/>
        <w:rPr>
          <w:b/>
          <w:bCs/>
          <w:lang w:val="de-DE"/>
        </w:rPr>
      </w:pPr>
      <w:r w:rsidRPr="00DC7489">
        <w:rPr>
          <w:b/>
          <w:bCs/>
          <w:lang w:val="de-DE"/>
        </w:rPr>
        <w:t>Vernachlässigbare Brandgefahr, aber Lagerbehälter können bei Hitzeeinwirkung platzen oder explodieren.</w:t>
      </w:r>
      <w:r w:rsidR="00C91B9B" w:rsidRPr="00DC7489">
        <w:rPr>
          <w:b/>
          <w:bCs/>
          <w:lang w:val="de-DE"/>
        </w:rPr>
        <w:t xml:space="preserve"> </w:t>
      </w:r>
      <w:r w:rsidRPr="00DC7489">
        <w:rPr>
          <w:b/>
          <w:bCs/>
          <w:lang w:val="de-DE"/>
        </w:rPr>
        <w:t>Gefährlich</w:t>
      </w:r>
    </w:p>
    <w:p w14:paraId="7789BD87" w14:textId="10CC5806" w:rsidR="00C91B9B" w:rsidRPr="00986D27" w:rsidRDefault="00E714CF" w:rsidP="00E714CF">
      <w:pPr>
        <w:pStyle w:val="SingleTxtG"/>
        <w:rPr>
          <w:lang w:val="de-DE"/>
        </w:rPr>
      </w:pPr>
      <w:r w:rsidRPr="00DC7489">
        <w:rPr>
          <w:b/>
          <w:bCs/>
          <w:lang w:val="de-DE"/>
        </w:rPr>
        <w:t>Verbrennungsprodukte sind Stickstoffoxide</w:t>
      </w:r>
    </w:p>
    <w:p w14:paraId="7A38E7B0" w14:textId="46DE15D7" w:rsidR="00C91B9B" w:rsidRPr="00986D27" w:rsidRDefault="00C91B9B" w:rsidP="00C91B9B">
      <w:pPr>
        <w:pStyle w:val="SingleTxtG"/>
        <w:rPr>
          <w:lang w:val="de-DE"/>
        </w:rPr>
      </w:pPr>
      <w:r w:rsidRPr="00986D27">
        <w:rPr>
          <w:lang w:val="de-DE"/>
        </w:rPr>
        <w:t>3.7</w:t>
      </w:r>
      <w:r w:rsidRPr="00986D27">
        <w:rPr>
          <w:lang w:val="de-DE"/>
        </w:rPr>
        <w:tab/>
      </w:r>
      <w:r w:rsidR="00D83D4D" w:rsidRPr="00986D27">
        <w:rPr>
          <w:lang w:val="de-DE"/>
        </w:rPr>
        <w:t>Ist der Stoff brandfördernd</w:t>
      </w:r>
      <w:r w:rsidRPr="00986D27">
        <w:rPr>
          <w:lang w:val="de-DE"/>
        </w:rPr>
        <w:t>?</w:t>
      </w:r>
    </w:p>
    <w:p w14:paraId="741D50AF" w14:textId="3EC0FDFA" w:rsidR="00C91B9B" w:rsidRPr="00282B46" w:rsidRDefault="00D83D4D" w:rsidP="00C91B9B">
      <w:pPr>
        <w:pStyle w:val="SingleTxtG"/>
        <w:rPr>
          <w:lang w:val="de-DE"/>
        </w:rPr>
      </w:pPr>
      <w:r w:rsidRPr="00F027E2">
        <w:rPr>
          <w:rFonts w:cstheme="minorHAnsi"/>
          <w:b/>
          <w:lang w:val="de-DE"/>
        </w:rPr>
        <w:t>nein</w:t>
      </w:r>
    </w:p>
    <w:p w14:paraId="23AD2C42" w14:textId="061F9904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>3.8</w:t>
      </w:r>
      <w:r w:rsidRPr="00F027E2">
        <w:rPr>
          <w:lang w:val="de-DE"/>
        </w:rPr>
        <w:tab/>
      </w:r>
      <w:r w:rsidR="00D83D4D" w:rsidRPr="00F027E2">
        <w:rPr>
          <w:lang w:val="de-DE"/>
        </w:rPr>
        <w:t>Abtragungsraten (Korrosionsraten)</w:t>
      </w:r>
      <w:r w:rsidRPr="00F027E2">
        <w:rPr>
          <w:lang w:val="de-DE"/>
        </w:rPr>
        <w:t>:</w:t>
      </w:r>
      <w:r w:rsidRPr="00282B46">
        <w:rPr>
          <w:lang w:val="de-DE"/>
        </w:rPr>
        <w:t xml:space="preserve"> </w:t>
      </w:r>
      <w:r w:rsidRPr="00F027E2">
        <w:rPr>
          <w:rFonts w:cstheme="minorHAnsi"/>
          <w:b/>
          <w:lang w:val="de-DE"/>
        </w:rPr>
        <w:t>0</w:t>
      </w:r>
      <w:r w:rsidRPr="00F027E2">
        <w:rPr>
          <w:b/>
          <w:lang w:val="de-DE"/>
        </w:rPr>
        <w:t xml:space="preserve"> mm/</w:t>
      </w:r>
      <w:r w:rsidR="00D83D4D" w:rsidRPr="00F027E2">
        <w:rPr>
          <w:b/>
          <w:lang w:val="de-DE"/>
        </w:rPr>
        <w:t>Jahr</w:t>
      </w:r>
      <w:r w:rsidRPr="00F027E2">
        <w:rPr>
          <w:b/>
          <w:lang w:val="de-DE"/>
        </w:rPr>
        <w:t>.</w:t>
      </w:r>
    </w:p>
    <w:p w14:paraId="45879BFE" w14:textId="080BB52D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>3.9</w:t>
      </w:r>
      <w:r w:rsidRPr="00F027E2">
        <w:rPr>
          <w:lang w:val="de-DE"/>
        </w:rPr>
        <w:tab/>
      </w:r>
      <w:r w:rsidR="00D83D4D" w:rsidRPr="00F027E2">
        <w:rPr>
          <w:lang w:val="de-DE"/>
        </w:rPr>
        <w:t>Reagiert der Stoff mit Wasser oder feuchter Luft unter Entwicklung entzündbarer oder giftiger Gase</w:t>
      </w:r>
      <w:r w:rsidRPr="00F027E2">
        <w:rPr>
          <w:lang w:val="de-DE"/>
        </w:rPr>
        <w:t>?</w:t>
      </w:r>
    </w:p>
    <w:p w14:paraId="7E784C11" w14:textId="54182956" w:rsidR="00C91B9B" w:rsidRPr="00F027E2" w:rsidRDefault="00D83D4D" w:rsidP="00C91B9B">
      <w:pPr>
        <w:pStyle w:val="SingleTxtG"/>
        <w:rPr>
          <w:lang w:val="de-DE"/>
        </w:rPr>
      </w:pPr>
      <w:r w:rsidRPr="00F027E2">
        <w:rPr>
          <w:rFonts w:cstheme="minorHAnsi"/>
          <w:b/>
          <w:lang w:val="de-DE"/>
        </w:rPr>
        <w:t>Nein</w:t>
      </w:r>
      <w:r w:rsidR="00C91B9B" w:rsidRPr="00F027E2">
        <w:rPr>
          <w:lang w:val="de-DE"/>
        </w:rPr>
        <w:t>.</w:t>
      </w:r>
      <w:r w:rsidR="00C91B9B" w:rsidRPr="00282B46">
        <w:rPr>
          <w:lang w:val="de-DE"/>
        </w:rPr>
        <w:t xml:space="preserve"> </w:t>
      </w:r>
      <w:r w:rsidRPr="00F027E2">
        <w:rPr>
          <w:lang w:val="de-DE"/>
        </w:rPr>
        <w:t>Entstehende Gase</w:t>
      </w:r>
      <w:r w:rsidR="00C91B9B" w:rsidRPr="00F027E2">
        <w:rPr>
          <w:lang w:val="de-DE"/>
        </w:rPr>
        <w:t>:</w:t>
      </w:r>
      <w:r w:rsidR="00C91B9B" w:rsidRPr="00282B46">
        <w:rPr>
          <w:lang w:val="de-DE"/>
        </w:rPr>
        <w:t xml:space="preserve"> </w:t>
      </w:r>
      <w:r w:rsidR="00C91B9B" w:rsidRPr="00F027E2">
        <w:rPr>
          <w:rFonts w:cs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1B9B" w:rsidRPr="00F027E2">
        <w:rPr>
          <w:rFonts w:cstheme="minorHAnsi"/>
          <w:b/>
          <w:lang w:val="de-DE"/>
        </w:rPr>
        <w:instrText xml:space="preserve"> FORMTEXT </w:instrText>
      </w:r>
      <w:r w:rsidR="00C91B9B" w:rsidRPr="00F027E2">
        <w:rPr>
          <w:rFonts w:cstheme="minorHAnsi"/>
          <w:b/>
        </w:rPr>
      </w:r>
      <w:r w:rsidR="00C91B9B" w:rsidRPr="00F027E2">
        <w:rPr>
          <w:rFonts w:cstheme="minorHAnsi"/>
          <w:b/>
        </w:rPr>
        <w:fldChar w:fldCharType="separate"/>
      </w:r>
      <w:r w:rsidR="00C91B9B" w:rsidRPr="00F027E2">
        <w:rPr>
          <w:rFonts w:cstheme="minorHAnsi"/>
          <w:b/>
        </w:rPr>
        <w:t> </w:t>
      </w:r>
      <w:r w:rsidR="00C91B9B" w:rsidRPr="00F027E2">
        <w:rPr>
          <w:rFonts w:cstheme="minorHAnsi"/>
          <w:b/>
        </w:rPr>
        <w:t> </w:t>
      </w:r>
      <w:r w:rsidR="00C91B9B" w:rsidRPr="00F027E2">
        <w:rPr>
          <w:rFonts w:cstheme="minorHAnsi"/>
          <w:b/>
        </w:rPr>
        <w:t> </w:t>
      </w:r>
      <w:r w:rsidR="00C91B9B" w:rsidRPr="00F027E2">
        <w:rPr>
          <w:rFonts w:cstheme="minorHAnsi"/>
          <w:b/>
        </w:rPr>
        <w:t> </w:t>
      </w:r>
      <w:r w:rsidR="00C91B9B" w:rsidRPr="00F027E2">
        <w:rPr>
          <w:rFonts w:cstheme="minorHAnsi"/>
          <w:b/>
        </w:rPr>
        <w:t> </w:t>
      </w:r>
      <w:r w:rsidR="00C91B9B" w:rsidRPr="00F027E2">
        <w:rPr>
          <w:rFonts w:cstheme="minorHAnsi"/>
          <w:b/>
        </w:rPr>
        <w:fldChar w:fldCharType="end"/>
      </w:r>
    </w:p>
    <w:p w14:paraId="680B1E7C" w14:textId="0586AB00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>3.10</w:t>
      </w:r>
      <w:r w:rsidRPr="00F027E2">
        <w:rPr>
          <w:lang w:val="de-DE"/>
        </w:rPr>
        <w:tab/>
      </w:r>
      <w:r w:rsidR="00D83D4D" w:rsidRPr="00F027E2">
        <w:rPr>
          <w:lang w:val="de-DE"/>
        </w:rPr>
        <w:t>Reagiert der Stoff auf irgendeine andere Weise gefährlich?</w:t>
      </w:r>
    </w:p>
    <w:p w14:paraId="0D9D740F" w14:textId="5C11C8E3" w:rsidR="00C91B9B" w:rsidRPr="00986D27" w:rsidRDefault="007C3BAC" w:rsidP="007C3BAC">
      <w:pPr>
        <w:pStyle w:val="SingleTxtG"/>
        <w:rPr>
          <w:lang w:val="de-DE"/>
        </w:rPr>
      </w:pPr>
      <w:r w:rsidRPr="00D90989">
        <w:rPr>
          <w:b/>
          <w:bCs/>
          <w:lang w:val="de-DE"/>
        </w:rPr>
        <w:t>Unter bestimmten Bedingungen kann Stickstoff mit Lithium, Neodym, Titan (oberhalb von 800°C) und</w:t>
      </w:r>
      <w:r w:rsidRPr="00DC7489">
        <w:rPr>
          <w:b/>
          <w:bCs/>
          <w:lang w:val="de-DE"/>
        </w:rPr>
        <w:t xml:space="preserve"> Magnesium heftig reagieren und Nitride bilden.</w:t>
      </w:r>
      <w:r w:rsidR="00C91B9B" w:rsidRPr="00DC7489">
        <w:rPr>
          <w:b/>
          <w:bCs/>
          <w:lang w:val="de-DE"/>
        </w:rPr>
        <w:t xml:space="preserve"> </w:t>
      </w:r>
      <w:r w:rsidRPr="007C3BAC">
        <w:rPr>
          <w:b/>
          <w:bCs/>
          <w:lang w:val="de-DE"/>
        </w:rPr>
        <w:t>Bei hohen Temperaturen kann er sich auch mit Sauerstoff und Wasserstoff verbinden.</w:t>
      </w:r>
      <w:r w:rsidR="00A12D33" w:rsidRPr="00986D27">
        <w:rPr>
          <w:b/>
          <w:bCs/>
          <w:lang w:val="de-DE"/>
        </w:rPr>
        <w:t xml:space="preserve"> </w:t>
      </w:r>
    </w:p>
    <w:p w14:paraId="6C7A2456" w14:textId="04696004" w:rsidR="00C91B9B" w:rsidRPr="00282B46" w:rsidRDefault="00C91B9B" w:rsidP="00C91B9B">
      <w:pPr>
        <w:pStyle w:val="SingleTxtG"/>
        <w:rPr>
          <w:rFonts w:cstheme="minorHAnsi"/>
          <w:b/>
          <w:lang w:val="de-DE"/>
        </w:rPr>
      </w:pPr>
      <w:r w:rsidRPr="00F027E2">
        <w:rPr>
          <w:lang w:val="de-DE"/>
        </w:rPr>
        <w:t>3.11</w:t>
      </w:r>
      <w:r w:rsidRPr="00F027E2">
        <w:rPr>
          <w:lang w:val="de-DE"/>
        </w:rPr>
        <w:tab/>
      </w:r>
      <w:r w:rsidR="0097490B" w:rsidRPr="00F027E2">
        <w:rPr>
          <w:lang w:val="de-DE"/>
        </w:rPr>
        <w:t xml:space="preserve">Reagiert der Stoff beim Wiederaufheizen </w:t>
      </w:r>
      <w:r w:rsidR="0097490B" w:rsidRPr="00A12D33">
        <w:rPr>
          <w:lang w:val="de-DE"/>
        </w:rPr>
        <w:t>gefährlich</w:t>
      </w:r>
      <w:r w:rsidRPr="00A12D33">
        <w:rPr>
          <w:lang w:val="de-DE"/>
        </w:rPr>
        <w:t>?</w:t>
      </w:r>
      <w:r w:rsidR="00A12D33" w:rsidRPr="00282B46">
        <w:rPr>
          <w:lang w:val="de-DE"/>
        </w:rPr>
        <w:t xml:space="preserve"> </w:t>
      </w:r>
      <w:r w:rsidR="00A12D33" w:rsidRPr="00C05C50">
        <w:rPr>
          <w:rFonts w:cstheme="minorHAnsi"/>
          <w:b/>
          <w:highlight w:val="lightGray"/>
          <w:lang w:val="de-DE"/>
        </w:rPr>
        <w:t>Nein</w:t>
      </w:r>
    </w:p>
    <w:p w14:paraId="24D0DC9F" w14:textId="64CDC898" w:rsidR="00C91B9B" w:rsidRPr="00282B46" w:rsidRDefault="00C91B9B" w:rsidP="00C91B9B">
      <w:pPr>
        <w:pStyle w:val="SingleTxtG"/>
        <w:rPr>
          <w:u w:val="single"/>
          <w:lang w:val="de-DE"/>
        </w:rPr>
      </w:pPr>
      <w:r w:rsidRPr="00F027E2">
        <w:rPr>
          <w:b/>
          <w:u w:val="single"/>
          <w:lang w:val="de-DE"/>
        </w:rPr>
        <w:t>4.</w:t>
      </w:r>
      <w:r w:rsidRPr="00F027E2">
        <w:rPr>
          <w:b/>
          <w:u w:val="single"/>
          <w:lang w:val="de-DE"/>
        </w:rPr>
        <w:tab/>
      </w:r>
      <w:r w:rsidR="0097490B" w:rsidRPr="00F027E2">
        <w:rPr>
          <w:b/>
          <w:u w:val="single"/>
          <w:lang w:val="de-DE"/>
        </w:rPr>
        <w:t>Physiologische Gefahren</w:t>
      </w:r>
    </w:p>
    <w:p w14:paraId="74FE21D7" w14:textId="2FA8ED09" w:rsidR="0097490B" w:rsidRPr="00282B46" w:rsidRDefault="00C91B9B" w:rsidP="0097490B">
      <w:pPr>
        <w:autoSpaceDE w:val="0"/>
        <w:autoSpaceDN w:val="0"/>
        <w:adjustRightInd w:val="0"/>
        <w:ind w:left="1134"/>
        <w:rPr>
          <w:lang w:val="de-DE" w:eastAsia="nl-NL"/>
        </w:rPr>
      </w:pPr>
      <w:r w:rsidRPr="00F027E2">
        <w:rPr>
          <w:lang w:val="de-DE"/>
        </w:rPr>
        <w:t>4.1</w:t>
      </w:r>
      <w:r w:rsidRPr="00F027E2">
        <w:rPr>
          <w:lang w:val="de-DE"/>
        </w:rPr>
        <w:tab/>
      </w:r>
      <w:r w:rsidR="0097490B" w:rsidRPr="00F027E2">
        <w:rPr>
          <w:lang w:val="de-DE" w:eastAsia="nl-NL"/>
        </w:rPr>
        <w:t>LD</w:t>
      </w:r>
      <w:r w:rsidR="0097490B" w:rsidRPr="00F027E2">
        <w:rPr>
          <w:vertAlign w:val="subscript"/>
          <w:lang w:val="de-DE" w:eastAsia="nl-NL"/>
        </w:rPr>
        <w:t>50</w:t>
      </w:r>
      <w:r w:rsidR="0097490B" w:rsidRPr="00F027E2">
        <w:rPr>
          <w:lang w:val="de-DE" w:eastAsia="nl-NL"/>
        </w:rPr>
        <w:t>- und/oder LC</w:t>
      </w:r>
      <w:r w:rsidR="0097490B" w:rsidRPr="00F027E2">
        <w:rPr>
          <w:vertAlign w:val="subscript"/>
          <w:lang w:val="de-DE" w:eastAsia="nl-NL"/>
        </w:rPr>
        <w:t>50</w:t>
      </w:r>
      <w:r w:rsidR="0097490B" w:rsidRPr="00F027E2">
        <w:rPr>
          <w:lang w:val="de-DE" w:eastAsia="nl-NL"/>
        </w:rPr>
        <w:t>-Wert</w:t>
      </w:r>
      <w:r w:rsidR="0097490B" w:rsidRPr="00F027E2">
        <w:rPr>
          <w:vertAlign w:val="superscript"/>
          <w:lang w:val="de-DE"/>
        </w:rPr>
        <w:t>6</w:t>
      </w:r>
      <w:r w:rsidR="0097490B" w:rsidRPr="00F027E2">
        <w:rPr>
          <w:lang w:val="de-DE" w:eastAsia="nl-NL"/>
        </w:rPr>
        <w:t>.</w:t>
      </w:r>
      <w:r w:rsidR="0097490B" w:rsidRPr="00282B46">
        <w:rPr>
          <w:lang w:val="de-DE" w:eastAsia="nl-NL"/>
        </w:rPr>
        <w:t xml:space="preserve"> </w:t>
      </w:r>
      <w:r w:rsidR="0097490B" w:rsidRPr="00F027E2">
        <w:rPr>
          <w:lang w:val="de-DE" w:eastAsia="nl-NL"/>
        </w:rPr>
        <w:t>Nekrosewert (gegebenenfalls sonstige Kriterien der Giftigkeit nach Unterabschnitt 2.2.61.1 des ADN):</w:t>
      </w:r>
    </w:p>
    <w:p w14:paraId="43E4FAD0" w14:textId="61527D32" w:rsidR="0097490B" w:rsidRPr="00282B46" w:rsidRDefault="0097490B" w:rsidP="0097490B">
      <w:pPr>
        <w:pStyle w:val="SingleTxtG"/>
        <w:spacing w:before="120"/>
        <w:rPr>
          <w:lang w:val="de-DE"/>
        </w:rPr>
      </w:pPr>
      <w:r w:rsidRPr="00F027E2">
        <w:rPr>
          <w:lang w:val="de-DE"/>
        </w:rPr>
        <w:t>CMR-Eigenschaften gemäß Kategorien 1A und 1B der Kapitel 3.5, 3.6 und 3.7 des GHS.</w:t>
      </w:r>
    </w:p>
    <w:p w14:paraId="6C176220" w14:textId="7694A484" w:rsidR="00C91B9B" w:rsidRPr="00282B46" w:rsidRDefault="00C91B9B" w:rsidP="00C91B9B">
      <w:pPr>
        <w:pStyle w:val="SingleTxtG"/>
      </w:pPr>
      <w:r w:rsidRPr="00F027E2">
        <w:rPr>
          <w:lang w:val="de-DE"/>
        </w:rPr>
        <w:t>4.2</w:t>
      </w:r>
      <w:r w:rsidRPr="00F027E2">
        <w:rPr>
          <w:lang w:val="de-DE"/>
        </w:rPr>
        <w:tab/>
      </w:r>
      <w:r w:rsidR="00D82B1E" w:rsidRPr="00F027E2">
        <w:rPr>
          <w:lang w:val="de-DE"/>
        </w:rPr>
        <w:t>Entstehen bei Zersetzung oder Reaktion physiologisch gefährliche Stoffe</w:t>
      </w:r>
      <w:r w:rsidRPr="00F027E2">
        <w:rPr>
          <w:lang w:val="de-DE"/>
        </w:rPr>
        <w:t>?</w:t>
      </w:r>
      <w:bookmarkStart w:id="9" w:name="_Hlk106372403"/>
      <w:r w:rsidRPr="00F027E2">
        <w:rPr>
          <w:rStyle w:val="FootnoteReference"/>
          <w:sz w:val="20"/>
          <w:lang w:val="de-DE"/>
        </w:rPr>
        <w:t>6</w:t>
      </w:r>
      <w:bookmarkEnd w:id="9"/>
      <w:r w:rsidRPr="00F027E2">
        <w:rPr>
          <w:lang w:val="de-DE"/>
        </w:rPr>
        <w:t xml:space="preserve"> </w:t>
      </w:r>
      <w:r w:rsidRPr="00F027E2">
        <w:t>(</w:t>
      </w:r>
      <w:r w:rsidR="00D82B1E" w:rsidRPr="00F027E2">
        <w:t>soweit bekannt, bitte angeben)</w:t>
      </w:r>
    </w:p>
    <w:p w14:paraId="581C52DF" w14:textId="0F7E4734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>4.3</w:t>
      </w:r>
      <w:r w:rsidRPr="00F027E2">
        <w:rPr>
          <w:lang w:val="de-DE"/>
        </w:rPr>
        <w:tab/>
      </w:r>
      <w:r w:rsidR="00D82B1E" w:rsidRPr="00F027E2">
        <w:rPr>
          <w:lang w:val="de-DE"/>
        </w:rPr>
        <w:t>Ökologische Eigenschaften (siehe Unterabschnitt 2.4.2.1 ADN)</w:t>
      </w:r>
    </w:p>
    <w:p w14:paraId="51A4088E" w14:textId="73223C68" w:rsidR="00C91B9B" w:rsidRPr="00282B46" w:rsidRDefault="00C91B9B" w:rsidP="00C91B9B">
      <w:pPr>
        <w:pStyle w:val="SingleTxtG"/>
        <w:rPr>
          <w:b/>
          <w:lang w:val="de-DE"/>
        </w:rPr>
      </w:pPr>
      <w:r w:rsidRPr="00F027E2">
        <w:rPr>
          <w:b/>
          <w:lang w:val="de-DE"/>
        </w:rPr>
        <w:tab/>
      </w:r>
      <w:r w:rsidR="00D82B1E" w:rsidRPr="00F027E2">
        <w:rPr>
          <w:b/>
          <w:lang w:val="de-DE"/>
        </w:rPr>
        <w:t>Akute Giftigkeit</w:t>
      </w:r>
      <w:r w:rsidRPr="00F027E2">
        <w:rPr>
          <w:b/>
          <w:lang w:val="de-DE"/>
        </w:rPr>
        <w:t>:</w:t>
      </w:r>
    </w:p>
    <w:p w14:paraId="1CE91DBC" w14:textId="480AEBF7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="00D82B1E" w:rsidRPr="00F027E2">
        <w:rPr>
          <w:lang w:val="de-DE" w:eastAsia="nl-NL"/>
        </w:rPr>
        <w:t>96 Stunden-LC</w:t>
      </w:r>
      <w:r w:rsidR="00D82B1E" w:rsidRPr="00F027E2">
        <w:rPr>
          <w:vertAlign w:val="subscript"/>
          <w:lang w:val="de-DE" w:eastAsia="nl-NL"/>
        </w:rPr>
        <w:t>50</w:t>
      </w:r>
      <w:r w:rsidR="00D82B1E" w:rsidRPr="00F027E2">
        <w:rPr>
          <w:lang w:val="de-DE" w:eastAsia="nl-NL"/>
        </w:rPr>
        <w:t>-Wert für Fische</w:t>
      </w:r>
      <w:r w:rsidRPr="00F027E2">
        <w:rPr>
          <w:lang w:val="de-DE"/>
        </w:rPr>
        <w:t>:</w:t>
      </w:r>
      <w:r w:rsidRPr="00282B46">
        <w:rPr>
          <w:lang w:val="de-DE"/>
        </w:rPr>
        <w:tab/>
      </w:r>
      <w:r w:rsidRPr="00F027E2">
        <w:rPr>
          <w:rFonts w:cstheme="minorHAnsi"/>
          <w:b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F027E2">
        <w:rPr>
          <w:rFonts w:cstheme="minorHAnsi"/>
          <w:b/>
          <w:lang w:val="de-DE"/>
        </w:rPr>
        <w:instrText xml:space="preserve"> FORMTEXT </w:instrText>
      </w:r>
      <w:r w:rsidRPr="00F027E2">
        <w:rPr>
          <w:rFonts w:cstheme="minorHAnsi"/>
          <w:b/>
        </w:rPr>
      </w:r>
      <w:r w:rsidRPr="00F027E2">
        <w:rPr>
          <w:rFonts w:cstheme="minorHAnsi"/>
          <w:b/>
        </w:rPr>
        <w:fldChar w:fldCharType="separate"/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fldChar w:fldCharType="end"/>
      </w:r>
      <w:r w:rsidRPr="00F027E2">
        <w:rPr>
          <w:lang w:val="de-DE"/>
        </w:rPr>
        <w:t xml:space="preserve"> mg/l</w:t>
      </w:r>
    </w:p>
    <w:p w14:paraId="36266939" w14:textId="78FC3CE4" w:rsidR="00C91B9B" w:rsidRPr="00282B46" w:rsidRDefault="00C91B9B" w:rsidP="00C91B9B">
      <w:pPr>
        <w:pStyle w:val="SingleTxtG"/>
        <w:rPr>
          <w:vertAlign w:val="subscript"/>
          <w:lang w:val="de-DE"/>
        </w:rPr>
      </w:pPr>
      <w:r w:rsidRPr="00F027E2">
        <w:rPr>
          <w:lang w:val="de-DE"/>
        </w:rPr>
        <w:tab/>
      </w:r>
      <w:r w:rsidR="00D82B1E" w:rsidRPr="00F027E2">
        <w:rPr>
          <w:lang w:val="de-DE" w:eastAsia="nl-NL"/>
        </w:rPr>
        <w:t>48 Stunden-EC</w:t>
      </w:r>
      <w:r w:rsidR="00D82B1E" w:rsidRPr="00F027E2">
        <w:rPr>
          <w:vertAlign w:val="subscript"/>
          <w:lang w:val="de-DE" w:eastAsia="nl-NL"/>
        </w:rPr>
        <w:t>50</w:t>
      </w:r>
      <w:r w:rsidR="00D82B1E" w:rsidRPr="00F027E2">
        <w:rPr>
          <w:lang w:val="de-DE" w:eastAsia="nl-NL"/>
        </w:rPr>
        <w:t>-Wert für Daphnien</w:t>
      </w:r>
      <w:r w:rsidRPr="00F027E2">
        <w:rPr>
          <w:lang w:val="de-DE"/>
        </w:rPr>
        <w:t>:</w:t>
      </w:r>
      <w:r w:rsidRPr="00282B46">
        <w:rPr>
          <w:lang w:val="de-DE"/>
        </w:rPr>
        <w:t xml:space="preserve"> </w:t>
      </w:r>
      <w:r w:rsidRPr="00F027E2">
        <w:rPr>
          <w:rFonts w:cstheme="minorHAnsi"/>
          <w:b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F027E2">
        <w:rPr>
          <w:rFonts w:cstheme="minorHAnsi"/>
          <w:b/>
          <w:lang w:val="de-DE"/>
        </w:rPr>
        <w:instrText xml:space="preserve"> FORMTEXT </w:instrText>
      </w:r>
      <w:r w:rsidRPr="00F027E2">
        <w:rPr>
          <w:rFonts w:cstheme="minorHAnsi"/>
          <w:b/>
        </w:rPr>
      </w:r>
      <w:r w:rsidRPr="00F027E2">
        <w:rPr>
          <w:rFonts w:cstheme="minorHAnsi"/>
          <w:b/>
        </w:rPr>
        <w:fldChar w:fldCharType="separate"/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fldChar w:fldCharType="end"/>
      </w:r>
      <w:r w:rsidRPr="00F027E2">
        <w:rPr>
          <w:lang w:val="de-DE"/>
        </w:rPr>
        <w:t xml:space="preserve"> mg/l</w:t>
      </w:r>
    </w:p>
    <w:p w14:paraId="7A9F84D3" w14:textId="562DF3A6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="00D82B1E" w:rsidRPr="00F027E2">
        <w:rPr>
          <w:lang w:val="de-DE" w:eastAsia="nl-NL"/>
        </w:rPr>
        <w:t>72 Stunden-</w:t>
      </w:r>
      <w:r w:rsidR="00D82B1E" w:rsidRPr="00F027E2">
        <w:rPr>
          <w:lang w:val="de-DE"/>
        </w:rPr>
        <w:t xml:space="preserve"> E</w:t>
      </w:r>
      <w:r w:rsidR="00D82B1E" w:rsidRPr="00F027E2">
        <w:rPr>
          <w:vertAlign w:val="subscript"/>
          <w:lang w:val="de-DE"/>
        </w:rPr>
        <w:t>r</w:t>
      </w:r>
      <w:r w:rsidR="00D82B1E" w:rsidRPr="00F027E2">
        <w:rPr>
          <w:lang w:val="de-DE"/>
        </w:rPr>
        <w:t>C</w:t>
      </w:r>
      <w:r w:rsidR="00D82B1E" w:rsidRPr="00F027E2">
        <w:rPr>
          <w:vertAlign w:val="subscript"/>
          <w:lang w:val="de-DE"/>
        </w:rPr>
        <w:t>50</w:t>
      </w:r>
      <w:r w:rsidR="00D82B1E" w:rsidRPr="00F027E2">
        <w:rPr>
          <w:lang w:val="de-DE" w:eastAsia="nl-NL"/>
        </w:rPr>
        <w:t>-Wert für Algen</w:t>
      </w:r>
      <w:r w:rsidRPr="00F027E2">
        <w:rPr>
          <w:lang w:val="de-DE"/>
        </w:rPr>
        <w:t>:</w:t>
      </w:r>
      <w:r w:rsidRPr="00282B46">
        <w:rPr>
          <w:lang w:val="de-DE"/>
        </w:rPr>
        <w:tab/>
      </w:r>
      <w:r w:rsidRPr="00F027E2">
        <w:rPr>
          <w:rFonts w:cstheme="minorHAnsi"/>
          <w:b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F027E2">
        <w:rPr>
          <w:rFonts w:cstheme="minorHAnsi"/>
          <w:b/>
          <w:lang w:val="de-DE"/>
        </w:rPr>
        <w:instrText xml:space="preserve"> FORMTEXT </w:instrText>
      </w:r>
      <w:r w:rsidRPr="00F027E2">
        <w:rPr>
          <w:rFonts w:cstheme="minorHAnsi"/>
          <w:b/>
        </w:rPr>
      </w:r>
      <w:r w:rsidRPr="00F027E2">
        <w:rPr>
          <w:rFonts w:cstheme="minorHAnsi"/>
          <w:b/>
        </w:rPr>
        <w:fldChar w:fldCharType="separate"/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fldChar w:fldCharType="end"/>
      </w:r>
      <w:r w:rsidRPr="00F027E2">
        <w:rPr>
          <w:lang w:val="de-DE"/>
        </w:rPr>
        <w:t xml:space="preserve"> mg/l</w:t>
      </w:r>
    </w:p>
    <w:p w14:paraId="54B779AE" w14:textId="4B9788BF" w:rsidR="00C91B9B" w:rsidRPr="00282B46" w:rsidRDefault="00C91B9B" w:rsidP="00C91B9B">
      <w:pPr>
        <w:pStyle w:val="SingleTxtG"/>
        <w:rPr>
          <w:b/>
          <w:lang w:val="de-DE"/>
        </w:rPr>
      </w:pPr>
      <w:r w:rsidRPr="00F027E2">
        <w:rPr>
          <w:b/>
          <w:lang w:val="de-DE"/>
        </w:rPr>
        <w:tab/>
      </w:r>
      <w:r w:rsidR="00D82B1E" w:rsidRPr="00A85434">
        <w:rPr>
          <w:b/>
          <w:lang w:val="de-DE"/>
        </w:rPr>
        <w:t>Chronische Giftigkeit</w:t>
      </w:r>
      <w:r w:rsidRPr="00A85434">
        <w:rPr>
          <w:b/>
          <w:lang w:val="de-DE"/>
        </w:rPr>
        <w:t>:</w:t>
      </w:r>
    </w:p>
    <w:p w14:paraId="1DC3D8C3" w14:textId="77777777" w:rsidR="00C91B9B" w:rsidRPr="00282B46" w:rsidRDefault="00C91B9B" w:rsidP="00C91B9B">
      <w:pPr>
        <w:pStyle w:val="SingleTxtG"/>
        <w:rPr>
          <w:lang w:val="de-DE"/>
        </w:rPr>
      </w:pPr>
      <w:r w:rsidRPr="00A85434">
        <w:rPr>
          <w:lang w:val="de-DE"/>
        </w:rPr>
        <w:tab/>
        <w:t>NOEC:</w:t>
      </w:r>
      <w:r w:rsidRPr="00282B46">
        <w:rPr>
          <w:lang w:val="de-DE"/>
        </w:rPr>
        <w:tab/>
      </w:r>
      <w:r w:rsidRPr="00F027E2">
        <w:rPr>
          <w:rFonts w:cstheme="minorHAnsi"/>
          <w:b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A85434">
        <w:rPr>
          <w:rFonts w:cstheme="minorHAnsi"/>
          <w:b/>
          <w:lang w:val="de-DE"/>
        </w:rPr>
        <w:instrText xml:space="preserve"> FORMTEXT </w:instrText>
      </w:r>
      <w:r w:rsidRPr="00F027E2">
        <w:rPr>
          <w:rFonts w:cstheme="minorHAnsi"/>
          <w:b/>
        </w:rPr>
      </w:r>
      <w:r w:rsidRPr="00F027E2">
        <w:rPr>
          <w:rFonts w:cstheme="minorHAnsi"/>
          <w:b/>
        </w:rPr>
        <w:fldChar w:fldCharType="separate"/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fldChar w:fldCharType="end"/>
      </w:r>
      <w:r w:rsidRPr="00A85434">
        <w:rPr>
          <w:lang w:val="de-DE"/>
        </w:rPr>
        <w:t xml:space="preserve"> mg/l</w:t>
      </w:r>
    </w:p>
    <w:p w14:paraId="7D5F6E6D" w14:textId="455547B1" w:rsidR="00C91B9B" w:rsidRPr="00282B46" w:rsidRDefault="00C91B9B" w:rsidP="00C91B9B">
      <w:pPr>
        <w:pStyle w:val="SingleTxtG"/>
        <w:rPr>
          <w:lang w:val="de-DE"/>
        </w:rPr>
      </w:pPr>
      <w:r w:rsidRPr="00A85434">
        <w:rPr>
          <w:lang w:val="de-DE"/>
        </w:rPr>
        <w:tab/>
      </w:r>
      <w:r w:rsidRPr="00F027E2">
        <w:rPr>
          <w:lang w:val="de-DE"/>
        </w:rPr>
        <w:t>BCF:</w:t>
      </w:r>
      <w:r w:rsidRPr="00282B46">
        <w:rPr>
          <w:lang w:val="de-DE"/>
        </w:rPr>
        <w:tab/>
      </w:r>
      <w:r w:rsidRPr="00F027E2">
        <w:rPr>
          <w:rFonts w:cstheme="minorHAnsi"/>
          <w:b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F027E2">
        <w:rPr>
          <w:rFonts w:cstheme="minorHAnsi"/>
          <w:b/>
          <w:lang w:val="de-DE"/>
        </w:rPr>
        <w:instrText xml:space="preserve"> FORMTEXT </w:instrText>
      </w:r>
      <w:r w:rsidRPr="00F027E2">
        <w:rPr>
          <w:rFonts w:cstheme="minorHAnsi"/>
          <w:b/>
        </w:rPr>
      </w:r>
      <w:r w:rsidRPr="00F027E2">
        <w:rPr>
          <w:rFonts w:cstheme="minorHAnsi"/>
          <w:b/>
        </w:rPr>
        <w:fldChar w:fldCharType="separate"/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fldChar w:fldCharType="end"/>
      </w:r>
      <w:r w:rsidRPr="00F027E2">
        <w:rPr>
          <w:lang w:val="de-DE"/>
        </w:rPr>
        <w:t xml:space="preserve"> mg/l </w:t>
      </w:r>
      <w:r w:rsidR="004D4C64" w:rsidRPr="00F027E2">
        <w:rPr>
          <w:lang w:val="de-DE"/>
        </w:rPr>
        <w:t>oder</w:t>
      </w:r>
      <w:r w:rsidRPr="00F027E2">
        <w:rPr>
          <w:lang w:val="de-DE"/>
        </w:rPr>
        <w:t xml:space="preserve"> log K</w:t>
      </w:r>
      <w:r w:rsidRPr="00F027E2">
        <w:rPr>
          <w:vertAlign w:val="subscript"/>
          <w:lang w:val="de-DE"/>
        </w:rPr>
        <w:t xml:space="preserve">ow </w:t>
      </w:r>
      <w:r w:rsidRPr="00F027E2">
        <w:rPr>
          <w:lang w:val="de-DE"/>
        </w:rPr>
        <w:t xml:space="preserve"> </w:t>
      </w:r>
      <w:r w:rsidRPr="00F027E2">
        <w:rPr>
          <w:rFonts w:cstheme="minorHAnsi"/>
          <w:b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F027E2">
        <w:rPr>
          <w:rFonts w:cstheme="minorHAnsi"/>
          <w:b/>
          <w:lang w:val="de-DE"/>
        </w:rPr>
        <w:instrText xml:space="preserve"> FORMTEXT </w:instrText>
      </w:r>
      <w:r w:rsidRPr="00F027E2">
        <w:rPr>
          <w:rFonts w:cstheme="minorHAnsi"/>
          <w:b/>
        </w:rPr>
      </w:r>
      <w:r w:rsidRPr="00F027E2">
        <w:rPr>
          <w:rFonts w:cstheme="minorHAnsi"/>
          <w:b/>
        </w:rPr>
        <w:fldChar w:fldCharType="separate"/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t> </w:t>
      </w:r>
      <w:r w:rsidRPr="00F027E2">
        <w:rPr>
          <w:rFonts w:cstheme="minorHAnsi"/>
          <w:b/>
        </w:rPr>
        <w:fldChar w:fldCharType="end"/>
      </w:r>
    </w:p>
    <w:p w14:paraId="511C57A3" w14:textId="4D731AE8" w:rsidR="00C91B9B" w:rsidRPr="00282B46" w:rsidRDefault="00C91B9B" w:rsidP="00C91B9B">
      <w:pPr>
        <w:pStyle w:val="SingleTxtG"/>
        <w:rPr>
          <w:rFonts w:cstheme="minorHAnsi"/>
          <w:bCs/>
          <w:lang w:val="de-DE"/>
        </w:rPr>
      </w:pPr>
      <w:r w:rsidRPr="00F027E2">
        <w:rPr>
          <w:lang w:val="de-DE"/>
        </w:rPr>
        <w:tab/>
      </w:r>
      <w:r w:rsidR="004D4C64" w:rsidRPr="00F027E2">
        <w:rPr>
          <w:lang w:val="de-DE"/>
        </w:rPr>
        <w:t>Leicht biologisch abbaubar</w:t>
      </w:r>
      <w:r w:rsidRPr="00F027E2">
        <w:rPr>
          <w:lang w:val="de-DE"/>
        </w:rPr>
        <w:t>:</w:t>
      </w:r>
      <w:r w:rsidRPr="00282B46">
        <w:rPr>
          <w:lang w:val="de-DE"/>
        </w:rPr>
        <w:t xml:space="preserve"> </w:t>
      </w:r>
      <w:bookmarkStart w:id="10" w:name="_Hlk106626730"/>
      <w:r w:rsidR="003F289F" w:rsidRPr="003F289F">
        <w:rPr>
          <w:rFonts w:cstheme="minorHAnsi"/>
          <w:b/>
          <w:highlight w:val="lightGray"/>
          <w:lang w:val="de-DE"/>
        </w:rPr>
        <w:t>Ja/Nein</w:t>
      </w:r>
      <w:bookmarkEnd w:id="10"/>
    </w:p>
    <w:p w14:paraId="475AF4C9" w14:textId="5534B954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b/>
          <w:lang w:val="de-DE"/>
        </w:rPr>
        <w:t>5.</w:t>
      </w:r>
      <w:r w:rsidRPr="00F027E2">
        <w:rPr>
          <w:b/>
          <w:lang w:val="de-DE"/>
        </w:rPr>
        <w:tab/>
      </w:r>
      <w:r w:rsidR="004D4C64" w:rsidRPr="00F027E2">
        <w:rPr>
          <w:b/>
          <w:lang w:val="de-DE"/>
        </w:rPr>
        <w:t>Angaben zum Gefahrenpotential</w:t>
      </w:r>
    </w:p>
    <w:p w14:paraId="076DA46E" w14:textId="615022DA" w:rsidR="00C91B9B" w:rsidRPr="00F027E2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>5.1</w:t>
      </w:r>
      <w:r w:rsidRPr="00F027E2">
        <w:rPr>
          <w:lang w:val="de-DE"/>
        </w:rPr>
        <w:tab/>
      </w:r>
      <w:r w:rsidR="004D4C64" w:rsidRPr="00F027E2">
        <w:rPr>
          <w:lang w:val="de-DE"/>
        </w:rPr>
        <w:t>Mit welchen konkreten Schäden muss gerechnet werden, wenn die gefährlichen Eigenschaften wirksam werden?</w:t>
      </w:r>
      <w:r w:rsidRPr="00282B46">
        <w:rPr>
          <w:lang w:val="de-DE"/>
        </w:rPr>
        <w:t xml:space="preserve"> </w:t>
      </w:r>
    </w:p>
    <w:p w14:paraId="1449C889" w14:textId="0B599BF1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4D4C64" w:rsidRPr="00F027E2">
        <w:rPr>
          <w:lang w:val="de-DE"/>
        </w:rPr>
        <w:t>Verbrennung</w:t>
      </w:r>
    </w:p>
    <w:p w14:paraId="6D9EE890" w14:textId="32C80854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4D4C64" w:rsidRPr="00F027E2">
        <w:rPr>
          <w:lang w:val="de-DE"/>
        </w:rPr>
        <w:t>Verletzung</w:t>
      </w:r>
    </w:p>
    <w:p w14:paraId="044CD061" w14:textId="4F4784E6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4D4C64" w:rsidRPr="00F027E2">
        <w:rPr>
          <w:lang w:val="de-DE"/>
        </w:rPr>
        <w:t>Verätzung</w:t>
      </w:r>
    </w:p>
    <w:p w14:paraId="11E2DAA7" w14:textId="68DEE075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4D4C64" w:rsidRPr="00F027E2">
        <w:rPr>
          <w:lang w:val="de-DE"/>
        </w:rPr>
        <w:t>Vergiftung bei Aufnahme durch die Haut</w:t>
      </w:r>
    </w:p>
    <w:p w14:paraId="46EB0219" w14:textId="019DDC14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4D4C64" w:rsidRPr="00F027E2">
        <w:rPr>
          <w:lang w:val="de-DE"/>
        </w:rPr>
        <w:t>Vergiftung beim Einatmen</w:t>
      </w:r>
    </w:p>
    <w:p w14:paraId="40BC5339" w14:textId="63AA5522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F027E2" w:rsidRPr="00F027E2">
        <w:rPr>
          <w:lang w:val="de-DE"/>
        </w:rPr>
        <w:t>mechanische Beschädigung</w:t>
      </w:r>
      <w:r w:rsidRPr="00282B46">
        <w:rPr>
          <w:lang w:val="de-DE"/>
        </w:rPr>
        <w:tab/>
      </w:r>
      <w:r w:rsidRPr="00F027E2">
        <w:rPr>
          <w:lang w:val="de-DE"/>
        </w:rPr>
        <w:t xml:space="preserve">- </w:t>
      </w:r>
      <w:r w:rsidR="007C3BAC" w:rsidRPr="00DC7489">
        <w:rPr>
          <w:lang w:val="de-DE"/>
        </w:rPr>
        <w:t>Flüssigleckagen können zur Versprödung von Baustoffen, wie z. B. Kohlenstoffstahl, führen.</w:t>
      </w:r>
    </w:p>
    <w:p w14:paraId="13D178E4" w14:textId="0807D5A0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F027E2" w:rsidRPr="00F027E2">
        <w:rPr>
          <w:lang w:val="de-DE"/>
        </w:rPr>
        <w:t>Zerstörung</w:t>
      </w:r>
    </w:p>
    <w:p w14:paraId="66178BBB" w14:textId="7556229B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F027E2" w:rsidRPr="00F027E2">
        <w:rPr>
          <w:lang w:val="de-DE"/>
        </w:rPr>
        <w:t>Brand</w:t>
      </w:r>
    </w:p>
    <w:p w14:paraId="30587B06" w14:textId="362732E6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lastRenderedPageBreak/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F027E2" w:rsidRPr="00F027E2">
        <w:rPr>
          <w:lang w:val="de-DE"/>
        </w:rPr>
        <w:t>Abtragung (Korrosion bei Metallen)</w:t>
      </w:r>
    </w:p>
    <w:p w14:paraId="4D7452D8" w14:textId="53E444BC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lang w:val="de-DE"/>
        </w:rPr>
        <w:tab/>
      </w:r>
      <w:r w:rsidRPr="00F027E2">
        <w:rPr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027E2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F027E2">
        <w:rPr>
          <w:lang w:val="de-DE"/>
        </w:rPr>
        <w:tab/>
      </w:r>
      <w:r w:rsidR="00F027E2" w:rsidRPr="00F027E2">
        <w:rPr>
          <w:lang w:val="de-DE"/>
        </w:rPr>
        <w:t>Umweltschädigung</w:t>
      </w:r>
    </w:p>
    <w:p w14:paraId="029B151E" w14:textId="2620449C" w:rsidR="00C91B9B" w:rsidRPr="00282B46" w:rsidRDefault="00C91B9B" w:rsidP="00C91B9B">
      <w:pPr>
        <w:pStyle w:val="SingleTxtG"/>
        <w:rPr>
          <w:lang w:val="de-DE"/>
        </w:rPr>
      </w:pPr>
      <w:r w:rsidRPr="00F027E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85434">
        <w:rPr>
          <w:b/>
          <w:lang w:val="de-DE"/>
        </w:rPr>
        <w:instrText xml:space="preserve"> FORMCHECKBOX </w:instrText>
      </w:r>
      <w:r w:rsidR="00923BE9">
        <w:rPr>
          <w:b/>
        </w:rPr>
      </w:r>
      <w:r w:rsidR="00923BE9">
        <w:rPr>
          <w:b/>
        </w:rPr>
        <w:fldChar w:fldCharType="separate"/>
      </w:r>
      <w:r w:rsidRPr="00F027E2">
        <w:rPr>
          <w:b/>
        </w:rPr>
        <w:fldChar w:fldCharType="end"/>
      </w:r>
      <w:r w:rsidRPr="00A85434">
        <w:rPr>
          <w:lang w:val="de-DE"/>
        </w:rPr>
        <w:tab/>
      </w:r>
      <w:r w:rsidR="00CD1C4E" w:rsidRPr="00C45808">
        <w:rPr>
          <w:lang w:val="de-DE"/>
        </w:rPr>
        <w:t>Erstickung - bei Verwendung in Innenräumen</w:t>
      </w:r>
    </w:p>
    <w:p w14:paraId="1285E1EA" w14:textId="361EAB6D" w:rsidR="00C91B9B" w:rsidRPr="00282B46" w:rsidRDefault="00C91B9B" w:rsidP="00C91B9B">
      <w:pPr>
        <w:pStyle w:val="SingleTxtG"/>
        <w:rPr>
          <w:b/>
          <w:lang w:val="de-DE"/>
        </w:rPr>
      </w:pPr>
      <w:r w:rsidRPr="006A3E9D">
        <w:rPr>
          <w:b/>
          <w:lang w:val="de-DE"/>
        </w:rPr>
        <w:t>6.</w:t>
      </w:r>
      <w:r w:rsidRPr="006A3E9D">
        <w:rPr>
          <w:b/>
          <w:lang w:val="de-DE"/>
        </w:rPr>
        <w:tab/>
      </w:r>
      <w:r w:rsidR="006A3E9D" w:rsidRPr="006A3E9D">
        <w:rPr>
          <w:b/>
          <w:lang w:val="de-DE"/>
        </w:rPr>
        <w:t>Angaben zum Beförderungsmittel</w:t>
      </w:r>
    </w:p>
    <w:p w14:paraId="35388276" w14:textId="2D3FF368" w:rsidR="00C91B9B" w:rsidRPr="006A3E9D" w:rsidRDefault="00C91B9B" w:rsidP="00C91B9B">
      <w:pPr>
        <w:pStyle w:val="SingleTxtG"/>
        <w:rPr>
          <w:lang w:val="de-DE"/>
        </w:rPr>
      </w:pPr>
      <w:r w:rsidRPr="006A3E9D">
        <w:rPr>
          <w:lang w:val="de-DE"/>
        </w:rPr>
        <w:t>6.1</w:t>
      </w:r>
      <w:r w:rsidRPr="006A3E9D">
        <w:rPr>
          <w:lang w:val="de-DE"/>
        </w:rPr>
        <w:tab/>
      </w:r>
      <w:r w:rsidR="006A3E9D" w:rsidRPr="006A3E9D">
        <w:rPr>
          <w:lang w:val="de-DE"/>
        </w:rPr>
        <w:t>Sind besondere Beladevorschriften vorgesehen/erforderlich (welche?)</w:t>
      </w:r>
      <w:r w:rsidRPr="00282B46">
        <w:rPr>
          <w:rStyle w:val="FootnoteReference"/>
          <w:sz w:val="20"/>
        </w:rPr>
        <w:footnoteReference w:id="8"/>
      </w:r>
    </w:p>
    <w:p w14:paraId="53F1B90A" w14:textId="37BA745B" w:rsidR="00C91B9B" w:rsidRPr="00C45808" w:rsidRDefault="0034097E" w:rsidP="00AF3376">
      <w:pPr>
        <w:pStyle w:val="SingleTxtG"/>
        <w:rPr>
          <w:lang w:val="de-DE"/>
        </w:rPr>
      </w:pPr>
      <w:r w:rsidRPr="00AF3376">
        <w:rPr>
          <w:lang w:val="de-DE"/>
        </w:rPr>
        <w:t xml:space="preserve">Beim Beladen mit Schläuchen oder festen Ladearmen ist ein Schutz des </w:t>
      </w:r>
      <w:r w:rsidRPr="00C45808">
        <w:rPr>
          <w:lang w:val="de-DE"/>
        </w:rPr>
        <w:t>Schiffskörpers erforderlich, um die Stahlstrukturen im Falle einer Leckage vor Versprödung zu schützen.</w:t>
      </w:r>
      <w:r w:rsidR="00C91B9B" w:rsidRPr="00C45808">
        <w:rPr>
          <w:lang w:val="de-DE"/>
        </w:rPr>
        <w:t xml:space="preserve"> </w:t>
      </w:r>
      <w:r w:rsidR="00AF3376" w:rsidRPr="00C45808">
        <w:rPr>
          <w:lang w:val="de-DE"/>
        </w:rPr>
        <w:t>Dies geschieht in der Regel mit einem Wasservorhang.</w:t>
      </w:r>
    </w:p>
    <w:p w14:paraId="7B549C1B" w14:textId="5B4B1825" w:rsidR="00C91B9B" w:rsidRPr="00C45808" w:rsidRDefault="00C91B9B" w:rsidP="00C91B9B">
      <w:pPr>
        <w:pStyle w:val="SingleTxtG"/>
        <w:rPr>
          <w:b/>
          <w:lang w:val="de-DE"/>
        </w:rPr>
      </w:pPr>
      <w:r w:rsidRPr="00C45808">
        <w:rPr>
          <w:b/>
          <w:lang w:val="de-DE"/>
        </w:rPr>
        <w:t>7.</w:t>
      </w:r>
      <w:r w:rsidRPr="00C45808">
        <w:rPr>
          <w:b/>
          <w:lang w:val="de-DE"/>
        </w:rPr>
        <w:tab/>
      </w:r>
      <w:r w:rsidR="006A3E9D" w:rsidRPr="00C45808">
        <w:rPr>
          <w:b/>
          <w:lang w:val="de-DE"/>
        </w:rPr>
        <w:t>Beförderung gefährlicher Stoffe in Tanks</w:t>
      </w:r>
    </w:p>
    <w:p w14:paraId="77F5B217" w14:textId="2CD9DB1E" w:rsidR="00C91B9B" w:rsidRPr="00C45808" w:rsidRDefault="00C91B9B" w:rsidP="00C91B9B">
      <w:pPr>
        <w:pStyle w:val="SingleTxtG"/>
        <w:rPr>
          <w:vertAlign w:val="superscript"/>
          <w:lang w:val="de-DE"/>
        </w:rPr>
      </w:pPr>
      <w:r w:rsidRPr="00C45808">
        <w:rPr>
          <w:lang w:val="de-DE"/>
        </w:rPr>
        <w:t>7.1</w:t>
      </w:r>
      <w:r w:rsidRPr="00C45808">
        <w:rPr>
          <w:lang w:val="de-DE"/>
        </w:rPr>
        <w:tab/>
      </w:r>
      <w:r w:rsidR="006A3E9D" w:rsidRPr="00C45808">
        <w:rPr>
          <w:lang w:val="de-DE"/>
        </w:rPr>
        <w:t>Mit welchem Werkstoff ist das Füllgut verträglich</w:t>
      </w:r>
      <w:r w:rsidRPr="00C45808">
        <w:rPr>
          <w:lang w:val="de-DE"/>
        </w:rPr>
        <w:t>?</w:t>
      </w:r>
      <w:r w:rsidRPr="00C45808">
        <w:rPr>
          <w:rStyle w:val="FootnoteReference"/>
          <w:sz w:val="20"/>
          <w:lang w:val="de-DE"/>
        </w:rPr>
        <w:t>7</w:t>
      </w:r>
    </w:p>
    <w:p w14:paraId="27BE06FB" w14:textId="36B1FEE4" w:rsidR="00C91B9B" w:rsidRPr="00282B46" w:rsidRDefault="00AF3376" w:rsidP="00C91B9B">
      <w:pPr>
        <w:pStyle w:val="SingleTxtG"/>
        <w:rPr>
          <w:lang w:val="de-DE"/>
        </w:rPr>
      </w:pPr>
      <w:r w:rsidRPr="00C45808">
        <w:rPr>
          <w:lang w:val="de-DE"/>
        </w:rPr>
        <w:t>Austenitischer rostfreier Stahl</w:t>
      </w:r>
    </w:p>
    <w:p w14:paraId="401E90F1" w14:textId="5A191B5D" w:rsidR="00C91B9B" w:rsidRPr="00282B46" w:rsidRDefault="00C91B9B" w:rsidP="00C91B9B">
      <w:pPr>
        <w:pStyle w:val="SingleTxtG"/>
        <w:rPr>
          <w:b/>
          <w:vertAlign w:val="superscript"/>
          <w:lang w:val="de-DE"/>
        </w:rPr>
      </w:pPr>
      <w:r w:rsidRPr="006A3E9D">
        <w:rPr>
          <w:b/>
          <w:lang w:val="de-DE"/>
        </w:rPr>
        <w:t>8.</w:t>
      </w:r>
      <w:r w:rsidRPr="006A3E9D">
        <w:rPr>
          <w:b/>
          <w:lang w:val="de-DE"/>
        </w:rPr>
        <w:tab/>
      </w:r>
      <w:r w:rsidR="006A3E9D" w:rsidRPr="006A3E9D">
        <w:rPr>
          <w:b/>
          <w:lang w:val="de-DE"/>
        </w:rPr>
        <w:t>Sicherheitstechnische Anforderungen</w:t>
      </w:r>
      <w:r w:rsidRPr="006A3E9D">
        <w:rPr>
          <w:rStyle w:val="FootnoteReference"/>
          <w:sz w:val="20"/>
          <w:lang w:val="de-DE"/>
        </w:rPr>
        <w:t>7</w:t>
      </w:r>
    </w:p>
    <w:p w14:paraId="6FAB4B82" w14:textId="2E97E4F9" w:rsidR="00C91B9B" w:rsidRPr="00282B46" w:rsidRDefault="00C91B9B" w:rsidP="006A3E9D">
      <w:pPr>
        <w:ind w:left="1134" w:right="1134"/>
        <w:jc w:val="both"/>
        <w:rPr>
          <w:lang w:val="de-DE"/>
        </w:rPr>
      </w:pPr>
      <w:r w:rsidRPr="006A3E9D">
        <w:rPr>
          <w:lang w:val="de-DE"/>
        </w:rPr>
        <w:t>8.1</w:t>
      </w:r>
      <w:r w:rsidRPr="006A3E9D">
        <w:rPr>
          <w:lang w:val="de-DE"/>
        </w:rPr>
        <w:tab/>
      </w:r>
      <w:r w:rsidR="006A3E9D" w:rsidRPr="006A3E9D">
        <w:rPr>
          <w:lang w:val="de-DE"/>
        </w:rPr>
        <w:t>Welche Sicherheitsvorkehrungen sind nach dem Stand von Wissenschaft und Technik im Hinblick auf die vom Stoff ausgehenden oder im Verlauf der gesamten Beförderung möglichen Gefahren erforderlich?</w:t>
      </w:r>
    </w:p>
    <w:p w14:paraId="1437F562" w14:textId="77777777" w:rsidR="006A3E9D" w:rsidRPr="006A3E9D" w:rsidRDefault="006A3E9D" w:rsidP="006A3E9D">
      <w:pPr>
        <w:ind w:left="1134" w:right="1134"/>
        <w:jc w:val="both"/>
        <w:rPr>
          <w:lang w:val="de-DE"/>
        </w:rPr>
      </w:pPr>
    </w:p>
    <w:p w14:paraId="197CB1E4" w14:textId="47994497" w:rsidR="00C91B9B" w:rsidRPr="00282B46" w:rsidRDefault="00C91B9B" w:rsidP="00C91B9B">
      <w:pPr>
        <w:pStyle w:val="SingleTxtG"/>
        <w:rPr>
          <w:lang w:val="de-DE"/>
        </w:rPr>
      </w:pPr>
      <w:r w:rsidRPr="00055D51">
        <w:rPr>
          <w:lang w:val="de-DE"/>
        </w:rPr>
        <w:t>8.2</w:t>
      </w:r>
      <w:r w:rsidRPr="00055D51">
        <w:rPr>
          <w:lang w:val="de-DE"/>
        </w:rPr>
        <w:tab/>
      </w:r>
      <w:r w:rsidR="006A3E9D" w:rsidRPr="00055D51">
        <w:rPr>
          <w:lang w:val="de-DE"/>
        </w:rPr>
        <w:t>Zusätzliche Sicherheitsvorkehrungen</w:t>
      </w:r>
    </w:p>
    <w:p w14:paraId="5FC12E73" w14:textId="37246263" w:rsidR="00C91B9B" w:rsidRPr="00282B46" w:rsidRDefault="00055D51" w:rsidP="00C91B9B">
      <w:pPr>
        <w:pStyle w:val="SingleTxtG"/>
        <w:rPr>
          <w:lang w:val="de-DE"/>
        </w:rPr>
      </w:pPr>
      <w:r w:rsidRPr="00055D51">
        <w:rPr>
          <w:lang w:val="de-DE"/>
        </w:rPr>
        <w:t>Einsatz von stationärer und mobiler Messtechnik zur Messung entzündbarer Gase und Dämpfe entzündbarer flüssiger Stoffe</w:t>
      </w:r>
      <w:r w:rsidR="00C91B9B" w:rsidRPr="00055D51">
        <w:rPr>
          <w:lang w:val="de-DE"/>
        </w:rPr>
        <w:t>.</w:t>
      </w:r>
    </w:p>
    <w:p w14:paraId="111FDB94" w14:textId="1E3FCEB8" w:rsidR="00C91B9B" w:rsidRPr="00282B46" w:rsidRDefault="00055D51" w:rsidP="00C91B9B">
      <w:pPr>
        <w:pStyle w:val="SingleTxtG"/>
        <w:rPr>
          <w:lang w:val="de-DE"/>
        </w:rPr>
      </w:pPr>
      <w:r w:rsidRPr="00055D51">
        <w:rPr>
          <w:lang w:val="de-DE"/>
        </w:rPr>
        <w:t>Einsatz von stationärer und mobiler Messtechnik (Toximeter) zur Konzentrationsmessung von giftigen Stoffen</w:t>
      </w:r>
      <w:r w:rsidR="00C91B9B" w:rsidRPr="00055D51">
        <w:rPr>
          <w:lang w:val="de-DE"/>
        </w:rPr>
        <w:t>.</w:t>
      </w:r>
    </w:p>
    <w:p w14:paraId="62CA1FD5" w14:textId="77777777" w:rsidR="0095078A" w:rsidRPr="00986D27" w:rsidRDefault="0095078A" w:rsidP="00C91B9B">
      <w:pPr>
        <w:pStyle w:val="HChG"/>
        <w:rPr>
          <w:szCs w:val="28"/>
          <w:lang w:val="de-DE"/>
        </w:rPr>
        <w:sectPr w:rsidR="0095078A" w:rsidRPr="00986D27" w:rsidSect="006F1C72">
          <w:headerReference w:type="even" r:id="rId20"/>
          <w:headerReference w:type="default" r:id="rId21"/>
          <w:footerReference w:type="even" r:id="rId22"/>
          <w:footerReference w:type="default" r:id="rId23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02972CA5" w14:textId="2EC8BC4F" w:rsidR="00C91B9B" w:rsidRPr="00986D27" w:rsidRDefault="00055D51" w:rsidP="00C91B9B">
      <w:pPr>
        <w:pStyle w:val="HChG"/>
        <w:rPr>
          <w:szCs w:val="28"/>
          <w:lang w:val="de-DE"/>
        </w:rPr>
      </w:pPr>
      <w:r w:rsidRPr="00986D27">
        <w:rPr>
          <w:szCs w:val="28"/>
          <w:lang w:val="de-DE"/>
        </w:rPr>
        <w:lastRenderedPageBreak/>
        <w:t>Anlage</w:t>
      </w:r>
      <w:r w:rsidR="00C91B9B" w:rsidRPr="00986D27">
        <w:rPr>
          <w:szCs w:val="28"/>
          <w:lang w:val="de-DE"/>
        </w:rPr>
        <w:t xml:space="preserve"> II</w:t>
      </w:r>
    </w:p>
    <w:p w14:paraId="7C9860DF" w14:textId="57ACA450" w:rsidR="00C91B9B" w:rsidRPr="007E6AA9" w:rsidRDefault="00C91B9B" w:rsidP="00AF3376">
      <w:pPr>
        <w:pStyle w:val="HChG"/>
        <w:rPr>
          <w:rFonts w:asciiTheme="majorBidi" w:hAnsiTheme="majorBidi" w:cstheme="majorBidi"/>
        </w:rPr>
      </w:pPr>
      <w:r w:rsidRPr="00986D27">
        <w:rPr>
          <w:sz w:val="20"/>
          <w:lang w:val="de-DE"/>
        </w:rPr>
        <w:tab/>
      </w:r>
      <w:r w:rsidRPr="00986D27">
        <w:rPr>
          <w:rFonts w:asciiTheme="majorBidi" w:hAnsiTheme="majorBidi" w:cstheme="majorBidi"/>
          <w:lang w:val="de-DE"/>
        </w:rPr>
        <w:tab/>
      </w:r>
      <w:r w:rsidR="00AF3376" w:rsidRPr="007E6AA9">
        <w:rPr>
          <w:rFonts w:asciiTheme="majorBidi" w:hAnsiTheme="majorBidi" w:cstheme="majorBidi"/>
          <w:lang w:val="de-DE"/>
        </w:rPr>
        <w:t>Ausnahmegenehmigung gemäß Abschnitt 1.5.2 ADN für UN-Nr. 1977, STICKSTOFF, TIEFGEKÜHLT, FLÜSSIG</w:t>
      </w:r>
    </w:p>
    <w:p w14:paraId="7CC94E49" w14:textId="4A0FF7CC" w:rsidR="00C91B9B" w:rsidRPr="00986D27" w:rsidRDefault="006F50C2" w:rsidP="003519E4">
      <w:pPr>
        <w:pStyle w:val="SingleTxtG"/>
        <w:rPr>
          <w:highlight w:val="yellow"/>
          <w:lang w:val="de-DE"/>
        </w:rPr>
      </w:pPr>
      <w:r w:rsidRPr="003519E4">
        <w:rPr>
          <w:lang w:val="de-DE"/>
        </w:rPr>
        <w:t>Aufgrund von</w:t>
      </w:r>
      <w:r w:rsidR="00AF3376" w:rsidRPr="003519E4">
        <w:rPr>
          <w:lang w:val="de-DE"/>
        </w:rPr>
        <w:t xml:space="preserve"> </w:t>
      </w:r>
      <w:r w:rsidR="006165FE">
        <w:rPr>
          <w:lang w:val="de-DE"/>
        </w:rPr>
        <w:t xml:space="preserve">Abschnitt </w:t>
      </w:r>
      <w:r w:rsidR="00AF3376" w:rsidRPr="003519E4">
        <w:rPr>
          <w:lang w:val="de-DE"/>
        </w:rPr>
        <w:t xml:space="preserve">1.5.2 ADN ist die Beförderung des in der Anlage zu dieser Ausnahmegenehmigung </w:t>
      </w:r>
      <w:r w:rsidRPr="003519E4">
        <w:rPr>
          <w:lang w:val="de-DE"/>
        </w:rPr>
        <w:t>bezeichneten</w:t>
      </w:r>
      <w:r w:rsidR="00AF3376" w:rsidRPr="003519E4">
        <w:rPr>
          <w:lang w:val="de-DE"/>
        </w:rPr>
        <w:t xml:space="preserve"> </w:t>
      </w:r>
      <w:r w:rsidRPr="003519E4">
        <w:rPr>
          <w:lang w:val="de-DE"/>
        </w:rPr>
        <w:t>Gutes</w:t>
      </w:r>
      <w:r w:rsidR="00AF3376" w:rsidRPr="003519E4">
        <w:rPr>
          <w:lang w:val="de-DE"/>
        </w:rPr>
        <w:t xml:space="preserve"> </w:t>
      </w:r>
      <w:r w:rsidRPr="003519E4">
        <w:rPr>
          <w:lang w:val="de-DE"/>
        </w:rPr>
        <w:t xml:space="preserve">unter den dort genannten Bedingungen </w:t>
      </w:r>
      <w:r w:rsidR="00AF3376" w:rsidRPr="003519E4">
        <w:rPr>
          <w:lang w:val="de-DE"/>
        </w:rPr>
        <w:t>in Tankschiffen zu</w:t>
      </w:r>
      <w:r w:rsidRPr="003519E4">
        <w:rPr>
          <w:lang w:val="de-DE"/>
        </w:rPr>
        <w:t>ge</w:t>
      </w:r>
      <w:r w:rsidR="00AF3376" w:rsidRPr="003519E4">
        <w:rPr>
          <w:lang w:val="de-DE"/>
        </w:rPr>
        <w:t>l</w:t>
      </w:r>
      <w:r w:rsidRPr="003519E4">
        <w:rPr>
          <w:lang w:val="de-DE"/>
        </w:rPr>
        <w:t>a</w:t>
      </w:r>
      <w:r w:rsidR="00AF3376" w:rsidRPr="003519E4">
        <w:rPr>
          <w:lang w:val="de-DE"/>
        </w:rPr>
        <w:t>ss</w:t>
      </w:r>
      <w:r w:rsidRPr="003519E4">
        <w:rPr>
          <w:lang w:val="de-DE"/>
        </w:rPr>
        <w:t>en</w:t>
      </w:r>
      <w:r w:rsidR="00AF3376" w:rsidRPr="003519E4">
        <w:rPr>
          <w:lang w:val="de-DE"/>
        </w:rPr>
        <w:t>.</w:t>
      </w:r>
    </w:p>
    <w:p w14:paraId="51CD406D" w14:textId="2591C062" w:rsidR="00C91B9B" w:rsidRPr="00986D27" w:rsidRDefault="00B16C2A" w:rsidP="00B16C2A">
      <w:pPr>
        <w:pStyle w:val="SingleTxtG"/>
        <w:rPr>
          <w:highlight w:val="yellow"/>
          <w:lang w:val="de-DE"/>
        </w:rPr>
      </w:pPr>
      <w:r w:rsidRPr="00B16C2A">
        <w:rPr>
          <w:lang w:val="de-DE"/>
        </w:rPr>
        <w:t xml:space="preserve">Der Beförderer muss den Stoff vor dem Transport von einer zugelassenen Klassifikationsgesellschaft in die in </w:t>
      </w:r>
      <w:r w:rsidR="006165FE">
        <w:rPr>
          <w:lang w:val="de-DE"/>
        </w:rPr>
        <w:t xml:space="preserve">Absatz </w:t>
      </w:r>
      <w:r w:rsidRPr="00B16C2A">
        <w:rPr>
          <w:lang w:val="de-DE"/>
        </w:rPr>
        <w:t>1.16.1.2.5 ADN genannte Liste eintragen lassen.</w:t>
      </w:r>
    </w:p>
    <w:p w14:paraId="4A2D83D1" w14:textId="5F1E0559" w:rsidR="00C91B9B" w:rsidRPr="00986D27" w:rsidRDefault="00B16C2A" w:rsidP="00C91B9B">
      <w:pPr>
        <w:pStyle w:val="SingleTxtG"/>
        <w:spacing w:after="0"/>
        <w:rPr>
          <w:highlight w:val="yellow"/>
          <w:lang w:val="de-DE"/>
        </w:rPr>
      </w:pPr>
      <w:r w:rsidRPr="00B16C2A">
        <w:rPr>
          <w:lang w:val="de-DE"/>
        </w:rPr>
        <w:t xml:space="preserve">Diese Ausnahmegenehmigung gilt </w:t>
      </w:r>
      <w:r w:rsidRPr="00C45808">
        <w:rPr>
          <w:b/>
          <w:bCs/>
          <w:lang w:val="de-DE"/>
        </w:rPr>
        <w:t>auf den Binnenwasserstraßen in den Niederlanden und Flandern (Belgien)</w:t>
      </w:r>
      <w:r w:rsidRPr="00B16C2A">
        <w:rPr>
          <w:lang w:val="de-DE"/>
        </w:rPr>
        <w:t xml:space="preserve"> (Orte und/oder Strecken der Gültigkeit).</w:t>
      </w:r>
    </w:p>
    <w:p w14:paraId="4F26CA2F" w14:textId="6ECDCF0B" w:rsidR="00C91B9B" w:rsidRPr="00986D27" w:rsidRDefault="00B16C2A" w:rsidP="00B16C2A">
      <w:pPr>
        <w:pStyle w:val="SingleTxtG"/>
        <w:rPr>
          <w:lang w:val="de-DE"/>
        </w:rPr>
      </w:pPr>
      <w:r w:rsidRPr="00B16C2A">
        <w:rPr>
          <w:lang w:val="de-DE"/>
        </w:rPr>
        <w:t>Für die folgenden Schiffe:</w:t>
      </w:r>
    </w:p>
    <w:p w14:paraId="1E273E13" w14:textId="77777777" w:rsidR="00C91B9B" w:rsidRPr="00986D27" w:rsidRDefault="00C91B9B" w:rsidP="00C91B9B">
      <w:pPr>
        <w:pStyle w:val="SingleTxtG"/>
        <w:rPr>
          <w:lang w:val="de-DE"/>
        </w:rPr>
      </w:pPr>
      <w:r w:rsidRPr="00986D27">
        <w:rPr>
          <w:lang w:val="de-DE"/>
        </w:rPr>
        <w:t>-</w:t>
      </w:r>
      <w:r w:rsidRPr="00986D27">
        <w:rPr>
          <w:lang w:val="de-DE"/>
        </w:rPr>
        <w:tab/>
        <w:t>Flexfueler 001 (ENI: 02338215)</w:t>
      </w:r>
    </w:p>
    <w:p w14:paraId="62851FF0" w14:textId="77777777" w:rsidR="00C91B9B" w:rsidRPr="00986D27" w:rsidRDefault="00C91B9B" w:rsidP="00C91B9B">
      <w:pPr>
        <w:pStyle w:val="SingleTxtG"/>
        <w:rPr>
          <w:lang w:val="de-DE"/>
        </w:rPr>
      </w:pPr>
      <w:r w:rsidRPr="00986D27">
        <w:rPr>
          <w:lang w:val="de-DE"/>
        </w:rPr>
        <w:t>-</w:t>
      </w:r>
      <w:r w:rsidRPr="00986D27">
        <w:rPr>
          <w:lang w:val="de-DE"/>
        </w:rPr>
        <w:tab/>
        <w:t>Flexfueler 002 (ENI: 06105694)</w:t>
      </w:r>
    </w:p>
    <w:p w14:paraId="28272D81" w14:textId="6AEC268C" w:rsidR="00C91B9B" w:rsidRPr="00986D27" w:rsidRDefault="00B16C2A" w:rsidP="00B16C2A">
      <w:pPr>
        <w:pStyle w:val="SingleTxtG"/>
        <w:rPr>
          <w:highlight w:val="yellow"/>
          <w:lang w:val="de-DE"/>
        </w:rPr>
      </w:pPr>
      <w:r w:rsidRPr="00B16C2A">
        <w:rPr>
          <w:lang w:val="de-DE"/>
        </w:rPr>
        <w:t>Sie gilt vom Tag der Unterzeichnung, vorbehaltlich vorherigen Widerrufs, zwei Jahre.</w:t>
      </w:r>
    </w:p>
    <w:p w14:paraId="02097640" w14:textId="340E19D1" w:rsidR="00C91B9B" w:rsidRPr="00561D16" w:rsidRDefault="00B16C2A" w:rsidP="002C6AD4">
      <w:pPr>
        <w:pStyle w:val="SingleTxtG"/>
        <w:rPr>
          <w:lang w:val="de-DE"/>
        </w:rPr>
      </w:pPr>
      <w:r w:rsidRPr="00561D16">
        <w:rPr>
          <w:lang w:val="de-DE"/>
        </w:rPr>
        <w:t>Staat</w:t>
      </w:r>
      <w:r w:rsidR="002C6AD4" w:rsidRPr="00561D16">
        <w:rPr>
          <w:lang w:val="de-DE"/>
        </w:rPr>
        <w:t xml:space="preserve"> der Ausstellung</w:t>
      </w:r>
      <w:r w:rsidRPr="00561D16">
        <w:rPr>
          <w:lang w:val="de-DE"/>
        </w:rPr>
        <w:t>:</w:t>
      </w:r>
      <w:r w:rsidR="00C91B9B" w:rsidRPr="00561D16">
        <w:rPr>
          <w:lang w:val="de-DE"/>
        </w:rPr>
        <w:t xml:space="preserve"> </w:t>
      </w:r>
      <w:r w:rsidR="002C6AD4" w:rsidRPr="00561D16">
        <w:rPr>
          <w:lang w:val="de-DE"/>
        </w:rPr>
        <w:t>Belgien</w:t>
      </w:r>
    </w:p>
    <w:p w14:paraId="400A1432" w14:textId="7409645F" w:rsidR="00C91B9B" w:rsidRPr="00561D16" w:rsidRDefault="002C6AD4" w:rsidP="002C6AD4">
      <w:pPr>
        <w:pStyle w:val="SingleTxtG"/>
        <w:rPr>
          <w:lang w:val="de-DE"/>
        </w:rPr>
      </w:pPr>
      <w:r w:rsidRPr="00561D16">
        <w:rPr>
          <w:lang w:val="de-DE"/>
        </w:rPr>
        <w:t>Brüssel,</w:t>
      </w:r>
    </w:p>
    <w:p w14:paraId="5DB59CAE" w14:textId="25049FE2" w:rsidR="00C91B9B" w:rsidRPr="00986D27" w:rsidRDefault="00C91B9B" w:rsidP="002C6AD4">
      <w:pPr>
        <w:pStyle w:val="SingleTxtG"/>
        <w:rPr>
          <w:lang w:val="de-DE"/>
        </w:rPr>
      </w:pPr>
      <w:r w:rsidRPr="00561D16">
        <w:rPr>
          <w:lang w:val="de-DE"/>
        </w:rPr>
        <w:tab/>
      </w:r>
      <w:r w:rsidRPr="00561D16">
        <w:rPr>
          <w:lang w:val="de-DE"/>
        </w:rPr>
        <w:tab/>
      </w:r>
      <w:r w:rsidR="002C6AD4" w:rsidRPr="00561D16">
        <w:rPr>
          <w:lang w:val="de-DE"/>
        </w:rPr>
        <w:t>Die für das ADN zuständige Behörde in Flandern</w:t>
      </w:r>
    </w:p>
    <w:p w14:paraId="1B4899E0" w14:textId="77777777" w:rsidR="00C91B9B" w:rsidRPr="00986D27" w:rsidRDefault="00C91B9B" w:rsidP="00C91B9B">
      <w:pPr>
        <w:pStyle w:val="SingleTxtG"/>
        <w:rPr>
          <w:lang w:val="de-DE"/>
        </w:rPr>
      </w:pP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2347"/>
        <w:gridCol w:w="1942"/>
        <w:gridCol w:w="1943"/>
      </w:tblGrid>
      <w:tr w:rsidR="00C91B9B" w:rsidRPr="00561D16" w14:paraId="5E660C65" w14:textId="77777777" w:rsidTr="00637B4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3F7F9" w14:textId="77777777" w:rsidR="00C91B9B" w:rsidRPr="00561D16" w:rsidRDefault="00C91B9B" w:rsidP="00637B49">
            <w:pPr>
              <w:pStyle w:val="SingleTxtG"/>
              <w:spacing w:after="0"/>
              <w:ind w:left="0" w:right="0"/>
            </w:pPr>
            <w:r w:rsidRPr="00561D16">
              <w:t>Koenraad</w:t>
            </w:r>
          </w:p>
          <w:p w14:paraId="098CDDE2" w14:textId="77777777" w:rsidR="00C91B9B" w:rsidRPr="00561D16" w:rsidRDefault="00C91B9B" w:rsidP="00637B49">
            <w:pPr>
              <w:pStyle w:val="SingleTxtG"/>
              <w:spacing w:after="0"/>
              <w:ind w:left="0" w:right="0"/>
            </w:pPr>
            <w:r w:rsidRPr="00561D16">
              <w:t>Anciaux</w:t>
            </w:r>
          </w:p>
          <w:p w14:paraId="7C28D315" w14:textId="2E529E4C" w:rsidR="00C91B9B" w:rsidRPr="00561D16" w:rsidRDefault="00C91B9B" w:rsidP="00637B49">
            <w:pPr>
              <w:pStyle w:val="SingleTxtG"/>
              <w:spacing w:after="0"/>
              <w:ind w:left="0" w:right="0"/>
            </w:pPr>
            <w:r w:rsidRPr="00561D16">
              <w:t>(</w:t>
            </w:r>
            <w:r w:rsidR="002C6AD4" w:rsidRPr="00561D16">
              <w:t>Authentifizierung</w:t>
            </w:r>
            <w:r w:rsidRPr="00561D16">
              <w:t>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4536BE5F" w14:textId="35647912" w:rsidR="00C91B9B" w:rsidRPr="00561D16" w:rsidRDefault="006165FE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Elektronisch</w:t>
            </w:r>
            <w:r w:rsidR="00C91B9B" w:rsidRPr="00561D16">
              <w:rPr>
                <w:lang w:val="de-DE"/>
              </w:rPr>
              <w:t xml:space="preserve"> </w:t>
            </w:r>
            <w:r w:rsidR="002C6AD4" w:rsidRPr="00561D16">
              <w:rPr>
                <w:lang w:val="de-DE"/>
              </w:rPr>
              <w:t>signiert</w:t>
            </w:r>
          </w:p>
          <w:p w14:paraId="60321229" w14:textId="4FB96702" w:rsidR="00C91B9B" w:rsidRPr="00561D16" w:rsidRDefault="002C6AD4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von</w:t>
            </w:r>
            <w:r w:rsidR="00C91B9B" w:rsidRPr="00561D16">
              <w:rPr>
                <w:lang w:val="de-DE"/>
              </w:rPr>
              <w:t xml:space="preserve"> Koenraad</w:t>
            </w:r>
          </w:p>
          <w:p w14:paraId="7BEF8BF4" w14:textId="77777777" w:rsidR="00C91B9B" w:rsidRPr="00561D16" w:rsidRDefault="00C91B9B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Anciaux</w:t>
            </w:r>
          </w:p>
          <w:p w14:paraId="2FD90069" w14:textId="13E37E0F" w:rsidR="00C91B9B" w:rsidRPr="00561D16" w:rsidRDefault="00C91B9B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(</w:t>
            </w:r>
            <w:r w:rsidR="002C6AD4" w:rsidRPr="00561D16">
              <w:rPr>
                <w:lang w:val="de-DE"/>
              </w:rPr>
              <w:t>Authentifizierung</w:t>
            </w:r>
            <w:r w:rsidRPr="00561D16">
              <w:rPr>
                <w:lang w:val="de-DE"/>
              </w:rPr>
              <w:t>)</w:t>
            </w:r>
          </w:p>
          <w:p w14:paraId="32F17DDC" w14:textId="77777777" w:rsidR="00C91B9B" w:rsidRPr="00561D16" w:rsidRDefault="00C91B9B" w:rsidP="00637B49">
            <w:pPr>
              <w:pStyle w:val="SingleTxtG"/>
              <w:spacing w:after="0"/>
              <w:ind w:left="0" w:right="0"/>
            </w:pPr>
            <w:r w:rsidRPr="00561D16">
              <w:t>Datum: 2022.04.27</w:t>
            </w:r>
          </w:p>
          <w:p w14:paraId="75761FDC" w14:textId="77777777" w:rsidR="00C91B9B" w:rsidRPr="00561D16" w:rsidRDefault="00C91B9B" w:rsidP="00637B49">
            <w:pPr>
              <w:pStyle w:val="SingleTxtG"/>
              <w:spacing w:after="0"/>
              <w:ind w:left="0" w:right="0"/>
            </w:pPr>
            <w:r w:rsidRPr="00561D16">
              <w:t>13:50:00+02'00'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4FB12AF0" w14:textId="582DA9C7" w:rsidR="00C91B9B" w:rsidRPr="00561D16" w:rsidRDefault="00C91B9B" w:rsidP="00637B49">
            <w:pPr>
              <w:pStyle w:val="SingleTxtG"/>
              <w:spacing w:after="0"/>
              <w:ind w:left="0" w:right="0"/>
            </w:pPr>
            <w:r w:rsidRPr="00561D16">
              <w:t>Christiaan Danckaerts (</w:t>
            </w:r>
            <w:r w:rsidR="00997F4E" w:rsidRPr="00561D16">
              <w:t>Unterschrift</w:t>
            </w:r>
            <w:r w:rsidRPr="00561D16">
              <w:t>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5AC9284E" w14:textId="6BFC826B" w:rsidR="00C91B9B" w:rsidRPr="00561D16" w:rsidRDefault="00C91B9B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 xml:space="preserve"> </w:t>
            </w:r>
            <w:r w:rsidR="006165FE" w:rsidRPr="00561D16">
              <w:rPr>
                <w:lang w:val="de-DE"/>
              </w:rPr>
              <w:t xml:space="preserve">Elektronisch </w:t>
            </w:r>
            <w:r w:rsidR="002C6AD4" w:rsidRPr="00561D16">
              <w:rPr>
                <w:lang w:val="de-DE"/>
              </w:rPr>
              <w:t xml:space="preserve">signiert von </w:t>
            </w:r>
            <w:r w:rsidRPr="00561D16">
              <w:rPr>
                <w:lang w:val="de-DE"/>
              </w:rPr>
              <w:t>Christiaan Danckaerts (</w:t>
            </w:r>
            <w:r w:rsidR="00997F4E" w:rsidRPr="00561D16">
              <w:rPr>
                <w:lang w:val="de-DE"/>
              </w:rPr>
              <w:t>Unterschrift</w:t>
            </w:r>
            <w:r w:rsidRPr="00561D16">
              <w:rPr>
                <w:lang w:val="de-DE"/>
              </w:rPr>
              <w:t>)</w:t>
            </w:r>
          </w:p>
          <w:p w14:paraId="721C207C" w14:textId="1F593B04" w:rsidR="00C91B9B" w:rsidRPr="00561D16" w:rsidRDefault="00997F4E" w:rsidP="00637B49">
            <w:pPr>
              <w:pStyle w:val="SingleTxtG"/>
              <w:spacing w:after="0"/>
              <w:ind w:left="0" w:right="0"/>
            </w:pPr>
            <w:r w:rsidRPr="00561D16">
              <w:t>Datum</w:t>
            </w:r>
            <w:r w:rsidR="00C91B9B" w:rsidRPr="00561D16">
              <w:t>: 2022.04.27</w:t>
            </w:r>
          </w:p>
          <w:p w14:paraId="3C172152" w14:textId="77777777" w:rsidR="00C91B9B" w:rsidRPr="00561D16" w:rsidRDefault="00C91B9B" w:rsidP="00637B49">
            <w:pPr>
              <w:pStyle w:val="SingleTxtG"/>
              <w:spacing w:after="0"/>
              <w:ind w:left="0" w:right="0"/>
            </w:pPr>
            <w:r w:rsidRPr="00561D16">
              <w:t>21:37:51+02'00'</w:t>
            </w:r>
          </w:p>
        </w:tc>
      </w:tr>
      <w:tr w:rsidR="00C91B9B" w:rsidRPr="00986D27" w14:paraId="7471D563" w14:textId="77777777" w:rsidTr="00637B49"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67515" w14:textId="77777777" w:rsidR="00C91B9B" w:rsidRPr="00561D16" w:rsidRDefault="00C91B9B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Koen Anciaux</w:t>
            </w:r>
          </w:p>
          <w:p w14:paraId="08F659CF" w14:textId="4AD28AB0" w:rsidR="00C91B9B" w:rsidRPr="00561D16" w:rsidRDefault="002C6AD4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Direktor des Verwaltungsrats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00FFF" w14:textId="77777777" w:rsidR="00C91B9B" w:rsidRPr="00561D16" w:rsidRDefault="00C91B9B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Ir. Chris Danckaerts</w:t>
            </w:r>
          </w:p>
          <w:p w14:paraId="47D29383" w14:textId="7FF23A53" w:rsidR="00C91B9B" w:rsidRPr="00986D27" w:rsidRDefault="002C6AD4" w:rsidP="00637B49">
            <w:pPr>
              <w:pStyle w:val="SingleTxtG"/>
              <w:spacing w:after="0"/>
              <w:ind w:left="0" w:right="0"/>
              <w:rPr>
                <w:lang w:val="de-DE"/>
              </w:rPr>
            </w:pPr>
            <w:r w:rsidRPr="00561D16">
              <w:rPr>
                <w:lang w:val="de-DE"/>
              </w:rPr>
              <w:t>Geschäftsführender Direktor</w:t>
            </w:r>
          </w:p>
        </w:tc>
      </w:tr>
    </w:tbl>
    <w:p w14:paraId="4E143E23" w14:textId="73F77BAC" w:rsidR="00C91B9B" w:rsidRPr="00986D27" w:rsidRDefault="00C91B9B" w:rsidP="00C91B9B">
      <w:pPr>
        <w:pStyle w:val="SingleTxtG"/>
        <w:rPr>
          <w:lang w:val="de-DE"/>
        </w:rPr>
      </w:pPr>
    </w:p>
    <w:p w14:paraId="78505ADC" w14:textId="77777777" w:rsidR="00F62BD0" w:rsidRPr="00986D27" w:rsidRDefault="00F62BD0" w:rsidP="00C91B9B">
      <w:pPr>
        <w:pStyle w:val="SingleTxtG"/>
        <w:rPr>
          <w:lang w:val="de-DE"/>
        </w:rPr>
      </w:pPr>
    </w:p>
    <w:p w14:paraId="777063DE" w14:textId="77777777" w:rsidR="00F62BD0" w:rsidRPr="00986D27" w:rsidRDefault="00F62BD0" w:rsidP="00C91B9B">
      <w:pPr>
        <w:suppressAutoHyphens w:val="0"/>
        <w:spacing w:line="240" w:lineRule="auto"/>
        <w:rPr>
          <w:rFonts w:asciiTheme="majorBidi" w:hAnsiTheme="majorBidi" w:cstheme="majorBidi"/>
          <w:highlight w:val="yellow"/>
          <w:lang w:val="de-DE"/>
        </w:rPr>
        <w:sectPr w:rsidR="00F62BD0" w:rsidRPr="00986D27" w:rsidSect="0095078A"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3BBEAF26" w14:textId="77777777" w:rsidR="00F62BD0" w:rsidRPr="00986D27" w:rsidRDefault="00F62BD0" w:rsidP="00C91B9B">
      <w:pPr>
        <w:suppressAutoHyphens w:val="0"/>
        <w:spacing w:line="240" w:lineRule="auto"/>
        <w:rPr>
          <w:rFonts w:asciiTheme="majorBidi" w:hAnsiTheme="majorBidi" w:cstheme="majorBidi"/>
          <w:highlight w:val="yellow"/>
          <w:lang w:val="de-DE"/>
        </w:rPr>
      </w:pPr>
    </w:p>
    <w:p w14:paraId="20181478" w14:textId="269AF38D" w:rsidR="00C91B9B" w:rsidRPr="00282B46" w:rsidRDefault="00B46871" w:rsidP="00B46871">
      <w:pPr>
        <w:suppressAutoHyphens w:val="0"/>
        <w:spacing w:line="240" w:lineRule="auto"/>
        <w:rPr>
          <w:rFonts w:asciiTheme="majorBidi" w:hAnsiTheme="majorBidi" w:cstheme="majorBidi"/>
        </w:rPr>
      </w:pPr>
      <w:r w:rsidRPr="00561D16">
        <w:rPr>
          <w:rFonts w:asciiTheme="majorBidi" w:hAnsiTheme="majorBidi" w:cstheme="majorBidi"/>
          <w:lang w:val="de-DE"/>
        </w:rPr>
        <w:t>Anlage zur Ausnahmegenehmigung gemäß Abschnitt 1.5.2 ADN für UN-Nr. 1977, STICKSTOFF, TIEFGEKÜHLT, FLÜSSIG</w:t>
      </w:r>
    </w:p>
    <w:p w14:paraId="56D60A72" w14:textId="7B0DE10D" w:rsidR="00C91B9B" w:rsidRDefault="00C91B9B" w:rsidP="00C91B9B">
      <w:pPr>
        <w:rPr>
          <w:rFonts w:asciiTheme="majorBidi" w:hAnsiTheme="majorBidi" w:cstheme="majorBidi"/>
        </w:rPr>
      </w:pPr>
    </w:p>
    <w:p w14:paraId="5E7FB013" w14:textId="6392A895" w:rsidR="00F62BD0" w:rsidRDefault="00F62BD0" w:rsidP="00C91B9B">
      <w:pPr>
        <w:rPr>
          <w:rFonts w:asciiTheme="majorBidi" w:hAnsiTheme="majorBidi" w:cstheme="majorBidi"/>
        </w:rPr>
      </w:pPr>
    </w:p>
    <w:tbl>
      <w:tblPr>
        <w:tblW w:w="14420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F62BD0" w:rsidRPr="00F027E2" w14:paraId="4DED5D54" w14:textId="77777777" w:rsidTr="00637B49">
        <w:trPr>
          <w:cantSplit/>
          <w:trHeight w:val="2050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C8C98C6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 xml:space="preserve">UN-Nummer 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oder Stoffnummer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DC422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Benennung und Beschreibung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08EA5540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Klasse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20D52655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Klassifizierungscode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2C2C598E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Verpackungsgruppe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C746BC9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Gefahren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957D7A2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Tankschiffstyp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9F844FC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Ladetankzustand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47B36EF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Ladetanktyp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5F76249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Ladetankausrüstung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E828733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08992F5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max.</w:t>
            </w:r>
            <w:r w:rsidRPr="00282B46">
              <w:rPr>
                <w:color w:val="000000"/>
                <w:sz w:val="16"/>
                <w:szCs w:val="16"/>
                <w:lang w:val="de-DE" w:bidi="th-TH"/>
              </w:rPr>
              <w:t xml:space="preserve"> 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t>zul.</w:t>
            </w:r>
            <w:r w:rsidRPr="00282B46">
              <w:rPr>
                <w:color w:val="000000"/>
                <w:sz w:val="16"/>
                <w:szCs w:val="16"/>
                <w:lang w:val="de-DE" w:bidi="th-TH"/>
              </w:rPr>
              <w:t xml:space="preserve"> 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t>Tankfüllungsgrad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48D79C44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relative Dichte bei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292BFB0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Art der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Probeentnahmeeinrichtung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22D07464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Pumpenraum unter Deck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erlaubt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20DF5AC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Temperaturklasse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C969D0D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Explosionsgruppe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913E633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Explosionsschutz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2B72EA47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Ausrüstung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72925EA9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Anzahl der Kegel/Lichter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7446746D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zusätzliche Anforderungen</w:t>
            </w:r>
            <w:r w:rsidRPr="00F027E2">
              <w:rPr>
                <w:color w:val="000000"/>
                <w:sz w:val="16"/>
                <w:szCs w:val="16"/>
                <w:lang w:val="de-DE" w:bidi="th-TH"/>
              </w:rPr>
              <w:br/>
              <w:t>oder Bemerkungen</w:t>
            </w:r>
          </w:p>
        </w:tc>
      </w:tr>
      <w:tr w:rsidR="00F62BD0" w:rsidRPr="00F027E2" w14:paraId="441EF34C" w14:textId="77777777" w:rsidTr="00637B49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305D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63941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EF2171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2DA0B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3CAB6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14857A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7F99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8E82D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C6C9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9EEF3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0C9A1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3E7F4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3389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3FBF0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5190E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EF306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DE4DA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15777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522A9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F6A3C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B6C84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(20)</w:t>
            </w:r>
          </w:p>
        </w:tc>
      </w:tr>
      <w:tr w:rsidR="00F62BD0" w:rsidRPr="00F027E2" w14:paraId="0A51E9DF" w14:textId="77777777" w:rsidTr="00637B49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8173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B06A0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79E6B1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3E17A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DE29A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92B339D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8100A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C08CD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A9104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A19B3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8BA4C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FE062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FE34B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FB054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C5891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622E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95EB1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A04B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C179E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2CEFB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B5112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F027E2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</w:tr>
      <w:tr w:rsidR="00F62BD0" w:rsidRPr="00F027E2" w14:paraId="003BCBE0" w14:textId="77777777" w:rsidTr="00637B49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CAAF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1977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D57AB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STICKSTOFF, TIEFGEKÜHLT, FLÜSSIG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D90887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8C882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3A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0F62D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E10DE40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2.2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AFA6F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6207E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971C0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DD19B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EEEB7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8C04B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5C09C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ADF77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B93F3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nein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7A233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65EF5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5D470" w14:textId="77777777" w:rsidR="00F62BD0" w:rsidRPr="00282B46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nein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3BB0F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PP</w:t>
            </w:r>
            <w:r w:rsidRPr="00282B46">
              <w:rPr>
                <w:color w:val="000000"/>
                <w:sz w:val="16"/>
                <w:szCs w:val="16"/>
                <w:lang w:val="de-DE" w:bidi="th-TH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BF747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A4DE9" w14:textId="77777777" w:rsidR="00F62BD0" w:rsidRPr="00F027E2" w:rsidRDefault="00F62BD0" w:rsidP="00637B49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F027E2">
              <w:rPr>
                <w:color w:val="000000"/>
                <w:sz w:val="16"/>
                <w:szCs w:val="16"/>
                <w:lang w:val="de-DE" w:bidi="th-TH"/>
              </w:rPr>
              <w:t>31, 39*, 42, 46**</w:t>
            </w:r>
          </w:p>
        </w:tc>
      </w:tr>
    </w:tbl>
    <w:p w14:paraId="12014CF7" w14:textId="77777777" w:rsidR="00C91B9B" w:rsidRPr="00F027E2" w:rsidRDefault="00C91B9B" w:rsidP="00C91B9B">
      <w:pPr>
        <w:rPr>
          <w:rFonts w:asciiTheme="majorBidi" w:hAnsiTheme="majorBidi" w:cstheme="majorBidi"/>
        </w:rPr>
      </w:pPr>
    </w:p>
    <w:p w14:paraId="16F7B737" w14:textId="3DB57B09" w:rsidR="00F62BD0" w:rsidRPr="00561D16" w:rsidRDefault="00F62BD0" w:rsidP="00F62BD0">
      <w:pPr>
        <w:pStyle w:val="SingleTxtG"/>
        <w:tabs>
          <w:tab w:val="left" w:pos="1701"/>
        </w:tabs>
        <w:ind w:left="2268" w:hanging="2268"/>
        <w:rPr>
          <w:lang w:val="de-DE"/>
        </w:rPr>
      </w:pPr>
      <w:r w:rsidRPr="00561D16">
        <w:rPr>
          <w:lang w:val="de-DE"/>
        </w:rPr>
        <w:t xml:space="preserve">* </w:t>
      </w:r>
      <w:r w:rsidR="005E5DF5" w:rsidRPr="00561D16">
        <w:rPr>
          <w:lang w:val="de-DE"/>
        </w:rPr>
        <w:t>Geändert</w:t>
      </w:r>
      <w:r w:rsidRPr="00561D16">
        <w:rPr>
          <w:lang w:val="de-DE"/>
        </w:rPr>
        <w:t xml:space="preserve"> 39.</w:t>
      </w:r>
      <w:r w:rsidRPr="00561D16">
        <w:rPr>
          <w:lang w:val="de-DE"/>
        </w:rPr>
        <w:tab/>
        <w:t>a)</w:t>
      </w:r>
      <w:r w:rsidRPr="00561D16">
        <w:rPr>
          <w:lang w:val="de-DE"/>
        </w:rPr>
        <w:tab/>
        <w:t>Die Abdichtungen, Ablassöffnungen, Verschließvorrichtungen und andere technische Einrichtungen müssen so ausgeführt sein, dass unter normalen Beförderungsbedingungen kein</w:t>
      </w:r>
      <w:r w:rsidRPr="00561D16">
        <w:rPr>
          <w:b/>
          <w:bCs/>
          <w:u w:val="single"/>
          <w:lang w:val="de-DE"/>
        </w:rPr>
        <w:t>e</w:t>
      </w:r>
      <w:r w:rsidRPr="00561D16">
        <w:rPr>
          <w:lang w:val="de-DE"/>
        </w:rPr>
        <w:t xml:space="preserve"> </w:t>
      </w:r>
      <w:r w:rsidRPr="00561D16">
        <w:rPr>
          <w:b/>
          <w:bCs/>
          <w:u w:val="single"/>
          <w:lang w:val="de-DE"/>
        </w:rPr>
        <w:t xml:space="preserve">tiefgekühlten verflüssigten Gase </w:t>
      </w:r>
      <w:r w:rsidRPr="00561D16">
        <w:rPr>
          <w:strike/>
          <w:lang w:val="de-DE"/>
        </w:rPr>
        <w:t>Kohlendioxid</w:t>
      </w:r>
      <w:r w:rsidRPr="00561D16">
        <w:rPr>
          <w:lang w:val="de-DE"/>
        </w:rPr>
        <w:t xml:space="preserve"> austreten </w:t>
      </w:r>
      <w:r w:rsidRPr="00561D16">
        <w:rPr>
          <w:b/>
          <w:bCs/>
          <w:u w:val="single"/>
          <w:lang w:val="de-DE"/>
        </w:rPr>
        <w:t>können</w:t>
      </w:r>
      <w:r w:rsidRPr="00561D16">
        <w:rPr>
          <w:lang w:val="de-DE"/>
        </w:rPr>
        <w:t xml:space="preserve"> </w:t>
      </w:r>
      <w:r w:rsidRPr="00561D16">
        <w:rPr>
          <w:strike/>
          <w:lang w:val="de-DE"/>
        </w:rPr>
        <w:t>kann</w:t>
      </w:r>
      <w:r w:rsidRPr="00561D16">
        <w:rPr>
          <w:lang w:val="de-DE"/>
        </w:rPr>
        <w:t xml:space="preserve"> (Kälte, Brüchigkeit von Materialien, gefrorene Verkleidungen, Ausströmöffnungen usw).</w:t>
      </w:r>
    </w:p>
    <w:p w14:paraId="383C7E84" w14:textId="77777777" w:rsidR="00F62BD0" w:rsidRPr="00561D16" w:rsidRDefault="00F62BD0" w:rsidP="00F62BD0">
      <w:pPr>
        <w:pStyle w:val="SingleTxtG"/>
        <w:ind w:left="2268" w:hanging="567"/>
        <w:rPr>
          <w:lang w:val="de-DE"/>
        </w:rPr>
      </w:pPr>
      <w:r w:rsidRPr="00561D16">
        <w:rPr>
          <w:lang w:val="de-DE"/>
        </w:rPr>
        <w:t>b)</w:t>
      </w:r>
      <w:r w:rsidRPr="00561D16">
        <w:rPr>
          <w:lang w:val="de-DE"/>
        </w:rPr>
        <w:tab/>
        <w:t>Im Beförderungspapier ist die Ladetemperatur (am Ladeort) anzugeben.</w:t>
      </w:r>
    </w:p>
    <w:p w14:paraId="03CE5703" w14:textId="77777777" w:rsidR="00F62BD0" w:rsidRPr="00561D16" w:rsidRDefault="00F62BD0" w:rsidP="00F62BD0">
      <w:pPr>
        <w:pStyle w:val="SingleTxtG"/>
        <w:ind w:left="2268" w:hanging="567"/>
        <w:rPr>
          <w:lang w:val="de-DE"/>
        </w:rPr>
      </w:pPr>
      <w:r w:rsidRPr="00561D16">
        <w:rPr>
          <w:lang w:val="de-DE"/>
        </w:rPr>
        <w:t>c)</w:t>
      </w:r>
      <w:r w:rsidRPr="00561D16">
        <w:rPr>
          <w:lang w:val="de-DE"/>
        </w:rPr>
        <w:tab/>
        <w:t>Ein Sauerstoffmessgerät</w:t>
      </w:r>
      <w:r w:rsidRPr="00561D16" w:rsidDel="00A0288D">
        <w:rPr>
          <w:lang w:val="de-DE"/>
        </w:rPr>
        <w:t xml:space="preserve"> </w:t>
      </w:r>
      <w:r w:rsidRPr="00561D16">
        <w:rPr>
          <w:lang w:val="de-DE"/>
        </w:rPr>
        <w:t>mit einer Bedienungsanweisung, die von jedem an Bord gelesen werden kann, muss sich an Bord des Schiffes befinden. Das Sauerstoffmessgerät</w:t>
      </w:r>
      <w:r w:rsidRPr="00561D16" w:rsidDel="00A0288D">
        <w:rPr>
          <w:lang w:val="de-DE"/>
        </w:rPr>
        <w:t xml:space="preserve"> </w:t>
      </w:r>
      <w:r w:rsidRPr="00561D16">
        <w:rPr>
          <w:lang w:val="de-DE"/>
        </w:rPr>
        <w:t>muss beim Betreten von Laderäumen, Pumpenräumen, tief gelegenen Räumen und beim Verrichten von Arbeiten an Bord als Beweismittel gebraucht werden.</w:t>
      </w:r>
    </w:p>
    <w:p w14:paraId="1DECC564" w14:textId="77777777" w:rsidR="00F62BD0" w:rsidRPr="00561D16" w:rsidRDefault="00F62BD0" w:rsidP="00F62BD0">
      <w:pPr>
        <w:pStyle w:val="SingleTxtG"/>
        <w:ind w:left="2268" w:hanging="567"/>
        <w:rPr>
          <w:lang w:val="de-DE"/>
        </w:rPr>
      </w:pPr>
      <w:r w:rsidRPr="00561D16">
        <w:rPr>
          <w:lang w:val="de-DE"/>
        </w:rPr>
        <w:t>d)</w:t>
      </w:r>
      <w:r w:rsidRPr="00561D16">
        <w:rPr>
          <w:lang w:val="de-DE"/>
        </w:rPr>
        <w:tab/>
        <w:t xml:space="preserve">Vor der Wohnung und anderen Räumen, in denen sich die Besatzung aufhält, muss ein geeignetes Messgerät angebracht sein, das bei einem zu niedrigen Sauerstoffgehalt </w:t>
      </w:r>
      <w:r w:rsidRPr="00561D16">
        <w:rPr>
          <w:strike/>
          <w:lang w:val="de-DE"/>
        </w:rPr>
        <w:t>oder zu hohem CO2-Gehalt</w:t>
      </w:r>
      <w:r w:rsidRPr="00561D16">
        <w:rPr>
          <w:lang w:val="de-DE"/>
        </w:rPr>
        <w:t xml:space="preserve"> einen Alarm auslöst.</w:t>
      </w:r>
    </w:p>
    <w:p w14:paraId="1F5D42C1" w14:textId="77777777" w:rsidR="00F62BD0" w:rsidRPr="00561D16" w:rsidRDefault="00F62BD0" w:rsidP="00F62BD0">
      <w:pPr>
        <w:pStyle w:val="SingleTxtG"/>
        <w:ind w:left="2268" w:hanging="567"/>
        <w:rPr>
          <w:lang w:val="de-DE"/>
        </w:rPr>
      </w:pPr>
      <w:r w:rsidRPr="00561D16">
        <w:rPr>
          <w:lang w:val="de-DE"/>
        </w:rPr>
        <w:t>e)</w:t>
      </w:r>
      <w:r w:rsidRPr="00561D16">
        <w:rPr>
          <w:lang w:val="de-DE"/>
        </w:rPr>
        <w:tab/>
        <w:t>Im Beförderungspapier sind die (nach dem Laden gemessene) Ladetemperatur und die maximale Beförderungsdauer anzugeben.</w:t>
      </w:r>
    </w:p>
    <w:p w14:paraId="57D6AD25" w14:textId="77777777" w:rsidR="00F62BD0" w:rsidRPr="00561D16" w:rsidRDefault="00F62BD0" w:rsidP="00F62BD0">
      <w:pPr>
        <w:pStyle w:val="SingleTxtG"/>
        <w:ind w:left="1701" w:hanging="1559"/>
        <w:rPr>
          <w:lang w:val="de-DE"/>
        </w:rPr>
      </w:pPr>
    </w:p>
    <w:p w14:paraId="424D7B5A" w14:textId="2BD3DBE8" w:rsidR="00F62BD0" w:rsidRPr="00986D27" w:rsidRDefault="00F62BD0" w:rsidP="00B46871">
      <w:pPr>
        <w:ind w:left="1701" w:right="1247" w:hanging="1559"/>
        <w:rPr>
          <w:rFonts w:asciiTheme="majorBidi" w:hAnsiTheme="majorBidi" w:cstheme="majorBidi"/>
          <w:lang w:val="de-DE"/>
        </w:rPr>
      </w:pPr>
      <w:r w:rsidRPr="00561D16">
        <w:rPr>
          <w:rFonts w:asciiTheme="majorBidi" w:hAnsiTheme="majorBidi" w:cstheme="majorBidi"/>
          <w:lang w:val="de-DE"/>
        </w:rPr>
        <w:t>**Ne</w:t>
      </w:r>
      <w:r w:rsidR="005E5DF5" w:rsidRPr="00561D16">
        <w:rPr>
          <w:rFonts w:asciiTheme="majorBidi" w:hAnsiTheme="majorBidi" w:cstheme="majorBidi"/>
          <w:lang w:val="de-DE"/>
        </w:rPr>
        <w:t>u</w:t>
      </w:r>
      <w:r w:rsidRPr="00561D16">
        <w:rPr>
          <w:rFonts w:asciiTheme="majorBidi" w:hAnsiTheme="majorBidi" w:cstheme="majorBidi"/>
          <w:lang w:val="de-DE"/>
        </w:rPr>
        <w:t xml:space="preserve"> 46.</w:t>
      </w:r>
      <w:r w:rsidRPr="00561D16">
        <w:rPr>
          <w:rFonts w:asciiTheme="majorBidi" w:hAnsiTheme="majorBidi" w:cstheme="majorBidi"/>
          <w:lang w:val="de-DE"/>
        </w:rPr>
        <w:tab/>
      </w:r>
      <w:r w:rsidR="00B46871" w:rsidRPr="00561D16">
        <w:rPr>
          <w:rFonts w:asciiTheme="majorBidi" w:hAnsiTheme="majorBidi" w:cstheme="majorBidi"/>
          <w:lang w:val="de-DE"/>
        </w:rPr>
        <w:t>Bauwerkstoffe und Zubehörteile wie z. B. Isolierungen müssen gegen die Einflüsse hoher Sauerstoffkonzentrationen beständig sein, die durch Kondensation und Anreicherung bei den im Ladungssystem teilweise herrschenden niedrigen Temperaturen entstehen.</w:t>
      </w:r>
      <w:r w:rsidRPr="00561D16">
        <w:rPr>
          <w:rFonts w:asciiTheme="majorBidi" w:hAnsiTheme="majorBidi" w:cstheme="majorBidi"/>
          <w:lang w:val="de-DE"/>
        </w:rPr>
        <w:t xml:space="preserve"> </w:t>
      </w:r>
      <w:r w:rsidR="00B46871" w:rsidRPr="00561D16">
        <w:rPr>
          <w:rFonts w:asciiTheme="majorBidi" w:hAnsiTheme="majorBidi" w:cstheme="majorBidi"/>
          <w:lang w:val="de-DE"/>
        </w:rPr>
        <w:t>In Bereichen, in denen Kondensation auftreten könnte, ist für ausreichende Belüftung zu sorgen, um eine Schichtung der mit Sauerstoff angereicherten Atmosphäre zu vermeiden.</w:t>
      </w:r>
    </w:p>
    <w:p w14:paraId="456A0083" w14:textId="77777777" w:rsidR="00F62BD0" w:rsidRPr="00986D27" w:rsidRDefault="00F62BD0" w:rsidP="00F62BD0">
      <w:pPr>
        <w:suppressAutoHyphens w:val="0"/>
        <w:spacing w:line="240" w:lineRule="auto"/>
        <w:jc w:val="center"/>
        <w:rPr>
          <w:b/>
          <w:bCs/>
          <w:lang w:val="de-DE" w:eastAsia="en-US"/>
        </w:rPr>
      </w:pPr>
    </w:p>
    <w:p w14:paraId="3182029D" w14:textId="38918805" w:rsidR="00F62BD0" w:rsidRPr="00F62BD0" w:rsidRDefault="00F62BD0" w:rsidP="00F62BD0">
      <w:pPr>
        <w:suppressAutoHyphens w:val="0"/>
        <w:spacing w:line="240" w:lineRule="auto"/>
        <w:jc w:val="center"/>
        <w:rPr>
          <w:b/>
          <w:bCs/>
          <w:lang w:val="en-US" w:eastAsia="en-US"/>
        </w:rPr>
      </w:pPr>
      <w:r w:rsidRPr="00F62BD0">
        <w:rPr>
          <w:b/>
          <w:bCs/>
          <w:lang w:val="en-US" w:eastAsia="en-US"/>
        </w:rPr>
        <w:t>***</w:t>
      </w:r>
    </w:p>
    <w:sectPr w:rsidR="00F62BD0" w:rsidRPr="00F62BD0" w:rsidSect="00F62BD0">
      <w:headerReference w:type="even" r:id="rId24"/>
      <w:headerReference w:type="default" r:id="rId25"/>
      <w:footerReference w:type="even" r:id="rId26"/>
      <w:footerReference w:type="default" r:id="rId27"/>
      <w:endnotePr>
        <w:numFmt w:val="decimal"/>
      </w:endnotePr>
      <w:pgSz w:w="16840" w:h="11907" w:orient="landscape" w:code="9"/>
      <w:pgMar w:top="1134" w:right="1418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83F9" w14:textId="77777777" w:rsidR="00923BE9" w:rsidRDefault="00923BE9"/>
  </w:endnote>
  <w:endnote w:type="continuationSeparator" w:id="0">
    <w:p w14:paraId="73873CC2" w14:textId="77777777" w:rsidR="00923BE9" w:rsidRDefault="00923BE9"/>
  </w:endnote>
  <w:endnote w:type="continuationNotice" w:id="1">
    <w:p w14:paraId="07453A2B" w14:textId="77777777" w:rsidR="00923BE9" w:rsidRDefault="0092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9DD6" w14:textId="53820A89" w:rsidR="00787D88" w:rsidRPr="00F969F6" w:rsidRDefault="00F517D9" w:rsidP="00F969F6">
    <w:pPr>
      <w:jc w:val="right"/>
      <w:rPr>
        <w:lang w:val="fr-FR"/>
      </w:rPr>
    </w:pPr>
    <w:bookmarkStart w:id="3" w:name="_Hlk106368732"/>
    <w:bookmarkStart w:id="4" w:name="_Hlk106368733"/>
    <w:r>
      <w:rPr>
        <w:rFonts w:ascii="Arial" w:hAnsi="Arial"/>
        <w:noProof/>
        <w:snapToGrid w:val="0"/>
        <w:sz w:val="12"/>
        <w:szCs w:val="24"/>
        <w:lang w:val="fr-FR"/>
      </w:rPr>
      <w:t>mm_ba/adn_2022_</w:t>
    </w:r>
    <w:r w:rsidR="00406A7F">
      <w:rPr>
        <w:rFonts w:ascii="Arial" w:hAnsi="Arial"/>
        <w:noProof/>
        <w:snapToGrid w:val="0"/>
        <w:sz w:val="12"/>
        <w:szCs w:val="24"/>
        <w:lang w:val="fr-FR"/>
      </w:rPr>
      <w:t>4</w:t>
    </w:r>
    <w:r>
      <w:rPr>
        <w:rFonts w:ascii="Arial" w:hAnsi="Arial"/>
        <w:noProof/>
        <w:snapToGrid w:val="0"/>
        <w:sz w:val="12"/>
        <w:szCs w:val="24"/>
        <w:lang w:val="fr-FR"/>
      </w:rPr>
      <w:t>de</w:t>
    </w:r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DDAC" w14:textId="2DA28D6C" w:rsidR="00787D88" w:rsidRPr="00787D88" w:rsidRDefault="00787D88" w:rsidP="00787D88">
    <w:pPr>
      <w:pStyle w:val="Footer"/>
      <w:tabs>
        <w:tab w:val="right" w:pos="9638"/>
      </w:tabs>
      <w:rPr>
        <w:b/>
        <w:sz w:val="18"/>
      </w:rPr>
    </w:pPr>
    <w:r>
      <w:tab/>
    </w:r>
    <w:r w:rsidRPr="00787D88">
      <w:rPr>
        <w:b/>
        <w:sz w:val="18"/>
      </w:rPr>
      <w:fldChar w:fldCharType="begin"/>
    </w:r>
    <w:r w:rsidRPr="00787D88">
      <w:rPr>
        <w:b/>
        <w:sz w:val="18"/>
      </w:rPr>
      <w:instrText xml:space="preserve"> PAGE  \* MERGEFORMAT </w:instrText>
    </w:r>
    <w:r w:rsidRPr="00787D88">
      <w:rPr>
        <w:b/>
        <w:sz w:val="18"/>
      </w:rPr>
      <w:fldChar w:fldCharType="separate"/>
    </w:r>
    <w:r w:rsidRPr="00787D88">
      <w:rPr>
        <w:b/>
        <w:noProof/>
        <w:sz w:val="18"/>
      </w:rPr>
      <w:t>3</w:t>
    </w:r>
    <w:r w:rsidRPr="00787D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3021" w14:textId="48064A82" w:rsidR="002A6E73" w:rsidRPr="002A6E73" w:rsidRDefault="002A6E73" w:rsidP="002A6E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654680" wp14:editId="4CAF1FB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A5916F7" w14:textId="77777777" w:rsidR="002A6E73" w:rsidRPr="00787D88" w:rsidRDefault="002A6E73" w:rsidP="002A6E73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87D8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87D8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87D8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787D8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459820B4" w14:textId="77777777" w:rsidR="002A6E73" w:rsidRDefault="002A6E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46546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4pt;margin-top:0;width:17pt;height:481.9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A5916F7" w14:textId="77777777" w:rsidR="002A6E73" w:rsidRPr="00787D88" w:rsidRDefault="002A6E73" w:rsidP="002A6E73">
                    <w:pPr>
                      <w:pStyle w:val="Pieddepage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87D88">
                      <w:rPr>
                        <w:b/>
                        <w:sz w:val="18"/>
                      </w:rPr>
                      <w:fldChar w:fldCharType="begin"/>
                    </w:r>
                    <w:r w:rsidRPr="00787D8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87D8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787D8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459820B4" w14:textId="77777777" w:rsidR="002A6E73" w:rsidRDefault="002A6E7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0894" w14:textId="52736337" w:rsidR="00A64E95" w:rsidRPr="00F969F6" w:rsidRDefault="00F517D9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mm_ba/adn_2022_</w:t>
    </w:r>
    <w:r w:rsidR="00406A7F">
      <w:rPr>
        <w:rFonts w:ascii="Arial" w:hAnsi="Arial"/>
        <w:noProof/>
        <w:snapToGrid w:val="0"/>
        <w:sz w:val="12"/>
        <w:szCs w:val="24"/>
        <w:lang w:val="fr-FR"/>
      </w:rPr>
      <w:t>4</w:t>
    </w:r>
    <w:r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B96D" w14:textId="4E52F86B" w:rsidR="00A64E95" w:rsidRPr="00F969F6" w:rsidRDefault="00F517D9" w:rsidP="00F969F6">
    <w:pPr>
      <w:jc w:val="right"/>
      <w:rPr>
        <w:sz w:val="18"/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mm_ba/adn_2022_</w:t>
    </w:r>
    <w:r w:rsidR="00406A7F">
      <w:rPr>
        <w:rFonts w:ascii="Arial" w:hAnsi="Arial"/>
        <w:noProof/>
        <w:snapToGrid w:val="0"/>
        <w:sz w:val="12"/>
        <w:szCs w:val="24"/>
        <w:lang w:val="fr-FR"/>
      </w:rPr>
      <w:t>4d</w:t>
    </w:r>
    <w:r>
      <w:rPr>
        <w:rFonts w:ascii="Arial" w:hAnsi="Arial"/>
        <w:noProof/>
        <w:snapToGrid w:val="0"/>
        <w:sz w:val="12"/>
        <w:szCs w:val="24"/>
        <w:lang w:val="fr-FR"/>
      </w:rPr>
      <w:t>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99C6" w14:textId="53C3436C" w:rsidR="00F517D9" w:rsidRPr="00F969F6" w:rsidRDefault="00F517D9" w:rsidP="00F517D9">
    <w:pPr>
      <w:jc w:val="right"/>
      <w:rPr>
        <w:sz w:val="18"/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mm_ba/adn_2022_</w:t>
    </w:r>
    <w:r w:rsidR="00406A7F">
      <w:rPr>
        <w:rFonts w:ascii="Arial" w:hAnsi="Arial"/>
        <w:noProof/>
        <w:snapToGrid w:val="0"/>
        <w:sz w:val="12"/>
        <w:szCs w:val="24"/>
        <w:lang w:val="fr-FR"/>
      </w:rPr>
      <w:t>4</w:t>
    </w:r>
    <w:r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20A" w14:textId="74688737" w:rsidR="008A287A" w:rsidRPr="008A287A" w:rsidRDefault="008A287A" w:rsidP="008A28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91831CE" wp14:editId="0123BD0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5FDAF8F" w14:textId="77777777" w:rsidR="008A287A" w:rsidRPr="009C0D1D" w:rsidRDefault="008A287A" w:rsidP="008A287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4BD50C25" w14:textId="77777777" w:rsidR="008A287A" w:rsidRDefault="008A287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91831C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-34pt;margin-top:0;width:17pt;height:481.9pt;z-index:25165825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5FDAF8F" w14:textId="77777777" w:rsidR="008A287A" w:rsidRPr="009C0D1D" w:rsidRDefault="008A287A" w:rsidP="008A287A">
                    <w:pPr>
                      <w:pStyle w:val="Pieddepage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4BD50C25" w14:textId="77777777" w:rsidR="008A287A" w:rsidRDefault="008A287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88C4" w14:textId="1F850332" w:rsidR="008A287A" w:rsidRPr="00F969F6" w:rsidRDefault="00F517D9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mm_ba/adn_2022_</w:t>
    </w:r>
    <w:r w:rsidR="00C02F3C">
      <w:rPr>
        <w:rFonts w:ascii="Arial" w:hAnsi="Arial"/>
        <w:noProof/>
        <w:snapToGrid w:val="0"/>
        <w:sz w:val="12"/>
        <w:szCs w:val="24"/>
        <w:lang w:val="fr-FR"/>
      </w:rPr>
      <w:t>4</w:t>
    </w:r>
    <w:r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F9D5" w14:textId="77777777" w:rsidR="00923BE9" w:rsidRPr="000B175B" w:rsidRDefault="00923B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FE3B8C" w14:textId="77777777" w:rsidR="00923BE9" w:rsidRPr="00FC68B7" w:rsidRDefault="00923B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88D014" w14:textId="77777777" w:rsidR="00923BE9" w:rsidRDefault="00923BE9"/>
  </w:footnote>
  <w:footnote w:id="2">
    <w:p w14:paraId="51719324" w14:textId="7F868324" w:rsidR="00C91B9B" w:rsidRPr="00AE025A" w:rsidRDefault="00C91B9B" w:rsidP="00C91B9B">
      <w:pPr>
        <w:pStyle w:val="FootnoteText"/>
        <w:rPr>
          <w:lang w:val="de-DE"/>
        </w:rPr>
      </w:pPr>
      <w:r>
        <w:rPr>
          <w:szCs w:val="18"/>
        </w:rPr>
        <w:tab/>
      </w:r>
      <w:r>
        <w:rPr>
          <w:rStyle w:val="FootnoteReference"/>
        </w:rPr>
        <w:footnoteRef/>
      </w:r>
      <w:r w:rsidRPr="00AE025A">
        <w:rPr>
          <w:szCs w:val="18"/>
          <w:lang w:val="de-DE"/>
        </w:rPr>
        <w:tab/>
      </w:r>
      <w:r w:rsidR="00AE025A" w:rsidRPr="00F027E2">
        <w:rPr>
          <w:szCs w:val="18"/>
          <w:lang w:val="de-DE"/>
        </w:rPr>
        <w:t>Bei Fragen, die für den betreffenden Antragsgegenstand nicht zutreffen, ist „</w:t>
      </w:r>
      <w:r w:rsidR="00C5012B">
        <w:rPr>
          <w:szCs w:val="18"/>
          <w:lang w:val="de-DE"/>
        </w:rPr>
        <w:t>nicht zutreffend</w:t>
      </w:r>
      <w:r w:rsidR="00AE025A" w:rsidRPr="00F027E2">
        <w:rPr>
          <w:szCs w:val="18"/>
          <w:lang w:val="de-DE"/>
        </w:rPr>
        <w:t>“ einzutragen</w:t>
      </w:r>
      <w:r w:rsidRPr="00F027E2">
        <w:rPr>
          <w:szCs w:val="18"/>
          <w:lang w:val="de-DE"/>
        </w:rPr>
        <w:t>.</w:t>
      </w:r>
    </w:p>
  </w:footnote>
  <w:footnote w:id="3">
    <w:p w14:paraId="0D26B0DC" w14:textId="44000E20" w:rsidR="00C91B9B" w:rsidRPr="00986D27" w:rsidRDefault="00C91B9B" w:rsidP="00955D07">
      <w:pPr>
        <w:pStyle w:val="FootnoteText"/>
        <w:rPr>
          <w:szCs w:val="18"/>
          <w:lang w:val="de-DE"/>
        </w:rPr>
      </w:pPr>
      <w:r w:rsidRPr="00AE025A">
        <w:rPr>
          <w:szCs w:val="18"/>
          <w:lang w:val="de-DE"/>
        </w:rPr>
        <w:tab/>
      </w:r>
      <w:r w:rsidRPr="003938AF">
        <w:rPr>
          <w:rStyle w:val="FootnoteReference"/>
          <w:szCs w:val="18"/>
        </w:rPr>
        <w:footnoteRef/>
      </w:r>
      <w:r w:rsidRPr="00986D27">
        <w:rPr>
          <w:szCs w:val="18"/>
          <w:lang w:val="de-DE"/>
        </w:rPr>
        <w:tab/>
      </w:r>
      <w:r w:rsidR="00955D07" w:rsidRPr="00C5012B">
        <w:rPr>
          <w:szCs w:val="18"/>
          <w:lang w:val="de-DE"/>
        </w:rPr>
        <w:t>Zusätzliche Angaben zu diesem Antragsformular sind in den Anlagen zu vermerken.</w:t>
      </w:r>
    </w:p>
  </w:footnote>
  <w:footnote w:id="4">
    <w:p w14:paraId="205BA72A" w14:textId="46BB1AB1" w:rsidR="00C91B9B" w:rsidRPr="00282B46" w:rsidRDefault="00C91B9B" w:rsidP="00C91B9B">
      <w:pPr>
        <w:pStyle w:val="FootnoteText"/>
        <w:rPr>
          <w:szCs w:val="18"/>
          <w:lang w:val="de-DE"/>
        </w:rPr>
      </w:pPr>
      <w:r w:rsidRPr="00986D27">
        <w:rPr>
          <w:szCs w:val="18"/>
          <w:lang w:val="de-DE"/>
        </w:rPr>
        <w:tab/>
      </w:r>
      <w:r w:rsidRPr="00F027E2">
        <w:rPr>
          <w:rStyle w:val="FootnoteReference"/>
          <w:szCs w:val="18"/>
        </w:rPr>
        <w:footnoteRef/>
      </w:r>
      <w:r w:rsidRPr="00F027E2">
        <w:rPr>
          <w:szCs w:val="18"/>
          <w:lang w:val="de-DE"/>
        </w:rPr>
        <w:tab/>
      </w:r>
      <w:r w:rsidR="00505137" w:rsidRPr="00F027E2">
        <w:rPr>
          <w:szCs w:val="18"/>
          <w:lang w:val="de-DE"/>
        </w:rPr>
        <w:t>Internationaler Code für den Bau und die Ausrüstung von Schiffen zur Beförderung gefährlicher Chemikalien als Massengut.</w:t>
      </w:r>
    </w:p>
  </w:footnote>
  <w:footnote w:id="5">
    <w:p w14:paraId="7728B56B" w14:textId="6C6FB80B" w:rsidR="00C91B9B" w:rsidRPr="00DC7489" w:rsidRDefault="00C91B9B" w:rsidP="006F1CF8">
      <w:pPr>
        <w:pStyle w:val="FootnoteText"/>
        <w:rPr>
          <w:szCs w:val="18"/>
          <w:lang w:val="de-DE"/>
        </w:rPr>
      </w:pPr>
      <w:r w:rsidRPr="00505137">
        <w:rPr>
          <w:szCs w:val="18"/>
          <w:lang w:val="de-DE"/>
        </w:rPr>
        <w:tab/>
      </w:r>
      <w:r w:rsidRPr="00DC7489">
        <w:rPr>
          <w:rStyle w:val="FootnoteReference"/>
          <w:szCs w:val="18"/>
        </w:rPr>
        <w:footnoteRef/>
      </w:r>
      <w:r w:rsidRPr="00DC7489">
        <w:rPr>
          <w:szCs w:val="18"/>
          <w:lang w:val="de-DE"/>
        </w:rPr>
        <w:tab/>
      </w:r>
      <w:r w:rsidR="006F1CF8" w:rsidRPr="00DC7489">
        <w:rPr>
          <w:szCs w:val="18"/>
          <w:lang w:val="de-DE"/>
        </w:rPr>
        <w:t>Kann in einer Anlage angegeben werden.</w:t>
      </w:r>
    </w:p>
  </w:footnote>
  <w:footnote w:id="6">
    <w:p w14:paraId="6FC4CECB" w14:textId="7EDA2777" w:rsidR="00C91B9B" w:rsidRPr="00DC7489" w:rsidRDefault="00C91B9B" w:rsidP="00C91B9B">
      <w:pPr>
        <w:pStyle w:val="FootnoteText"/>
        <w:rPr>
          <w:szCs w:val="18"/>
          <w:lang w:val="de-DE"/>
        </w:rPr>
      </w:pPr>
      <w:r w:rsidRPr="00DC7489">
        <w:rPr>
          <w:szCs w:val="18"/>
          <w:lang w:val="de-DE"/>
        </w:rPr>
        <w:tab/>
      </w:r>
      <w:r w:rsidRPr="00DC7489">
        <w:rPr>
          <w:rStyle w:val="FootnoteReference"/>
          <w:szCs w:val="18"/>
        </w:rPr>
        <w:footnoteRef/>
      </w:r>
      <w:r w:rsidRPr="00DC7489">
        <w:rPr>
          <w:szCs w:val="18"/>
          <w:lang w:val="de-DE"/>
        </w:rPr>
        <w:tab/>
      </w:r>
      <w:r w:rsidR="006F1CF8" w:rsidRPr="00DC7489">
        <w:rPr>
          <w:szCs w:val="18"/>
          <w:lang w:val="de-DE"/>
        </w:rPr>
        <w:t>Ist in einer Anlage anzugeben.</w:t>
      </w:r>
    </w:p>
  </w:footnote>
  <w:footnote w:id="7">
    <w:p w14:paraId="6C3E2493" w14:textId="4A4A50C3" w:rsidR="00C91B9B" w:rsidRPr="00986D27" w:rsidRDefault="00C91B9B" w:rsidP="007C3BAC">
      <w:pPr>
        <w:pStyle w:val="FootnoteText"/>
        <w:rPr>
          <w:szCs w:val="18"/>
          <w:lang w:val="de-DE"/>
        </w:rPr>
      </w:pPr>
      <w:r w:rsidRPr="00DC7489">
        <w:rPr>
          <w:szCs w:val="18"/>
          <w:lang w:val="de-DE"/>
        </w:rPr>
        <w:tab/>
      </w:r>
      <w:r w:rsidRPr="00DC7489">
        <w:rPr>
          <w:rStyle w:val="FootnoteReference"/>
          <w:szCs w:val="18"/>
        </w:rPr>
        <w:footnoteRef/>
      </w:r>
      <w:r w:rsidRPr="00DC7489">
        <w:rPr>
          <w:szCs w:val="18"/>
          <w:lang w:val="de-DE"/>
        </w:rPr>
        <w:tab/>
      </w:r>
      <w:r w:rsidR="007C3BAC" w:rsidRPr="00DC7489">
        <w:rPr>
          <w:szCs w:val="18"/>
          <w:lang w:val="de-DE"/>
        </w:rPr>
        <w:t>Ist in einer Anlage anzugeben.</w:t>
      </w:r>
    </w:p>
  </w:footnote>
  <w:footnote w:id="8">
    <w:p w14:paraId="270E0BB9" w14:textId="1B41CAD7" w:rsidR="00C91B9B" w:rsidRPr="00986D27" w:rsidRDefault="00C91B9B" w:rsidP="00AF3376">
      <w:pPr>
        <w:pStyle w:val="FootnoteText"/>
        <w:rPr>
          <w:szCs w:val="18"/>
          <w:lang w:val="de-DE"/>
        </w:rPr>
      </w:pPr>
      <w:r w:rsidRPr="00986D27">
        <w:rPr>
          <w:szCs w:val="18"/>
          <w:lang w:val="de-DE"/>
        </w:rPr>
        <w:tab/>
      </w:r>
      <w:r w:rsidRPr="00C45808">
        <w:rPr>
          <w:rStyle w:val="FootnoteReference"/>
        </w:rPr>
        <w:footnoteRef/>
      </w:r>
      <w:r w:rsidRPr="00C45808">
        <w:rPr>
          <w:szCs w:val="18"/>
          <w:lang w:val="de-DE"/>
        </w:rPr>
        <w:tab/>
      </w:r>
      <w:r w:rsidR="00AF3376" w:rsidRPr="00C45808">
        <w:rPr>
          <w:szCs w:val="18"/>
          <w:lang w:val="de-DE"/>
        </w:rPr>
        <w:t>Ist in einer Anlage 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09CE" w14:textId="56816A6C" w:rsidR="00A64E95" w:rsidRPr="00A64E95" w:rsidRDefault="00F517D9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>
      <w:rPr>
        <w:rFonts w:ascii="Arial" w:hAnsi="Arial"/>
        <w:snapToGrid w:val="0"/>
        <w:sz w:val="16"/>
        <w:szCs w:val="16"/>
        <w:lang w:val="en-US"/>
      </w:rPr>
      <w:t>CCNR-ZKR/ADN/2022/</w:t>
    </w:r>
    <w:r w:rsidR="00406A7F">
      <w:rPr>
        <w:rFonts w:ascii="Arial" w:hAnsi="Arial"/>
        <w:snapToGrid w:val="0"/>
        <w:sz w:val="16"/>
        <w:szCs w:val="16"/>
        <w:lang w:val="en-US"/>
      </w:rPr>
      <w:t>4</w:t>
    </w:r>
  </w:p>
  <w:p w14:paraId="60BFF2E2" w14:textId="77777777" w:rsidR="00A64E95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CB71" w14:textId="5C4103CC" w:rsidR="00787D88" w:rsidRPr="00787D88" w:rsidRDefault="00C02F3C" w:rsidP="00787D88">
    <w:pPr>
      <w:pStyle w:val="Header"/>
      <w:jc w:val="right"/>
    </w:pPr>
    <w:fldSimple w:instr=" TITLE  \* MERGEFORMAT ">
      <w:r w:rsidR="00F1724D">
        <w:t>ECE/TRANS/WP.15/AC.2/2022/19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7D62" w14:textId="6BBB325A" w:rsidR="002A6E73" w:rsidRPr="002A6E73" w:rsidRDefault="002A6E73" w:rsidP="002A6E73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7878CFA" wp14:editId="1B96991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76E109" w14:textId="170D1699" w:rsidR="002A6E73" w:rsidRPr="00787D88" w:rsidRDefault="00C02F3C" w:rsidP="002A6E73">
                          <w:pPr>
                            <w:pStyle w:val="Header"/>
                          </w:pPr>
                          <w:fldSimple w:instr=" TITLE  \* MERGEFORMAT ">
                            <w:r w:rsidR="00F1724D">
                              <w:t>ECE/TRANS/WP.15/AC.2/2022/19</w:t>
                            </w:r>
                          </w:fldSimple>
                        </w:p>
                        <w:p w14:paraId="46EB31D3" w14:textId="77777777" w:rsidR="002A6E73" w:rsidRDefault="002A6E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78C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82.35pt;margin-top:0;width:17pt;height:481.9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576E109" w14:textId="170D1699" w:rsidR="002A6E73" w:rsidRPr="00787D88" w:rsidRDefault="00C02F3C" w:rsidP="002A6E73">
                    <w:pPr>
                      <w:pStyle w:val="Header"/>
                    </w:pPr>
                    <w:fldSimple w:instr=" TITLE  \* MERGEFORMAT ">
                      <w:r w:rsidR="00F1724D">
                        <w:t>ECE/TRANS/WP.15/AC.2/2022/19</w:t>
                      </w:r>
                    </w:fldSimple>
                  </w:p>
                  <w:p w14:paraId="46EB31D3" w14:textId="77777777" w:rsidR="002A6E73" w:rsidRDefault="002A6E73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9DEB" w14:textId="7456FBA2" w:rsidR="00A64E95" w:rsidRPr="00A64E95" w:rsidRDefault="00F517D9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>
      <w:rPr>
        <w:rFonts w:ascii="Arial" w:hAnsi="Arial"/>
        <w:snapToGrid w:val="0"/>
        <w:sz w:val="16"/>
        <w:szCs w:val="16"/>
        <w:lang w:val="en-US"/>
      </w:rPr>
      <w:t>CCNR-ZKR/ADN/2022/</w:t>
    </w:r>
    <w:r w:rsidR="00406A7F">
      <w:rPr>
        <w:rFonts w:ascii="Arial" w:hAnsi="Arial"/>
        <w:snapToGrid w:val="0"/>
        <w:sz w:val="16"/>
        <w:szCs w:val="16"/>
        <w:lang w:val="en-US"/>
      </w:rPr>
      <w:t>4</w:t>
    </w:r>
  </w:p>
  <w:p w14:paraId="761EA749" w14:textId="136B8893" w:rsidR="002A6E73" w:rsidRPr="002A6E73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B8D0" w14:textId="5D6AFA66" w:rsidR="00A64E95" w:rsidRPr="00A64E95" w:rsidRDefault="00F517D9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>
      <w:rPr>
        <w:rFonts w:ascii="Arial" w:hAnsi="Arial"/>
        <w:snapToGrid w:val="0"/>
        <w:sz w:val="16"/>
        <w:szCs w:val="16"/>
        <w:lang w:val="en-US"/>
      </w:rPr>
      <w:t>CCNR-ZKR/ADN/2022/</w:t>
    </w:r>
    <w:r w:rsidR="00406A7F">
      <w:rPr>
        <w:rFonts w:ascii="Arial" w:hAnsi="Arial"/>
        <w:snapToGrid w:val="0"/>
        <w:sz w:val="16"/>
        <w:szCs w:val="16"/>
        <w:lang w:val="en-US"/>
      </w:rPr>
      <w:t>4</w:t>
    </w:r>
  </w:p>
  <w:p w14:paraId="57DABA95" w14:textId="3747F96F" w:rsidR="008B73A7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 w:rsidRPr="00A64E95">
      <w:rPr>
        <w:rFonts w:ascii="Arial" w:hAnsi="Arial"/>
        <w:snapToGrid w:val="0"/>
        <w:sz w:val="16"/>
        <w:szCs w:val="16"/>
        <w:lang w:val="de-DE"/>
      </w:rPr>
      <w:t>2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9006" w14:textId="0854B3F0" w:rsidR="00A64E95" w:rsidRPr="00A64E95" w:rsidRDefault="00F517D9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>
      <w:rPr>
        <w:rFonts w:ascii="Arial" w:hAnsi="Arial"/>
        <w:snapToGrid w:val="0"/>
        <w:sz w:val="16"/>
        <w:szCs w:val="16"/>
        <w:lang w:val="en-US"/>
      </w:rPr>
      <w:t>CCNR-ZKR/ADN/2022/</w:t>
    </w:r>
    <w:r w:rsidR="00406A7F">
      <w:rPr>
        <w:rFonts w:ascii="Arial" w:hAnsi="Arial"/>
        <w:snapToGrid w:val="0"/>
        <w:sz w:val="16"/>
        <w:szCs w:val="16"/>
        <w:lang w:val="en-US"/>
      </w:rPr>
      <w:t>4</w:t>
    </w:r>
  </w:p>
  <w:p w14:paraId="68D2F63E" w14:textId="77777777" w:rsidR="00A64E95" w:rsidRPr="00A64E95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65BB" w14:textId="14286B86" w:rsidR="008A287A" w:rsidRPr="008A287A" w:rsidRDefault="008A287A" w:rsidP="008A287A"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DB1A9DA" wp14:editId="6F543B4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F18F73" w14:textId="70701154" w:rsidR="008A287A" w:rsidRPr="009C0D1D" w:rsidRDefault="00C02F3C" w:rsidP="008A287A">
                          <w:pPr>
                            <w:pStyle w:val="Header"/>
                          </w:pPr>
                          <w:fldSimple w:instr=" TITLE  \* MERGEFORMAT ">
                            <w:r w:rsidR="00F1724D">
                              <w:t>ECE/TRANS/WP.15/AC.2/2022/19</w:t>
                            </w:r>
                          </w:fldSimple>
                        </w:p>
                        <w:p w14:paraId="1F78377F" w14:textId="77777777" w:rsidR="008A287A" w:rsidRDefault="008A287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1A9D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782.35pt;margin-top:0;width:17pt;height:481.9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F18F73" w14:textId="70701154" w:rsidR="008A287A" w:rsidRPr="009C0D1D" w:rsidRDefault="00C02F3C" w:rsidP="008A287A">
                    <w:pPr>
                      <w:pStyle w:val="Header"/>
                    </w:pPr>
                    <w:fldSimple w:instr=" TITLE  \* MERGEFORMAT ">
                      <w:r w:rsidR="00F1724D">
                        <w:t>ECE/TRANS/WP.15/AC.2/2022/19</w:t>
                      </w:r>
                    </w:fldSimple>
                  </w:p>
                  <w:p w14:paraId="1F78377F" w14:textId="77777777" w:rsidR="008A287A" w:rsidRDefault="008A287A"/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74E6" w14:textId="239508A7" w:rsidR="00A64E95" w:rsidRPr="00A64E95" w:rsidRDefault="00F517D9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>
      <w:rPr>
        <w:rFonts w:ascii="Arial" w:hAnsi="Arial"/>
        <w:snapToGrid w:val="0"/>
        <w:sz w:val="16"/>
        <w:szCs w:val="16"/>
        <w:lang w:val="en-US"/>
      </w:rPr>
      <w:t>CCNR-ZKR/ADN/2022/</w:t>
    </w:r>
    <w:r w:rsidR="00C02F3C">
      <w:rPr>
        <w:rFonts w:ascii="Arial" w:hAnsi="Arial"/>
        <w:snapToGrid w:val="0"/>
        <w:sz w:val="16"/>
        <w:szCs w:val="16"/>
        <w:lang w:val="en-US"/>
      </w:rPr>
      <w:t>4</w:t>
    </w:r>
  </w:p>
  <w:p w14:paraId="42016E47" w14:textId="77777777" w:rsidR="00A64E95" w:rsidRPr="00A64E95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2409"/>
        </w:tabs>
        <w:ind w:left="2409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5464" w:hanging="360"/>
      </w:pPr>
      <w:rPr>
        <w:rFonts w:ascii="Times New Roman" w:eastAsia="TimesNewRomanPS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C44"/>
    <w:multiLevelType w:val="hybridMultilevel"/>
    <w:tmpl w:val="E7EAB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6748A"/>
    <w:multiLevelType w:val="hybridMultilevel"/>
    <w:tmpl w:val="95241FA6"/>
    <w:lvl w:ilvl="0" w:tplc="85D81E66">
      <w:start w:val="3"/>
      <w:numFmt w:val="bullet"/>
      <w:lvlText w:val=""/>
      <w:lvlJc w:val="left"/>
      <w:pPr>
        <w:ind w:left="1380" w:hanging="102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50521B"/>
    <w:multiLevelType w:val="hybridMultilevel"/>
    <w:tmpl w:val="27CAE280"/>
    <w:lvl w:ilvl="0" w:tplc="5C221A1C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19"/>
  </w:num>
  <w:num w:numId="16">
    <w:abstractNumId w:val="14"/>
  </w:num>
  <w:num w:numId="17">
    <w:abstractNumId w:val="21"/>
  </w:num>
  <w:num w:numId="18">
    <w:abstractNumId w:val="22"/>
  </w:num>
  <w:num w:numId="19">
    <w:abstractNumId w:val="11"/>
  </w:num>
  <w:num w:numId="20">
    <w:abstractNumId w:val="11"/>
  </w:num>
  <w:num w:numId="21">
    <w:abstractNumId w:val="17"/>
  </w:num>
  <w:num w:numId="22">
    <w:abstractNumId w:val="20"/>
  </w:num>
  <w:num w:numId="23">
    <w:abstractNumId w:val="12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88"/>
    <w:rsid w:val="00000276"/>
    <w:rsid w:val="00002A7D"/>
    <w:rsid w:val="000038A8"/>
    <w:rsid w:val="00004265"/>
    <w:rsid w:val="00006790"/>
    <w:rsid w:val="00015E52"/>
    <w:rsid w:val="000211BF"/>
    <w:rsid w:val="000264D6"/>
    <w:rsid w:val="00027624"/>
    <w:rsid w:val="00037EEE"/>
    <w:rsid w:val="00045888"/>
    <w:rsid w:val="000504EC"/>
    <w:rsid w:val="00050F6B"/>
    <w:rsid w:val="00053355"/>
    <w:rsid w:val="00055D51"/>
    <w:rsid w:val="000570AA"/>
    <w:rsid w:val="0005746C"/>
    <w:rsid w:val="00062B97"/>
    <w:rsid w:val="00066872"/>
    <w:rsid w:val="000678CD"/>
    <w:rsid w:val="00072C8C"/>
    <w:rsid w:val="00074459"/>
    <w:rsid w:val="0007750F"/>
    <w:rsid w:val="00081CE0"/>
    <w:rsid w:val="00081E62"/>
    <w:rsid w:val="00082E21"/>
    <w:rsid w:val="00084D30"/>
    <w:rsid w:val="000865D3"/>
    <w:rsid w:val="00090320"/>
    <w:rsid w:val="00092545"/>
    <w:rsid w:val="000931C0"/>
    <w:rsid w:val="000A0A2E"/>
    <w:rsid w:val="000A2E09"/>
    <w:rsid w:val="000B175B"/>
    <w:rsid w:val="000B2305"/>
    <w:rsid w:val="000B3A0F"/>
    <w:rsid w:val="000B3D31"/>
    <w:rsid w:val="000B77B4"/>
    <w:rsid w:val="000B78A4"/>
    <w:rsid w:val="000C5FCC"/>
    <w:rsid w:val="000C6D35"/>
    <w:rsid w:val="000D0478"/>
    <w:rsid w:val="000D2D15"/>
    <w:rsid w:val="000D315C"/>
    <w:rsid w:val="000D4995"/>
    <w:rsid w:val="000D7EF1"/>
    <w:rsid w:val="000E0415"/>
    <w:rsid w:val="000E106C"/>
    <w:rsid w:val="000E499D"/>
    <w:rsid w:val="000F1191"/>
    <w:rsid w:val="000F2194"/>
    <w:rsid w:val="000F4527"/>
    <w:rsid w:val="000F50B8"/>
    <w:rsid w:val="000F530E"/>
    <w:rsid w:val="000F6AD2"/>
    <w:rsid w:val="000F6C83"/>
    <w:rsid w:val="000F7715"/>
    <w:rsid w:val="001058DE"/>
    <w:rsid w:val="00113ED9"/>
    <w:rsid w:val="00114AD0"/>
    <w:rsid w:val="00121A96"/>
    <w:rsid w:val="0012326F"/>
    <w:rsid w:val="00123E90"/>
    <w:rsid w:val="0012552A"/>
    <w:rsid w:val="00132440"/>
    <w:rsid w:val="001338AA"/>
    <w:rsid w:val="001402A8"/>
    <w:rsid w:val="00141ABA"/>
    <w:rsid w:val="00151B45"/>
    <w:rsid w:val="00156B99"/>
    <w:rsid w:val="001614F2"/>
    <w:rsid w:val="00165259"/>
    <w:rsid w:val="00165868"/>
    <w:rsid w:val="00166124"/>
    <w:rsid w:val="001773E2"/>
    <w:rsid w:val="00182116"/>
    <w:rsid w:val="00182B56"/>
    <w:rsid w:val="00183B45"/>
    <w:rsid w:val="00184DDA"/>
    <w:rsid w:val="001861D4"/>
    <w:rsid w:val="001876BF"/>
    <w:rsid w:val="001900CD"/>
    <w:rsid w:val="00193A68"/>
    <w:rsid w:val="00194628"/>
    <w:rsid w:val="0019797B"/>
    <w:rsid w:val="001A0452"/>
    <w:rsid w:val="001A3A83"/>
    <w:rsid w:val="001A44F1"/>
    <w:rsid w:val="001A6E30"/>
    <w:rsid w:val="001B2578"/>
    <w:rsid w:val="001B4B04"/>
    <w:rsid w:val="001B5875"/>
    <w:rsid w:val="001C37E3"/>
    <w:rsid w:val="001C4B9C"/>
    <w:rsid w:val="001C63E6"/>
    <w:rsid w:val="001C6663"/>
    <w:rsid w:val="001C7817"/>
    <w:rsid w:val="001C7895"/>
    <w:rsid w:val="001D26DF"/>
    <w:rsid w:val="001D42AB"/>
    <w:rsid w:val="001D6316"/>
    <w:rsid w:val="001D7591"/>
    <w:rsid w:val="001D76F7"/>
    <w:rsid w:val="001E067A"/>
    <w:rsid w:val="001E343A"/>
    <w:rsid w:val="001E4F17"/>
    <w:rsid w:val="001F1599"/>
    <w:rsid w:val="001F19C4"/>
    <w:rsid w:val="001F50FD"/>
    <w:rsid w:val="001F721F"/>
    <w:rsid w:val="001F726C"/>
    <w:rsid w:val="00202084"/>
    <w:rsid w:val="002043F0"/>
    <w:rsid w:val="00211E0B"/>
    <w:rsid w:val="00217BE7"/>
    <w:rsid w:val="002205B8"/>
    <w:rsid w:val="002207A3"/>
    <w:rsid w:val="0022238A"/>
    <w:rsid w:val="00224430"/>
    <w:rsid w:val="00225044"/>
    <w:rsid w:val="002267FF"/>
    <w:rsid w:val="00231DA8"/>
    <w:rsid w:val="00232575"/>
    <w:rsid w:val="00232B7E"/>
    <w:rsid w:val="00236505"/>
    <w:rsid w:val="00243866"/>
    <w:rsid w:val="002448DE"/>
    <w:rsid w:val="00246B2D"/>
    <w:rsid w:val="00246BE1"/>
    <w:rsid w:val="00247258"/>
    <w:rsid w:val="002506F4"/>
    <w:rsid w:val="002515A4"/>
    <w:rsid w:val="00257CAC"/>
    <w:rsid w:val="0027237A"/>
    <w:rsid w:val="00273438"/>
    <w:rsid w:val="002775E7"/>
    <w:rsid w:val="0028188D"/>
    <w:rsid w:val="00282B46"/>
    <w:rsid w:val="002858FE"/>
    <w:rsid w:val="00290D74"/>
    <w:rsid w:val="0029191F"/>
    <w:rsid w:val="002919BB"/>
    <w:rsid w:val="00296C01"/>
    <w:rsid w:val="002974E9"/>
    <w:rsid w:val="002A0621"/>
    <w:rsid w:val="002A52FE"/>
    <w:rsid w:val="002A6E73"/>
    <w:rsid w:val="002A7F94"/>
    <w:rsid w:val="002B0753"/>
    <w:rsid w:val="002B109A"/>
    <w:rsid w:val="002B3A17"/>
    <w:rsid w:val="002C4BF7"/>
    <w:rsid w:val="002C6AD4"/>
    <w:rsid w:val="002C6D45"/>
    <w:rsid w:val="002D2D45"/>
    <w:rsid w:val="002D3C1E"/>
    <w:rsid w:val="002D6E53"/>
    <w:rsid w:val="002E0F2A"/>
    <w:rsid w:val="002E152C"/>
    <w:rsid w:val="002E405E"/>
    <w:rsid w:val="002F046D"/>
    <w:rsid w:val="002F3023"/>
    <w:rsid w:val="002F371A"/>
    <w:rsid w:val="002F6B9C"/>
    <w:rsid w:val="00301764"/>
    <w:rsid w:val="00307136"/>
    <w:rsid w:val="00310994"/>
    <w:rsid w:val="00312DF1"/>
    <w:rsid w:val="003229D8"/>
    <w:rsid w:val="0033220B"/>
    <w:rsid w:val="00332FBB"/>
    <w:rsid w:val="00336C97"/>
    <w:rsid w:val="00337784"/>
    <w:rsid w:val="00337F88"/>
    <w:rsid w:val="0034097E"/>
    <w:rsid w:val="00342432"/>
    <w:rsid w:val="003519E4"/>
    <w:rsid w:val="0035223F"/>
    <w:rsid w:val="003525C5"/>
    <w:rsid w:val="00352D4B"/>
    <w:rsid w:val="003531B0"/>
    <w:rsid w:val="0035638C"/>
    <w:rsid w:val="00362263"/>
    <w:rsid w:val="00363A4E"/>
    <w:rsid w:val="00370DA1"/>
    <w:rsid w:val="00376EDB"/>
    <w:rsid w:val="00380CAA"/>
    <w:rsid w:val="00392EFB"/>
    <w:rsid w:val="003938AF"/>
    <w:rsid w:val="0039395C"/>
    <w:rsid w:val="003944B1"/>
    <w:rsid w:val="00397DA9"/>
    <w:rsid w:val="003A1FC7"/>
    <w:rsid w:val="003A46BB"/>
    <w:rsid w:val="003A4EC7"/>
    <w:rsid w:val="003A7295"/>
    <w:rsid w:val="003A7D56"/>
    <w:rsid w:val="003B1F5C"/>
    <w:rsid w:val="003B1F60"/>
    <w:rsid w:val="003B2A18"/>
    <w:rsid w:val="003B2A23"/>
    <w:rsid w:val="003B658C"/>
    <w:rsid w:val="003C219A"/>
    <w:rsid w:val="003C2CC4"/>
    <w:rsid w:val="003C6744"/>
    <w:rsid w:val="003D3D11"/>
    <w:rsid w:val="003D476D"/>
    <w:rsid w:val="003D4B23"/>
    <w:rsid w:val="003D593C"/>
    <w:rsid w:val="003E0706"/>
    <w:rsid w:val="003E278A"/>
    <w:rsid w:val="003E2BFA"/>
    <w:rsid w:val="003E444B"/>
    <w:rsid w:val="003E71CC"/>
    <w:rsid w:val="003F289F"/>
    <w:rsid w:val="003F3C4D"/>
    <w:rsid w:val="004007FE"/>
    <w:rsid w:val="00401A11"/>
    <w:rsid w:val="00402B2E"/>
    <w:rsid w:val="00404865"/>
    <w:rsid w:val="004048FD"/>
    <w:rsid w:val="00406A7F"/>
    <w:rsid w:val="00410FFD"/>
    <w:rsid w:val="00413520"/>
    <w:rsid w:val="00415F15"/>
    <w:rsid w:val="00430C27"/>
    <w:rsid w:val="0043259E"/>
    <w:rsid w:val="004325CB"/>
    <w:rsid w:val="0043575C"/>
    <w:rsid w:val="00435FA6"/>
    <w:rsid w:val="00437AF6"/>
    <w:rsid w:val="00440A07"/>
    <w:rsid w:val="00443046"/>
    <w:rsid w:val="004436EC"/>
    <w:rsid w:val="0045515F"/>
    <w:rsid w:val="00462880"/>
    <w:rsid w:val="004630AF"/>
    <w:rsid w:val="00476BC5"/>
    <w:rsid w:val="00476F24"/>
    <w:rsid w:val="0049232D"/>
    <w:rsid w:val="004A0BB3"/>
    <w:rsid w:val="004A67BB"/>
    <w:rsid w:val="004B3E66"/>
    <w:rsid w:val="004B42AB"/>
    <w:rsid w:val="004B4588"/>
    <w:rsid w:val="004C3DBA"/>
    <w:rsid w:val="004C4A10"/>
    <w:rsid w:val="004C55B0"/>
    <w:rsid w:val="004D16E3"/>
    <w:rsid w:val="004D4C64"/>
    <w:rsid w:val="004E3A77"/>
    <w:rsid w:val="004E6202"/>
    <w:rsid w:val="004F1D98"/>
    <w:rsid w:val="004F366A"/>
    <w:rsid w:val="004F6BA0"/>
    <w:rsid w:val="00503BEA"/>
    <w:rsid w:val="00505137"/>
    <w:rsid w:val="0050666A"/>
    <w:rsid w:val="00511EE6"/>
    <w:rsid w:val="00512639"/>
    <w:rsid w:val="0051374E"/>
    <w:rsid w:val="00514605"/>
    <w:rsid w:val="0052016F"/>
    <w:rsid w:val="00520F4E"/>
    <w:rsid w:val="00523FDF"/>
    <w:rsid w:val="005277D9"/>
    <w:rsid w:val="005279C7"/>
    <w:rsid w:val="00527FC4"/>
    <w:rsid w:val="005306B9"/>
    <w:rsid w:val="005333A5"/>
    <w:rsid w:val="00533616"/>
    <w:rsid w:val="00535ABA"/>
    <w:rsid w:val="0053768B"/>
    <w:rsid w:val="00541584"/>
    <w:rsid w:val="005420F2"/>
    <w:rsid w:val="0054285C"/>
    <w:rsid w:val="0055243B"/>
    <w:rsid w:val="00556349"/>
    <w:rsid w:val="00560725"/>
    <w:rsid w:val="00561D16"/>
    <w:rsid w:val="00564AE7"/>
    <w:rsid w:val="005678AF"/>
    <w:rsid w:val="00572EAC"/>
    <w:rsid w:val="00574C37"/>
    <w:rsid w:val="00576F10"/>
    <w:rsid w:val="00580281"/>
    <w:rsid w:val="00584173"/>
    <w:rsid w:val="005953E9"/>
    <w:rsid w:val="00595520"/>
    <w:rsid w:val="00596540"/>
    <w:rsid w:val="005A0006"/>
    <w:rsid w:val="005A15BF"/>
    <w:rsid w:val="005A44B9"/>
    <w:rsid w:val="005A5E5B"/>
    <w:rsid w:val="005B1BA0"/>
    <w:rsid w:val="005B2CB3"/>
    <w:rsid w:val="005B3DB3"/>
    <w:rsid w:val="005B6D3D"/>
    <w:rsid w:val="005C5172"/>
    <w:rsid w:val="005D15CA"/>
    <w:rsid w:val="005D72C6"/>
    <w:rsid w:val="005D7FFB"/>
    <w:rsid w:val="005E5DF5"/>
    <w:rsid w:val="005F08DF"/>
    <w:rsid w:val="005F3066"/>
    <w:rsid w:val="005F3E61"/>
    <w:rsid w:val="005F6237"/>
    <w:rsid w:val="00602619"/>
    <w:rsid w:val="00604DDD"/>
    <w:rsid w:val="006115CC"/>
    <w:rsid w:val="00611FC4"/>
    <w:rsid w:val="00616180"/>
    <w:rsid w:val="006165FE"/>
    <w:rsid w:val="006176FB"/>
    <w:rsid w:val="00630FCB"/>
    <w:rsid w:val="00640B26"/>
    <w:rsid w:val="00650E2C"/>
    <w:rsid w:val="006521C7"/>
    <w:rsid w:val="00653FA8"/>
    <w:rsid w:val="0065766B"/>
    <w:rsid w:val="0067058B"/>
    <w:rsid w:val="00671D9E"/>
    <w:rsid w:val="006770B2"/>
    <w:rsid w:val="00682550"/>
    <w:rsid w:val="0068449A"/>
    <w:rsid w:val="00684595"/>
    <w:rsid w:val="00686A48"/>
    <w:rsid w:val="00687560"/>
    <w:rsid w:val="00687D27"/>
    <w:rsid w:val="006911C5"/>
    <w:rsid w:val="006937D1"/>
    <w:rsid w:val="006940E1"/>
    <w:rsid w:val="006A3C72"/>
    <w:rsid w:val="006A3E9D"/>
    <w:rsid w:val="006A7392"/>
    <w:rsid w:val="006B03A1"/>
    <w:rsid w:val="006B5544"/>
    <w:rsid w:val="006B67D9"/>
    <w:rsid w:val="006C47D2"/>
    <w:rsid w:val="006C5535"/>
    <w:rsid w:val="006C7A29"/>
    <w:rsid w:val="006D0589"/>
    <w:rsid w:val="006E02EF"/>
    <w:rsid w:val="006E329C"/>
    <w:rsid w:val="006E564B"/>
    <w:rsid w:val="006E7154"/>
    <w:rsid w:val="006F1B3E"/>
    <w:rsid w:val="006F1C72"/>
    <w:rsid w:val="006F1CF8"/>
    <w:rsid w:val="006F5026"/>
    <w:rsid w:val="006F50C2"/>
    <w:rsid w:val="007003CD"/>
    <w:rsid w:val="0070701E"/>
    <w:rsid w:val="00707399"/>
    <w:rsid w:val="00707A17"/>
    <w:rsid w:val="00715742"/>
    <w:rsid w:val="00720EAB"/>
    <w:rsid w:val="00724982"/>
    <w:rsid w:val="00724F52"/>
    <w:rsid w:val="0072632A"/>
    <w:rsid w:val="007358E8"/>
    <w:rsid w:val="00736ECE"/>
    <w:rsid w:val="00737DE9"/>
    <w:rsid w:val="0074533B"/>
    <w:rsid w:val="00745C56"/>
    <w:rsid w:val="00746F5D"/>
    <w:rsid w:val="00751DEE"/>
    <w:rsid w:val="0075403A"/>
    <w:rsid w:val="00754339"/>
    <w:rsid w:val="007643BC"/>
    <w:rsid w:val="00772EE3"/>
    <w:rsid w:val="00774DE3"/>
    <w:rsid w:val="00780C68"/>
    <w:rsid w:val="00787D88"/>
    <w:rsid w:val="00795836"/>
    <w:rsid w:val="00795879"/>
    <w:rsid w:val="007959FE"/>
    <w:rsid w:val="0079651C"/>
    <w:rsid w:val="007A0CF1"/>
    <w:rsid w:val="007A2226"/>
    <w:rsid w:val="007A7FA0"/>
    <w:rsid w:val="007B008D"/>
    <w:rsid w:val="007B34AA"/>
    <w:rsid w:val="007B6BA5"/>
    <w:rsid w:val="007B7189"/>
    <w:rsid w:val="007C1AE5"/>
    <w:rsid w:val="007C3390"/>
    <w:rsid w:val="007C3BAC"/>
    <w:rsid w:val="007C42D8"/>
    <w:rsid w:val="007C477C"/>
    <w:rsid w:val="007C4F4B"/>
    <w:rsid w:val="007D0FDB"/>
    <w:rsid w:val="007D7362"/>
    <w:rsid w:val="007E2F62"/>
    <w:rsid w:val="007E3895"/>
    <w:rsid w:val="007E4B44"/>
    <w:rsid w:val="007E6306"/>
    <w:rsid w:val="007E6AA9"/>
    <w:rsid w:val="007E79CA"/>
    <w:rsid w:val="007F2CCE"/>
    <w:rsid w:val="007F2E3B"/>
    <w:rsid w:val="007F5CE2"/>
    <w:rsid w:val="007F6611"/>
    <w:rsid w:val="007F6E26"/>
    <w:rsid w:val="00802F5B"/>
    <w:rsid w:val="00810AA5"/>
    <w:rsid w:val="00810BAC"/>
    <w:rsid w:val="0081166D"/>
    <w:rsid w:val="008175E9"/>
    <w:rsid w:val="008176BF"/>
    <w:rsid w:val="008242D7"/>
    <w:rsid w:val="00824B94"/>
    <w:rsid w:val="0082577B"/>
    <w:rsid w:val="00827896"/>
    <w:rsid w:val="00827A8F"/>
    <w:rsid w:val="00831D37"/>
    <w:rsid w:val="00840EC7"/>
    <w:rsid w:val="00841D77"/>
    <w:rsid w:val="00847557"/>
    <w:rsid w:val="00850AB6"/>
    <w:rsid w:val="00860B58"/>
    <w:rsid w:val="00866893"/>
    <w:rsid w:val="00866F02"/>
    <w:rsid w:val="00867D18"/>
    <w:rsid w:val="00871277"/>
    <w:rsid w:val="00871F9A"/>
    <w:rsid w:val="00871FD5"/>
    <w:rsid w:val="00872F2F"/>
    <w:rsid w:val="00874B6D"/>
    <w:rsid w:val="00874D39"/>
    <w:rsid w:val="0088172E"/>
    <w:rsid w:val="00881EFA"/>
    <w:rsid w:val="008879CB"/>
    <w:rsid w:val="00891A4B"/>
    <w:rsid w:val="00893C74"/>
    <w:rsid w:val="008949F4"/>
    <w:rsid w:val="00894A0C"/>
    <w:rsid w:val="008979B1"/>
    <w:rsid w:val="008A287A"/>
    <w:rsid w:val="008A6B25"/>
    <w:rsid w:val="008A6C4F"/>
    <w:rsid w:val="008A6C61"/>
    <w:rsid w:val="008A76C4"/>
    <w:rsid w:val="008B389E"/>
    <w:rsid w:val="008B5FBF"/>
    <w:rsid w:val="008B73A7"/>
    <w:rsid w:val="008C4800"/>
    <w:rsid w:val="008C4835"/>
    <w:rsid w:val="008D045E"/>
    <w:rsid w:val="008D19E2"/>
    <w:rsid w:val="008D3F25"/>
    <w:rsid w:val="008D4C5E"/>
    <w:rsid w:val="008D4D82"/>
    <w:rsid w:val="008E0E46"/>
    <w:rsid w:val="008E5AEE"/>
    <w:rsid w:val="008E7116"/>
    <w:rsid w:val="008F143B"/>
    <w:rsid w:val="008F3521"/>
    <w:rsid w:val="008F3882"/>
    <w:rsid w:val="008F4B7C"/>
    <w:rsid w:val="008F4CC0"/>
    <w:rsid w:val="008F791F"/>
    <w:rsid w:val="008F7AEA"/>
    <w:rsid w:val="00900931"/>
    <w:rsid w:val="00904AFD"/>
    <w:rsid w:val="00906EFF"/>
    <w:rsid w:val="009176FB"/>
    <w:rsid w:val="00921ECE"/>
    <w:rsid w:val="00922CA8"/>
    <w:rsid w:val="00923BE9"/>
    <w:rsid w:val="00925AF2"/>
    <w:rsid w:val="00926E47"/>
    <w:rsid w:val="00935ADB"/>
    <w:rsid w:val="009439E6"/>
    <w:rsid w:val="00947162"/>
    <w:rsid w:val="0095078A"/>
    <w:rsid w:val="00951942"/>
    <w:rsid w:val="00951A50"/>
    <w:rsid w:val="00952074"/>
    <w:rsid w:val="00955D07"/>
    <w:rsid w:val="00960E75"/>
    <w:rsid w:val="009610D0"/>
    <w:rsid w:val="00962064"/>
    <w:rsid w:val="0096375C"/>
    <w:rsid w:val="009662E6"/>
    <w:rsid w:val="0097095E"/>
    <w:rsid w:val="0097490B"/>
    <w:rsid w:val="00974C03"/>
    <w:rsid w:val="00983546"/>
    <w:rsid w:val="009852A8"/>
    <w:rsid w:val="0098592B"/>
    <w:rsid w:val="00985FC4"/>
    <w:rsid w:val="00986D27"/>
    <w:rsid w:val="00990766"/>
    <w:rsid w:val="00991261"/>
    <w:rsid w:val="0099338D"/>
    <w:rsid w:val="009964C4"/>
    <w:rsid w:val="00997F4E"/>
    <w:rsid w:val="009A5179"/>
    <w:rsid w:val="009A7B81"/>
    <w:rsid w:val="009C0D1D"/>
    <w:rsid w:val="009C496E"/>
    <w:rsid w:val="009C7E8F"/>
    <w:rsid w:val="009D01C0"/>
    <w:rsid w:val="009D0B8D"/>
    <w:rsid w:val="009D21B7"/>
    <w:rsid w:val="009D6A08"/>
    <w:rsid w:val="009E0288"/>
    <w:rsid w:val="009E0A16"/>
    <w:rsid w:val="009E478D"/>
    <w:rsid w:val="009E540E"/>
    <w:rsid w:val="009E6CB7"/>
    <w:rsid w:val="009E7970"/>
    <w:rsid w:val="009F2EAC"/>
    <w:rsid w:val="009F57E3"/>
    <w:rsid w:val="009F7A2E"/>
    <w:rsid w:val="00A01223"/>
    <w:rsid w:val="00A10F4F"/>
    <w:rsid w:val="00A11067"/>
    <w:rsid w:val="00A12D33"/>
    <w:rsid w:val="00A1704A"/>
    <w:rsid w:val="00A22C4B"/>
    <w:rsid w:val="00A23567"/>
    <w:rsid w:val="00A40652"/>
    <w:rsid w:val="00A425EB"/>
    <w:rsid w:val="00A45C8C"/>
    <w:rsid w:val="00A474F2"/>
    <w:rsid w:val="00A47CC4"/>
    <w:rsid w:val="00A54670"/>
    <w:rsid w:val="00A57296"/>
    <w:rsid w:val="00A62F8C"/>
    <w:rsid w:val="00A6404A"/>
    <w:rsid w:val="00A64E95"/>
    <w:rsid w:val="00A72F22"/>
    <w:rsid w:val="00A733BC"/>
    <w:rsid w:val="00A748A6"/>
    <w:rsid w:val="00A76A69"/>
    <w:rsid w:val="00A85434"/>
    <w:rsid w:val="00A879A4"/>
    <w:rsid w:val="00A90748"/>
    <w:rsid w:val="00A91AE6"/>
    <w:rsid w:val="00A92155"/>
    <w:rsid w:val="00A92B00"/>
    <w:rsid w:val="00A966A5"/>
    <w:rsid w:val="00AA048F"/>
    <w:rsid w:val="00AA0FF8"/>
    <w:rsid w:val="00AA3387"/>
    <w:rsid w:val="00AB134D"/>
    <w:rsid w:val="00AB3831"/>
    <w:rsid w:val="00AC0F2C"/>
    <w:rsid w:val="00AC41A3"/>
    <w:rsid w:val="00AC502A"/>
    <w:rsid w:val="00AD288F"/>
    <w:rsid w:val="00AE025A"/>
    <w:rsid w:val="00AE41BF"/>
    <w:rsid w:val="00AF3376"/>
    <w:rsid w:val="00AF58C1"/>
    <w:rsid w:val="00AF60E0"/>
    <w:rsid w:val="00AF6AD2"/>
    <w:rsid w:val="00B04A3F"/>
    <w:rsid w:val="00B06643"/>
    <w:rsid w:val="00B07B15"/>
    <w:rsid w:val="00B15055"/>
    <w:rsid w:val="00B16AF5"/>
    <w:rsid w:val="00B16C2A"/>
    <w:rsid w:val="00B20551"/>
    <w:rsid w:val="00B22171"/>
    <w:rsid w:val="00B2420A"/>
    <w:rsid w:val="00B30179"/>
    <w:rsid w:val="00B328BF"/>
    <w:rsid w:val="00B33FC7"/>
    <w:rsid w:val="00B35465"/>
    <w:rsid w:val="00B37B15"/>
    <w:rsid w:val="00B37E16"/>
    <w:rsid w:val="00B43764"/>
    <w:rsid w:val="00B44E49"/>
    <w:rsid w:val="00B45C02"/>
    <w:rsid w:val="00B46871"/>
    <w:rsid w:val="00B502CF"/>
    <w:rsid w:val="00B511E0"/>
    <w:rsid w:val="00B5481F"/>
    <w:rsid w:val="00B623A9"/>
    <w:rsid w:val="00B67677"/>
    <w:rsid w:val="00B70B63"/>
    <w:rsid w:val="00B721F9"/>
    <w:rsid w:val="00B72A1E"/>
    <w:rsid w:val="00B74BC1"/>
    <w:rsid w:val="00B81E12"/>
    <w:rsid w:val="00B835A4"/>
    <w:rsid w:val="00B87894"/>
    <w:rsid w:val="00B91F41"/>
    <w:rsid w:val="00B92D63"/>
    <w:rsid w:val="00B939C6"/>
    <w:rsid w:val="00BA1782"/>
    <w:rsid w:val="00BA339B"/>
    <w:rsid w:val="00BA50F2"/>
    <w:rsid w:val="00BB2AC4"/>
    <w:rsid w:val="00BB4F6A"/>
    <w:rsid w:val="00BB5A56"/>
    <w:rsid w:val="00BC09B6"/>
    <w:rsid w:val="00BC1E7E"/>
    <w:rsid w:val="00BC4F70"/>
    <w:rsid w:val="00BC74E9"/>
    <w:rsid w:val="00BD0853"/>
    <w:rsid w:val="00BD1A9C"/>
    <w:rsid w:val="00BD5B2D"/>
    <w:rsid w:val="00BE2997"/>
    <w:rsid w:val="00BE36A9"/>
    <w:rsid w:val="00BE618E"/>
    <w:rsid w:val="00BE7BEC"/>
    <w:rsid w:val="00BF0A5A"/>
    <w:rsid w:val="00BF0E63"/>
    <w:rsid w:val="00BF12A3"/>
    <w:rsid w:val="00BF16D7"/>
    <w:rsid w:val="00BF2373"/>
    <w:rsid w:val="00BF562A"/>
    <w:rsid w:val="00C008AC"/>
    <w:rsid w:val="00C02F3C"/>
    <w:rsid w:val="00C0345A"/>
    <w:rsid w:val="00C044E2"/>
    <w:rsid w:val="00C048CB"/>
    <w:rsid w:val="00C05C50"/>
    <w:rsid w:val="00C066F3"/>
    <w:rsid w:val="00C0693D"/>
    <w:rsid w:val="00C16C9A"/>
    <w:rsid w:val="00C271E8"/>
    <w:rsid w:val="00C31337"/>
    <w:rsid w:val="00C34D26"/>
    <w:rsid w:val="00C36CC2"/>
    <w:rsid w:val="00C37A5D"/>
    <w:rsid w:val="00C40A16"/>
    <w:rsid w:val="00C411FF"/>
    <w:rsid w:val="00C45808"/>
    <w:rsid w:val="00C463DD"/>
    <w:rsid w:val="00C475A9"/>
    <w:rsid w:val="00C5012B"/>
    <w:rsid w:val="00C6124E"/>
    <w:rsid w:val="00C745C3"/>
    <w:rsid w:val="00C74C39"/>
    <w:rsid w:val="00C75B06"/>
    <w:rsid w:val="00C834D2"/>
    <w:rsid w:val="00C835E3"/>
    <w:rsid w:val="00C904F5"/>
    <w:rsid w:val="00C91B9B"/>
    <w:rsid w:val="00C946A4"/>
    <w:rsid w:val="00C94A61"/>
    <w:rsid w:val="00C978F5"/>
    <w:rsid w:val="00CA1AFB"/>
    <w:rsid w:val="00CA24A4"/>
    <w:rsid w:val="00CA24FA"/>
    <w:rsid w:val="00CA3101"/>
    <w:rsid w:val="00CA4FD5"/>
    <w:rsid w:val="00CB12BE"/>
    <w:rsid w:val="00CB348D"/>
    <w:rsid w:val="00CC19D5"/>
    <w:rsid w:val="00CD1632"/>
    <w:rsid w:val="00CD17D3"/>
    <w:rsid w:val="00CD1C4E"/>
    <w:rsid w:val="00CD46F5"/>
    <w:rsid w:val="00CE4A8F"/>
    <w:rsid w:val="00CE7E9A"/>
    <w:rsid w:val="00CF071D"/>
    <w:rsid w:val="00CF6D71"/>
    <w:rsid w:val="00D0123D"/>
    <w:rsid w:val="00D023F4"/>
    <w:rsid w:val="00D05535"/>
    <w:rsid w:val="00D10542"/>
    <w:rsid w:val="00D15B04"/>
    <w:rsid w:val="00D1672C"/>
    <w:rsid w:val="00D2031B"/>
    <w:rsid w:val="00D247ED"/>
    <w:rsid w:val="00D25FE2"/>
    <w:rsid w:val="00D33C03"/>
    <w:rsid w:val="00D37DA9"/>
    <w:rsid w:val="00D406A7"/>
    <w:rsid w:val="00D43252"/>
    <w:rsid w:val="00D44D86"/>
    <w:rsid w:val="00D50B7D"/>
    <w:rsid w:val="00D52012"/>
    <w:rsid w:val="00D52F89"/>
    <w:rsid w:val="00D53719"/>
    <w:rsid w:val="00D55493"/>
    <w:rsid w:val="00D5583E"/>
    <w:rsid w:val="00D57D04"/>
    <w:rsid w:val="00D660FC"/>
    <w:rsid w:val="00D704E5"/>
    <w:rsid w:val="00D71A0E"/>
    <w:rsid w:val="00D72727"/>
    <w:rsid w:val="00D7536B"/>
    <w:rsid w:val="00D82B1E"/>
    <w:rsid w:val="00D83D4D"/>
    <w:rsid w:val="00D858D1"/>
    <w:rsid w:val="00D86E1E"/>
    <w:rsid w:val="00D90989"/>
    <w:rsid w:val="00D93E07"/>
    <w:rsid w:val="00D96AB1"/>
    <w:rsid w:val="00D978C6"/>
    <w:rsid w:val="00DA0956"/>
    <w:rsid w:val="00DA357F"/>
    <w:rsid w:val="00DA3E12"/>
    <w:rsid w:val="00DA4BC2"/>
    <w:rsid w:val="00DB0A49"/>
    <w:rsid w:val="00DC18AD"/>
    <w:rsid w:val="00DC2D4F"/>
    <w:rsid w:val="00DC7489"/>
    <w:rsid w:val="00DD2749"/>
    <w:rsid w:val="00DD36DE"/>
    <w:rsid w:val="00DE6319"/>
    <w:rsid w:val="00DF1E02"/>
    <w:rsid w:val="00DF527B"/>
    <w:rsid w:val="00DF61DE"/>
    <w:rsid w:val="00DF7CAE"/>
    <w:rsid w:val="00E07017"/>
    <w:rsid w:val="00E10EB4"/>
    <w:rsid w:val="00E163B3"/>
    <w:rsid w:val="00E205F6"/>
    <w:rsid w:val="00E22D5B"/>
    <w:rsid w:val="00E25630"/>
    <w:rsid w:val="00E31D4B"/>
    <w:rsid w:val="00E423C0"/>
    <w:rsid w:val="00E46552"/>
    <w:rsid w:val="00E50AC8"/>
    <w:rsid w:val="00E63241"/>
    <w:rsid w:val="00E6414C"/>
    <w:rsid w:val="00E65FA5"/>
    <w:rsid w:val="00E67A74"/>
    <w:rsid w:val="00E67D79"/>
    <w:rsid w:val="00E714CF"/>
    <w:rsid w:val="00E7260F"/>
    <w:rsid w:val="00E754B7"/>
    <w:rsid w:val="00E774FE"/>
    <w:rsid w:val="00E82DFE"/>
    <w:rsid w:val="00E8702D"/>
    <w:rsid w:val="00E87045"/>
    <w:rsid w:val="00E905F4"/>
    <w:rsid w:val="00E916A9"/>
    <w:rsid w:val="00E916DE"/>
    <w:rsid w:val="00E923C4"/>
    <w:rsid w:val="00E925AD"/>
    <w:rsid w:val="00E93062"/>
    <w:rsid w:val="00E94DB9"/>
    <w:rsid w:val="00E94E05"/>
    <w:rsid w:val="00E96630"/>
    <w:rsid w:val="00EA228E"/>
    <w:rsid w:val="00EA4EE0"/>
    <w:rsid w:val="00EA7B5D"/>
    <w:rsid w:val="00EB3377"/>
    <w:rsid w:val="00EB447C"/>
    <w:rsid w:val="00EC2617"/>
    <w:rsid w:val="00EC3CE6"/>
    <w:rsid w:val="00ED18DC"/>
    <w:rsid w:val="00ED5605"/>
    <w:rsid w:val="00ED6201"/>
    <w:rsid w:val="00ED7A2A"/>
    <w:rsid w:val="00EE77CF"/>
    <w:rsid w:val="00EF1D7F"/>
    <w:rsid w:val="00EF3976"/>
    <w:rsid w:val="00EF3E88"/>
    <w:rsid w:val="00EF5D2F"/>
    <w:rsid w:val="00F00EA3"/>
    <w:rsid w:val="00F0137E"/>
    <w:rsid w:val="00F027E2"/>
    <w:rsid w:val="00F055AC"/>
    <w:rsid w:val="00F07BA8"/>
    <w:rsid w:val="00F115F3"/>
    <w:rsid w:val="00F16FDA"/>
    <w:rsid w:val="00F1724D"/>
    <w:rsid w:val="00F20688"/>
    <w:rsid w:val="00F21786"/>
    <w:rsid w:val="00F3524C"/>
    <w:rsid w:val="00F3742B"/>
    <w:rsid w:val="00F37A44"/>
    <w:rsid w:val="00F41FDB"/>
    <w:rsid w:val="00F517D9"/>
    <w:rsid w:val="00F56D63"/>
    <w:rsid w:val="00F609A9"/>
    <w:rsid w:val="00F60E8D"/>
    <w:rsid w:val="00F61797"/>
    <w:rsid w:val="00F62BD0"/>
    <w:rsid w:val="00F67E8D"/>
    <w:rsid w:val="00F76598"/>
    <w:rsid w:val="00F80C99"/>
    <w:rsid w:val="00F867EC"/>
    <w:rsid w:val="00F86F71"/>
    <w:rsid w:val="00F91B2B"/>
    <w:rsid w:val="00F94656"/>
    <w:rsid w:val="00F969F6"/>
    <w:rsid w:val="00F97AFA"/>
    <w:rsid w:val="00FA2838"/>
    <w:rsid w:val="00FA2FD5"/>
    <w:rsid w:val="00FA3DC0"/>
    <w:rsid w:val="00FB074C"/>
    <w:rsid w:val="00FC03CD"/>
    <w:rsid w:val="00FC0646"/>
    <w:rsid w:val="00FC54DB"/>
    <w:rsid w:val="00FC68B7"/>
    <w:rsid w:val="00FD4E6B"/>
    <w:rsid w:val="00FE4618"/>
    <w:rsid w:val="00FE6985"/>
    <w:rsid w:val="00FF31D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E008"/>
  <w15:docId w15:val="{78BC0322-2A92-4A6B-A409-61DD8ED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95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locked/>
    <w:rsid w:val="00EB3377"/>
    <w:rPr>
      <w:lang w:val="en-GB"/>
    </w:rPr>
  </w:style>
  <w:style w:type="character" w:customStyle="1" w:styleId="fontstyle01">
    <w:name w:val="fontstyle01"/>
    <w:rsid w:val="000D4995"/>
    <w:rPr>
      <w:rFonts w:ascii="Verdana-Bold" w:hAnsi="Verdana-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rsid w:val="000D4995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682550"/>
    <w:pPr>
      <w:suppressAutoHyphens w:val="0"/>
      <w:spacing w:before="240" w:line="240" w:lineRule="auto"/>
      <w:ind w:left="720"/>
      <w:contextualSpacing/>
    </w:pPr>
    <w:rPr>
      <w:rFonts w:ascii="Verdana" w:eastAsia="DejaVu Sans" w:hAnsi="Verdana" w:cs="Mangal"/>
      <w:kern w:val="3"/>
      <w:sz w:val="18"/>
      <w:szCs w:val="24"/>
      <w:lang w:val="nl-NL"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894A0C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94A0C"/>
    <w:rPr>
      <w:rFonts w:ascii="Verdana" w:eastAsia="Verdana" w:hAnsi="Verdana" w:cs="Verdana"/>
      <w:sz w:val="18"/>
      <w:szCs w:val="18"/>
      <w:lang w:val="en-US" w:eastAsia="en-US"/>
    </w:rPr>
  </w:style>
  <w:style w:type="table" w:customStyle="1" w:styleId="Grilledutableau2">
    <w:name w:val="Grille du tableau2"/>
    <w:basedOn w:val="TableNormal"/>
    <w:next w:val="TableGrid"/>
    <w:rsid w:val="00960E7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E79CA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D71A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1A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71A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A0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DFE91-B096-4C6E-ABD4-8A44C620C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A07DC-265F-4269-A202-82B7FFD1B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EAB74-C388-4D61-8B0B-03131F9E1F8A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746C142E-D3B4-44E9-BB95-BA884E48C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40</TotalTime>
  <Pages>11</Pages>
  <Words>2979</Words>
  <Characters>16986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ECE/TRANS/WP.15/AC.2/2022/19</vt:lpstr>
      <vt:lpstr>ECE/TRANS/WP.15/AC.2/2022/19</vt:lpstr>
    </vt:vector>
  </TitlesOfParts>
  <Company>CSD</Company>
  <LinksUpToDate>false</LinksUpToDate>
  <CharactersWithSpaces>19926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ECE/TRANS/WP.15/AC.2/2022/19</dc:title>
  <dc:subject/>
  <dc:creator>Nadiya Dzyubynska</dc:creator>
  <cp:keywords/>
  <cp:lastModifiedBy>ECE/TRANS/WP.29/2022/R.3/Add.6</cp:lastModifiedBy>
  <cp:revision>8</cp:revision>
  <cp:lastPrinted>2022-07-18T08:45:00Z</cp:lastPrinted>
  <dcterms:created xsi:type="dcterms:W3CDTF">2022-07-05T09:56:00Z</dcterms:created>
  <dcterms:modified xsi:type="dcterms:W3CDTF">2022-07-18T08:45:00Z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