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A5F7B" w14:paraId="3E224E8A" w14:textId="77777777" w:rsidTr="001C719E">
        <w:trPr>
          <w:cantSplit/>
          <w:trHeight w:hRule="exact" w:val="851"/>
        </w:trPr>
        <w:tc>
          <w:tcPr>
            <w:tcW w:w="1276" w:type="dxa"/>
            <w:tcBorders>
              <w:bottom w:val="single" w:sz="4" w:space="0" w:color="auto"/>
            </w:tcBorders>
            <w:vAlign w:val="bottom"/>
          </w:tcPr>
          <w:p w14:paraId="028D9379" w14:textId="77777777" w:rsidR="003A5F7B" w:rsidRDefault="003A5F7B" w:rsidP="001C719E"/>
        </w:tc>
        <w:tc>
          <w:tcPr>
            <w:tcW w:w="8363" w:type="dxa"/>
            <w:gridSpan w:val="2"/>
            <w:tcBorders>
              <w:bottom w:val="single" w:sz="4" w:space="0" w:color="auto"/>
            </w:tcBorders>
            <w:vAlign w:val="bottom"/>
          </w:tcPr>
          <w:p w14:paraId="0C5F468D" w14:textId="5C88949E" w:rsidR="003A5F7B" w:rsidRPr="00D47EEA" w:rsidRDefault="003A5F7B" w:rsidP="001C719E">
            <w:pPr>
              <w:jc w:val="right"/>
            </w:pPr>
            <w:r>
              <w:rPr>
                <w:b/>
                <w:sz w:val="40"/>
                <w:szCs w:val="40"/>
              </w:rPr>
              <w:t>INF</w:t>
            </w:r>
            <w:r w:rsidR="009D6F5B">
              <w:rPr>
                <w:b/>
                <w:sz w:val="40"/>
                <w:szCs w:val="40"/>
              </w:rPr>
              <w:t>.</w:t>
            </w:r>
            <w:r w:rsidR="0085241A">
              <w:rPr>
                <w:b/>
                <w:sz w:val="40"/>
                <w:szCs w:val="40"/>
              </w:rPr>
              <w:t>5</w:t>
            </w:r>
          </w:p>
        </w:tc>
      </w:tr>
      <w:tr w:rsidR="003A5F7B" w14:paraId="699A43A5" w14:textId="77777777" w:rsidTr="00C35548">
        <w:trPr>
          <w:cantSplit/>
          <w:trHeight w:hRule="exact" w:val="4264"/>
        </w:trPr>
        <w:tc>
          <w:tcPr>
            <w:tcW w:w="6804" w:type="dxa"/>
            <w:gridSpan w:val="2"/>
            <w:tcBorders>
              <w:top w:val="single" w:sz="4" w:space="0" w:color="auto"/>
              <w:bottom w:val="single" w:sz="12" w:space="0" w:color="auto"/>
            </w:tcBorders>
          </w:tcPr>
          <w:p w14:paraId="452BE142" w14:textId="77777777" w:rsidR="003A5F7B" w:rsidRDefault="003A5F7B" w:rsidP="001C719E">
            <w:pPr>
              <w:spacing w:before="120" w:after="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3F6D896D" w14:textId="77777777" w:rsidR="003A5F7B" w:rsidRDefault="003A5F7B" w:rsidP="001C719E">
            <w:pPr>
              <w:spacing w:before="120"/>
              <w:rPr>
                <w:sz w:val="28"/>
                <w:szCs w:val="28"/>
              </w:rPr>
            </w:pPr>
            <w:r>
              <w:rPr>
                <w:sz w:val="28"/>
                <w:szCs w:val="28"/>
              </w:rPr>
              <w:t>Inland Transport Committee</w:t>
            </w:r>
          </w:p>
          <w:p w14:paraId="683DFC60" w14:textId="77777777" w:rsidR="003A5F7B" w:rsidRDefault="003A5F7B" w:rsidP="001C719E">
            <w:pPr>
              <w:spacing w:before="120"/>
              <w:rPr>
                <w:b/>
              </w:rPr>
            </w:pPr>
            <w:r>
              <w:rPr>
                <w:b/>
              </w:rPr>
              <w:t>Working Party on the Transport of Dangerous Goods</w:t>
            </w:r>
          </w:p>
          <w:p w14:paraId="2D07F0A7" w14:textId="77777777" w:rsidR="003A5F7B" w:rsidRDefault="003A5F7B" w:rsidP="001C719E">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6915CA8E" w14:textId="77777777" w:rsidR="009C14C5" w:rsidRPr="008D7010" w:rsidRDefault="009C14C5" w:rsidP="009C14C5">
            <w:pPr>
              <w:spacing w:before="120"/>
              <w:rPr>
                <w:b/>
              </w:rPr>
            </w:pPr>
            <w:r>
              <w:rPr>
                <w:b/>
              </w:rPr>
              <w:t xml:space="preserve">Fortieth </w:t>
            </w:r>
            <w:r w:rsidRPr="008D7010">
              <w:rPr>
                <w:b/>
              </w:rPr>
              <w:t>session</w:t>
            </w:r>
          </w:p>
          <w:p w14:paraId="04088BBF" w14:textId="77777777" w:rsidR="009C14C5" w:rsidRPr="00402337" w:rsidRDefault="009C14C5" w:rsidP="009C14C5">
            <w:pPr>
              <w:rPr>
                <w:bCs/>
              </w:rPr>
            </w:pPr>
            <w:r w:rsidRPr="00402337">
              <w:rPr>
                <w:bCs/>
              </w:rPr>
              <w:t>Geneva, 22-26 August 2022</w:t>
            </w:r>
          </w:p>
          <w:p w14:paraId="56E5CFEA" w14:textId="77777777" w:rsidR="009C14C5" w:rsidRPr="00613E78" w:rsidRDefault="009C14C5" w:rsidP="009C14C5">
            <w:r w:rsidRPr="00613E78">
              <w:t xml:space="preserve">Item </w:t>
            </w:r>
            <w:r>
              <w:t>3 (c)</w:t>
            </w:r>
            <w:r w:rsidRPr="00613E78">
              <w:t xml:space="preserve"> of the provisional agenda</w:t>
            </w:r>
          </w:p>
          <w:p w14:paraId="49662052" w14:textId="77777777" w:rsidR="009C14C5" w:rsidRPr="009D5615" w:rsidRDefault="009C14C5" w:rsidP="009C14C5">
            <w:pPr>
              <w:rPr>
                <w:b/>
              </w:rPr>
            </w:pPr>
            <w:r w:rsidRPr="009D5615">
              <w:rPr>
                <w:b/>
              </w:rPr>
              <w:t xml:space="preserve">Implementation of the European Agreement concerning the </w:t>
            </w:r>
            <w:r>
              <w:rPr>
                <w:b/>
              </w:rPr>
              <w:br/>
            </w:r>
            <w:r w:rsidRPr="009D5615">
              <w:rPr>
                <w:b/>
              </w:rPr>
              <w:t>International Carriage of</w:t>
            </w:r>
          </w:p>
          <w:p w14:paraId="6DF2BB3C" w14:textId="77777777" w:rsidR="009C14C5" w:rsidRDefault="009C14C5" w:rsidP="009C14C5">
            <w:pPr>
              <w:rPr>
                <w:b/>
              </w:rPr>
            </w:pPr>
            <w:r w:rsidRPr="009D5615">
              <w:rPr>
                <w:b/>
              </w:rPr>
              <w:t>Dangerous Goods by Inland Waterways (ADN)</w:t>
            </w:r>
            <w:r>
              <w:rPr>
                <w:b/>
              </w:rPr>
              <w:t>:</w:t>
            </w:r>
          </w:p>
          <w:p w14:paraId="1405D7A6" w14:textId="77777777" w:rsidR="009C14C5" w:rsidRDefault="009C14C5" w:rsidP="009C14C5">
            <w:pPr>
              <w:rPr>
                <w:b/>
              </w:rPr>
            </w:pPr>
            <w:r>
              <w:rPr>
                <w:b/>
              </w:rPr>
              <w:t>interpretation of the Regulations annexed to ADN</w:t>
            </w:r>
          </w:p>
          <w:p w14:paraId="6542778E" w14:textId="3ED1680E" w:rsidR="003A5F7B" w:rsidRPr="00D773DF" w:rsidRDefault="003A5F7B" w:rsidP="001C719E"/>
        </w:tc>
        <w:tc>
          <w:tcPr>
            <w:tcW w:w="2835" w:type="dxa"/>
            <w:tcBorders>
              <w:top w:val="single" w:sz="4" w:space="0" w:color="auto"/>
              <w:bottom w:val="single" w:sz="12" w:space="0" w:color="auto"/>
            </w:tcBorders>
          </w:tcPr>
          <w:p w14:paraId="1D15E6C4" w14:textId="77777777" w:rsidR="00AC78DC" w:rsidRDefault="00AC78DC" w:rsidP="001C719E">
            <w:pPr>
              <w:tabs>
                <w:tab w:val="right" w:pos="2835"/>
              </w:tabs>
              <w:spacing w:before="120"/>
            </w:pPr>
          </w:p>
          <w:p w14:paraId="3ED9D9A3" w14:textId="1FCD38C5" w:rsidR="003215FA" w:rsidRDefault="003215FA" w:rsidP="001C719E">
            <w:pPr>
              <w:tabs>
                <w:tab w:val="right" w:pos="2835"/>
              </w:tabs>
              <w:spacing w:before="120"/>
            </w:pPr>
            <w:r>
              <w:t>2</w:t>
            </w:r>
            <w:r w:rsidR="006D136B">
              <w:t>6</w:t>
            </w:r>
            <w:r>
              <w:t xml:space="preserve"> July 2022</w:t>
            </w:r>
          </w:p>
          <w:p w14:paraId="1458C2CA" w14:textId="77777777" w:rsidR="003215FA" w:rsidRDefault="003215FA" w:rsidP="001C719E">
            <w:pPr>
              <w:tabs>
                <w:tab w:val="right" w:pos="2835"/>
              </w:tabs>
              <w:spacing w:before="120"/>
            </w:pPr>
          </w:p>
          <w:p w14:paraId="41F16484" w14:textId="5C53FAB4" w:rsidR="003A5F7B" w:rsidRDefault="003215FA" w:rsidP="001C719E">
            <w:pPr>
              <w:tabs>
                <w:tab w:val="right" w:pos="2835"/>
              </w:tabs>
              <w:spacing w:before="120"/>
            </w:pPr>
            <w:r>
              <w:t>German</w:t>
            </w:r>
            <w:r w:rsidR="003A5F7B">
              <w:tab/>
            </w:r>
          </w:p>
          <w:p w14:paraId="64AA054D" w14:textId="0128DB1A" w:rsidR="003A5F7B" w:rsidRDefault="003A5F7B" w:rsidP="001C719E">
            <w:pPr>
              <w:spacing w:before="120"/>
            </w:pPr>
          </w:p>
        </w:tc>
      </w:tr>
    </w:tbl>
    <w:p w14:paraId="67C2D18F" w14:textId="029732D8" w:rsidR="00562347" w:rsidRDefault="00EC5DD6" w:rsidP="00EC5DD6">
      <w:pPr>
        <w:pStyle w:val="HChG"/>
        <w:rPr>
          <w:lang w:val="de-DE"/>
        </w:rPr>
      </w:pPr>
      <w:r>
        <w:rPr>
          <w:lang w:val="de-DE"/>
        </w:rPr>
        <w:tab/>
      </w:r>
      <w:r>
        <w:rPr>
          <w:lang w:val="de-DE"/>
        </w:rPr>
        <w:tab/>
      </w:r>
      <w:r w:rsidR="00562347" w:rsidRPr="00562347">
        <w:rPr>
          <w:lang w:val="de-DE"/>
        </w:rPr>
        <w:t xml:space="preserve">Vorschlag </w:t>
      </w:r>
      <w:r w:rsidR="00EF0DD0">
        <w:rPr>
          <w:lang w:val="de-DE"/>
        </w:rPr>
        <w:t>bezüglich</w:t>
      </w:r>
      <w:r w:rsidR="00562347" w:rsidRPr="00562347">
        <w:rPr>
          <w:lang w:val="de-DE"/>
        </w:rPr>
        <w:t xml:space="preserve"> Übergangsbestimmungen für Gas</w:t>
      </w:r>
      <w:r w:rsidR="00562347">
        <w:rPr>
          <w:lang w:val="de-DE"/>
        </w:rPr>
        <w:t>spür</w:t>
      </w:r>
      <w:r w:rsidR="00562347" w:rsidRPr="00562347">
        <w:rPr>
          <w:lang w:val="de-DE"/>
        </w:rPr>
        <w:t>geräte</w:t>
      </w:r>
    </w:p>
    <w:p w14:paraId="0E1B2406" w14:textId="2279FBCC" w:rsidR="00562347" w:rsidRPr="00FA4C30" w:rsidRDefault="00EC5DD6" w:rsidP="00FA4C30">
      <w:pPr>
        <w:spacing w:before="240" w:after="240"/>
        <w:rPr>
          <w:b/>
          <w:bCs/>
          <w:sz w:val="24"/>
          <w:szCs w:val="24"/>
          <w:lang w:val="de-DE"/>
        </w:rPr>
      </w:pPr>
      <w:r>
        <w:rPr>
          <w:rStyle w:val="q4iawc"/>
          <w:b/>
          <w:bCs/>
          <w:sz w:val="24"/>
          <w:szCs w:val="24"/>
          <w:lang w:val="de-DE"/>
        </w:rPr>
        <w:tab/>
      </w:r>
      <w:r>
        <w:rPr>
          <w:rStyle w:val="q4iawc"/>
          <w:b/>
          <w:bCs/>
          <w:sz w:val="24"/>
          <w:szCs w:val="24"/>
          <w:lang w:val="de-DE"/>
        </w:rPr>
        <w:tab/>
      </w:r>
      <w:r w:rsidR="001D0540" w:rsidRPr="00FA4C30">
        <w:rPr>
          <w:rStyle w:val="q4iawc"/>
          <w:b/>
          <w:bCs/>
          <w:sz w:val="24"/>
          <w:szCs w:val="24"/>
          <w:lang w:val="de-DE"/>
        </w:rPr>
        <w:t>Übermittelt von EBU/ESO</w:t>
      </w:r>
    </w:p>
    <w:p w14:paraId="37EE4B91" w14:textId="7CD79D15" w:rsidR="00562347" w:rsidRPr="006D136B" w:rsidRDefault="000E0C88" w:rsidP="006D136B">
      <w:pPr>
        <w:pStyle w:val="HChG"/>
        <w:rPr>
          <w:bCs/>
          <w:sz w:val="24"/>
          <w:szCs w:val="24"/>
          <w:lang w:val="de-DE"/>
        </w:rPr>
      </w:pPr>
      <w:r>
        <w:tab/>
      </w:r>
      <w:r w:rsidR="006D136B">
        <w:tab/>
      </w:r>
      <w:r w:rsidR="006D136B">
        <w:tab/>
      </w:r>
      <w:proofErr w:type="spellStart"/>
      <w:r w:rsidR="00562347" w:rsidRPr="006D136B">
        <w:t>Einleitung</w:t>
      </w:r>
      <w:proofErr w:type="spellEnd"/>
    </w:p>
    <w:p w14:paraId="4BD5D3BD" w14:textId="6B19BCB6" w:rsidR="00562347" w:rsidRPr="009E0145" w:rsidRDefault="009E0145" w:rsidP="009E0145">
      <w:pPr>
        <w:pStyle w:val="SingleTxtG"/>
      </w:pPr>
      <w:r>
        <w:t>1.</w:t>
      </w:r>
      <w:r>
        <w:tab/>
      </w:r>
      <w:proofErr w:type="spellStart"/>
      <w:r w:rsidR="00EF0DD0" w:rsidRPr="009E0145">
        <w:t>Für</w:t>
      </w:r>
      <w:proofErr w:type="spellEnd"/>
      <w:r w:rsidR="00EF0DD0" w:rsidRPr="009E0145">
        <w:t xml:space="preserve"> die</w:t>
      </w:r>
      <w:r w:rsidR="00562347" w:rsidRPr="009E0145">
        <w:t xml:space="preserve"> </w:t>
      </w:r>
      <w:proofErr w:type="spellStart"/>
      <w:r w:rsidR="00562347" w:rsidRPr="009E0145">
        <w:t>Fassung</w:t>
      </w:r>
      <w:proofErr w:type="spellEnd"/>
      <w:r w:rsidR="00562347" w:rsidRPr="009E0145">
        <w:t xml:space="preserve"> des ADN 2019 wurde eine Änderung in Bezug auf das Gasspürgerät eingeführt. Diese Änderung betraf eine Anforderung hinsichtlich der Norm, nach der das Ga</w:t>
      </w:r>
      <w:r w:rsidR="006A5C1B" w:rsidRPr="009E0145">
        <w:t>sspürgerät</w:t>
      </w:r>
      <w:r w:rsidR="00562347" w:rsidRPr="009E0145">
        <w:t xml:space="preserve"> zugelassen werden sollte.</w:t>
      </w:r>
    </w:p>
    <w:p w14:paraId="6C2F512F" w14:textId="481B1087" w:rsidR="00562347" w:rsidRPr="009E0145" w:rsidRDefault="002F4763" w:rsidP="009E0145">
      <w:pPr>
        <w:pStyle w:val="SingleTxtG"/>
      </w:pPr>
      <w:r>
        <w:t>2.</w:t>
      </w:r>
      <w:r>
        <w:tab/>
      </w:r>
      <w:proofErr w:type="spellStart"/>
      <w:r w:rsidR="00562347" w:rsidRPr="009E0145">
        <w:t>I</w:t>
      </w:r>
      <w:r w:rsidR="006A5C1B" w:rsidRPr="009E0145">
        <w:t>m</w:t>
      </w:r>
      <w:proofErr w:type="spellEnd"/>
      <w:r w:rsidR="00562347" w:rsidRPr="009E0145">
        <w:t xml:space="preserve"> </w:t>
      </w:r>
      <w:proofErr w:type="spellStart"/>
      <w:r w:rsidR="00562347" w:rsidRPr="009E0145">
        <w:t>Binnenschifffahrts</w:t>
      </w:r>
      <w:r w:rsidR="006A5C1B" w:rsidRPr="009E0145">
        <w:t>gewerbe</w:t>
      </w:r>
      <w:proofErr w:type="spellEnd"/>
      <w:r w:rsidR="00562347" w:rsidRPr="009E0145">
        <w:t xml:space="preserve"> </w:t>
      </w:r>
      <w:proofErr w:type="spellStart"/>
      <w:r w:rsidR="00562347" w:rsidRPr="009E0145">
        <w:t>werden</w:t>
      </w:r>
      <w:proofErr w:type="spellEnd"/>
      <w:r w:rsidR="00562347" w:rsidRPr="009E0145">
        <w:t xml:space="preserve"> </w:t>
      </w:r>
      <w:proofErr w:type="spellStart"/>
      <w:r w:rsidR="006A5C1B" w:rsidRPr="009E0145">
        <w:t>Gasspürgeräte</w:t>
      </w:r>
      <w:proofErr w:type="spellEnd"/>
      <w:r w:rsidR="00562347" w:rsidRPr="009E0145">
        <w:t xml:space="preserve"> bereits seit vielen Jahren eingesetzt. Diese </w:t>
      </w:r>
      <w:r w:rsidR="006A5C1B" w:rsidRPr="009E0145">
        <w:t>Geräte</w:t>
      </w:r>
      <w:r w:rsidR="00562347" w:rsidRPr="009E0145">
        <w:t xml:space="preserve"> wurden nach der zum Zeitpunkt der Markteinführung gültigen Fassung der Norm geprüft und zugelassen. </w:t>
      </w:r>
    </w:p>
    <w:p w14:paraId="6E4A6DC9" w14:textId="3556BE15" w:rsidR="00562347" w:rsidRPr="009E0145" w:rsidRDefault="002F4763" w:rsidP="009E0145">
      <w:pPr>
        <w:pStyle w:val="SingleTxtG"/>
      </w:pPr>
      <w:r>
        <w:t>3.</w:t>
      </w:r>
      <w:r>
        <w:tab/>
      </w:r>
      <w:r w:rsidR="00562347" w:rsidRPr="009E0145">
        <w:t xml:space="preserve">Da </w:t>
      </w:r>
      <w:proofErr w:type="spellStart"/>
      <w:r w:rsidR="00562347" w:rsidRPr="009E0145">
        <w:t>diese</w:t>
      </w:r>
      <w:proofErr w:type="spellEnd"/>
      <w:r w:rsidR="00562347" w:rsidRPr="009E0145">
        <w:t xml:space="preserve"> Art von </w:t>
      </w:r>
      <w:proofErr w:type="spellStart"/>
      <w:r w:rsidR="00562347" w:rsidRPr="009E0145">
        <w:t>Geräten</w:t>
      </w:r>
      <w:proofErr w:type="spellEnd"/>
      <w:r w:rsidR="00562347" w:rsidRPr="009E0145">
        <w:t xml:space="preserve"> eine lange technische Lebensdauer hat, ist es möglich, dass </w:t>
      </w:r>
      <w:r w:rsidR="003A1E92" w:rsidRPr="009E0145">
        <w:t>zwischenzeitlich</w:t>
      </w:r>
      <w:r w:rsidR="00562347" w:rsidRPr="009E0145">
        <w:t xml:space="preserve"> neue Versionen der Norm eingeführt werden. Die Tatsache, dass es eine neue Version der Norm gibt, bedeutet nicht, dass alle im Einsatz befindlichen Geräte auch nach dieser Norm neu zugelassen werden müssen. Vielmehr behalten die Geräte die Zulassung, die zum Zeitpunkt ihres Inverkehrbringens gültig war.</w:t>
      </w:r>
    </w:p>
    <w:p w14:paraId="3A935EE0" w14:textId="1D3643E0" w:rsidR="00562347" w:rsidRPr="009E0145" w:rsidRDefault="002F4763" w:rsidP="009E0145">
      <w:pPr>
        <w:pStyle w:val="SingleTxtG"/>
      </w:pPr>
      <w:r>
        <w:t>4.</w:t>
      </w:r>
      <w:r>
        <w:tab/>
      </w:r>
      <w:r w:rsidR="00562347" w:rsidRPr="009E0145">
        <w:t xml:space="preserve">Die </w:t>
      </w:r>
      <w:proofErr w:type="spellStart"/>
      <w:r w:rsidR="00562347" w:rsidRPr="009E0145">
        <w:t>im</w:t>
      </w:r>
      <w:proofErr w:type="spellEnd"/>
      <w:r w:rsidR="00562347" w:rsidRPr="009E0145">
        <w:t xml:space="preserve"> ADN 2019 </w:t>
      </w:r>
      <w:proofErr w:type="spellStart"/>
      <w:r w:rsidR="00790C42" w:rsidRPr="009E0145">
        <w:t>festgelegte</w:t>
      </w:r>
      <w:proofErr w:type="spellEnd"/>
      <w:r w:rsidR="00562347" w:rsidRPr="009E0145">
        <w:t xml:space="preserve"> Anforderung, </w:t>
      </w:r>
      <w:r w:rsidR="00790C42" w:rsidRPr="009E0145">
        <w:t xml:space="preserve">dass das Gasspürgerät nach </w:t>
      </w:r>
      <w:r w:rsidR="00562347" w:rsidRPr="009E0145">
        <w:t>eine</w:t>
      </w:r>
      <w:r w:rsidR="00790C42" w:rsidRPr="009E0145">
        <w:t>r</w:t>
      </w:r>
      <w:r w:rsidR="00562347" w:rsidRPr="009E0145">
        <w:t xml:space="preserve"> bestimmte</w:t>
      </w:r>
      <w:r w:rsidR="00790C42" w:rsidRPr="009E0145">
        <w:t xml:space="preserve">n </w:t>
      </w:r>
      <w:r w:rsidR="009E190A" w:rsidRPr="009E0145">
        <w:t xml:space="preserve">in 1.2.1 </w:t>
      </w:r>
      <w:r w:rsidR="00790C42" w:rsidRPr="009E0145">
        <w:t>ziti</w:t>
      </w:r>
      <w:r w:rsidR="009E190A" w:rsidRPr="009E0145">
        <w:t xml:space="preserve">erten </w:t>
      </w:r>
      <w:r w:rsidR="00562347" w:rsidRPr="009E0145">
        <w:t xml:space="preserve">Version einer Norm </w:t>
      </w:r>
      <w:r w:rsidR="00790C42" w:rsidRPr="009E0145">
        <w:t>geprüft sein muss</w:t>
      </w:r>
      <w:r w:rsidR="00562347" w:rsidRPr="009E0145">
        <w:t>, bedeutet, dass viele dieser Geräte nicht mehr zugelassen werden können.</w:t>
      </w:r>
    </w:p>
    <w:p w14:paraId="47820419" w14:textId="2B4314CE" w:rsidR="00562347" w:rsidRPr="009E0145" w:rsidRDefault="002F4763" w:rsidP="009E0145">
      <w:pPr>
        <w:pStyle w:val="SingleTxtG"/>
      </w:pPr>
      <w:r>
        <w:t>5.</w:t>
      </w:r>
      <w:r>
        <w:tab/>
      </w:r>
      <w:r w:rsidR="00562347" w:rsidRPr="009E0145">
        <w:t xml:space="preserve">In der Praxis </w:t>
      </w:r>
      <w:proofErr w:type="spellStart"/>
      <w:r w:rsidR="00562347" w:rsidRPr="009E0145">
        <w:t>s</w:t>
      </w:r>
      <w:r w:rsidR="003D3FB3" w:rsidRPr="009E0145">
        <w:t>teht</w:t>
      </w:r>
      <w:proofErr w:type="spellEnd"/>
      <w:r w:rsidR="00562347" w:rsidRPr="009E0145">
        <w:t xml:space="preserve"> d</w:t>
      </w:r>
      <w:r w:rsidR="00095662" w:rsidRPr="009E0145">
        <w:t xml:space="preserve">as </w:t>
      </w:r>
      <w:proofErr w:type="spellStart"/>
      <w:r w:rsidR="00095662" w:rsidRPr="009E0145">
        <w:t>Gewerbe</w:t>
      </w:r>
      <w:proofErr w:type="spellEnd"/>
      <w:r w:rsidR="00562347" w:rsidRPr="009E0145">
        <w:t xml:space="preserve"> nun </w:t>
      </w:r>
      <w:r w:rsidR="00CC1850" w:rsidRPr="009E0145">
        <w:t xml:space="preserve">dem Problem </w:t>
      </w:r>
      <w:r w:rsidR="003D3FB3" w:rsidRPr="009E0145">
        <w:t>gegenüber</w:t>
      </w:r>
      <w:r w:rsidR="00562347" w:rsidRPr="009E0145">
        <w:t xml:space="preserve">, </w:t>
      </w:r>
      <w:r w:rsidR="00CC1850" w:rsidRPr="009E0145">
        <w:t>dass</w:t>
      </w:r>
      <w:r w:rsidR="00562347" w:rsidRPr="009E0145">
        <w:t xml:space="preserve"> ein </w:t>
      </w:r>
      <w:r w:rsidR="00095662" w:rsidRPr="009E0145">
        <w:t xml:space="preserve">Gasspürgerät </w:t>
      </w:r>
      <w:r w:rsidR="00CC1850" w:rsidRPr="009E0145">
        <w:t xml:space="preserve">seitens der Klassifikationsgesellschaften </w:t>
      </w:r>
      <w:r w:rsidR="00562347" w:rsidRPr="009E0145">
        <w:t>verlang</w:t>
      </w:r>
      <w:r w:rsidR="00CC1850" w:rsidRPr="009E0145">
        <w:t>t wird</w:t>
      </w:r>
      <w:r w:rsidR="00562347" w:rsidRPr="009E0145">
        <w:t xml:space="preserve">, </w:t>
      </w:r>
      <w:r w:rsidR="00CC1850" w:rsidRPr="009E0145">
        <w:t>welches</w:t>
      </w:r>
      <w:r w:rsidR="00562347" w:rsidRPr="009E0145">
        <w:t xml:space="preserve"> der Norm EN 60079-29-1:2016 entspricht, bevor ein</w:t>
      </w:r>
      <w:r w:rsidR="00BF6E31" w:rsidRPr="009E0145">
        <w:t xml:space="preserve"> Zulassungszeugnis</w:t>
      </w:r>
      <w:r w:rsidR="00562347" w:rsidRPr="009E0145">
        <w:t xml:space="preserve"> ausgestellt werden kann. D</w:t>
      </w:r>
      <w:r w:rsidR="00CC1850" w:rsidRPr="009E0145">
        <w:t xml:space="preserve">ies </w:t>
      </w:r>
      <w:proofErr w:type="spellStart"/>
      <w:r w:rsidR="00CC1850" w:rsidRPr="009E0145">
        <w:t>führt</w:t>
      </w:r>
      <w:proofErr w:type="spellEnd"/>
      <w:r w:rsidR="00CC1850" w:rsidRPr="009E0145">
        <w:t xml:space="preserve"> </w:t>
      </w:r>
      <w:proofErr w:type="spellStart"/>
      <w:r w:rsidR="00CC1850" w:rsidRPr="009E0145">
        <w:t>dazu</w:t>
      </w:r>
      <w:proofErr w:type="spellEnd"/>
      <w:r w:rsidR="00630DE2" w:rsidRPr="009E0145">
        <w:t>,</w:t>
      </w:r>
      <w:r w:rsidR="00562347" w:rsidRPr="009E0145">
        <w:t xml:space="preserve"> </w:t>
      </w:r>
      <w:proofErr w:type="spellStart"/>
      <w:r w:rsidR="00630DE2" w:rsidRPr="009E0145">
        <w:t>dass</w:t>
      </w:r>
      <w:proofErr w:type="spellEnd"/>
    </w:p>
    <w:p w14:paraId="61E40367" w14:textId="34D42E0D" w:rsidR="00562347" w:rsidRPr="00E90132" w:rsidRDefault="00AC42C1" w:rsidP="003B2156">
      <w:pPr>
        <w:pStyle w:val="Bullet1G"/>
        <w:numPr>
          <w:ilvl w:val="0"/>
          <w:numId w:val="11"/>
        </w:numPr>
        <w:tabs>
          <w:tab w:val="num" w:pos="1701"/>
        </w:tabs>
        <w:ind w:left="1701" w:hanging="170"/>
      </w:pPr>
      <w:proofErr w:type="spellStart"/>
      <w:r w:rsidRPr="00E90132">
        <w:t>einwandfrei</w:t>
      </w:r>
      <w:proofErr w:type="spellEnd"/>
      <w:r w:rsidR="00562347" w:rsidRPr="00E90132">
        <w:t xml:space="preserve"> </w:t>
      </w:r>
      <w:proofErr w:type="spellStart"/>
      <w:r w:rsidR="00562347" w:rsidRPr="00E90132">
        <w:t>funktionierende</w:t>
      </w:r>
      <w:proofErr w:type="spellEnd"/>
      <w:r w:rsidRPr="00E90132">
        <w:t>,</w:t>
      </w:r>
      <w:r w:rsidR="00562347" w:rsidRPr="00E90132">
        <w:t xml:space="preserve"> </w:t>
      </w:r>
      <w:proofErr w:type="spellStart"/>
      <w:r w:rsidR="00562347" w:rsidRPr="00E90132">
        <w:t>zugelassene</w:t>
      </w:r>
      <w:proofErr w:type="spellEnd"/>
      <w:r w:rsidR="00562347" w:rsidRPr="00E90132">
        <w:t xml:space="preserve"> </w:t>
      </w:r>
      <w:proofErr w:type="spellStart"/>
      <w:r w:rsidR="00562347" w:rsidRPr="00E90132">
        <w:t>Geräte</w:t>
      </w:r>
      <w:proofErr w:type="spellEnd"/>
      <w:r w:rsidR="00562347" w:rsidRPr="00E90132">
        <w:t xml:space="preserve"> </w:t>
      </w:r>
      <w:proofErr w:type="spellStart"/>
      <w:r w:rsidR="00562347" w:rsidRPr="00E90132">
        <w:t>entsorgt</w:t>
      </w:r>
      <w:proofErr w:type="spellEnd"/>
      <w:r w:rsidR="00562347" w:rsidRPr="00E90132">
        <w:t xml:space="preserve"> und </w:t>
      </w:r>
      <w:proofErr w:type="spellStart"/>
      <w:r w:rsidR="00562347" w:rsidRPr="00E90132">
        <w:t>durch</w:t>
      </w:r>
      <w:proofErr w:type="spellEnd"/>
      <w:r w:rsidR="00562347" w:rsidRPr="00E90132">
        <w:t xml:space="preserve"> </w:t>
      </w:r>
      <w:r w:rsidRPr="00E90132">
        <w:t xml:space="preserve">neu </w:t>
      </w:r>
      <w:proofErr w:type="spellStart"/>
      <w:r w:rsidRPr="00E90132">
        <w:t>zu</w:t>
      </w:r>
      <w:proofErr w:type="spellEnd"/>
      <w:r w:rsidRPr="00E90132">
        <w:t xml:space="preserve"> </w:t>
      </w:r>
      <w:proofErr w:type="spellStart"/>
      <w:r w:rsidR="00562347" w:rsidRPr="00E90132">
        <w:t>erw</w:t>
      </w:r>
      <w:r w:rsidRPr="00E90132">
        <w:t>erbende</w:t>
      </w:r>
      <w:proofErr w:type="spellEnd"/>
      <w:r w:rsidRPr="00E90132">
        <w:t xml:space="preserve"> </w:t>
      </w:r>
      <w:proofErr w:type="spellStart"/>
      <w:r w:rsidR="00562347" w:rsidRPr="00E90132">
        <w:t>Geräte</w:t>
      </w:r>
      <w:proofErr w:type="spellEnd"/>
      <w:r w:rsidR="00562347" w:rsidRPr="00E90132">
        <w:t xml:space="preserve"> </w:t>
      </w:r>
      <w:proofErr w:type="spellStart"/>
      <w:r w:rsidR="00562347" w:rsidRPr="00E90132">
        <w:t>ersetzt</w:t>
      </w:r>
      <w:proofErr w:type="spellEnd"/>
      <w:r w:rsidR="00562347" w:rsidRPr="00E90132">
        <w:t xml:space="preserve"> </w:t>
      </w:r>
      <w:proofErr w:type="spellStart"/>
      <w:r w:rsidR="00562347" w:rsidRPr="00E90132">
        <w:t>werden</w:t>
      </w:r>
      <w:proofErr w:type="spellEnd"/>
      <w:r w:rsidR="00562347" w:rsidRPr="00E90132">
        <w:t xml:space="preserve"> </w:t>
      </w:r>
      <w:proofErr w:type="spellStart"/>
      <w:r w:rsidR="00562347" w:rsidRPr="00E90132">
        <w:t>müssen</w:t>
      </w:r>
      <w:proofErr w:type="spellEnd"/>
      <w:r w:rsidR="00562347" w:rsidRPr="00E90132">
        <w:t xml:space="preserve">.  </w:t>
      </w:r>
    </w:p>
    <w:p w14:paraId="03637BD6" w14:textId="0FED52F0" w:rsidR="00562347" w:rsidRPr="00E90132" w:rsidRDefault="00562347" w:rsidP="003B2156">
      <w:pPr>
        <w:pStyle w:val="Bullet1G"/>
        <w:numPr>
          <w:ilvl w:val="0"/>
          <w:numId w:val="11"/>
        </w:numPr>
        <w:tabs>
          <w:tab w:val="num" w:pos="1701"/>
        </w:tabs>
        <w:ind w:left="1701" w:hanging="170"/>
      </w:pPr>
      <w:proofErr w:type="spellStart"/>
      <w:r w:rsidRPr="00E90132">
        <w:t>eine</w:t>
      </w:r>
      <w:proofErr w:type="spellEnd"/>
      <w:r w:rsidRPr="00E90132">
        <w:t xml:space="preserve"> </w:t>
      </w:r>
      <w:proofErr w:type="spellStart"/>
      <w:r w:rsidRPr="00E90132">
        <w:t>frühere</w:t>
      </w:r>
      <w:proofErr w:type="spellEnd"/>
      <w:r w:rsidRPr="00E90132">
        <w:t xml:space="preserve"> </w:t>
      </w:r>
      <w:proofErr w:type="spellStart"/>
      <w:r w:rsidRPr="00E90132">
        <w:t>Investition</w:t>
      </w:r>
      <w:proofErr w:type="spellEnd"/>
      <w:r w:rsidRPr="00E90132">
        <w:t xml:space="preserve"> </w:t>
      </w:r>
      <w:proofErr w:type="spellStart"/>
      <w:r w:rsidRPr="00E90132">
        <w:t>zunichte</w:t>
      </w:r>
      <w:proofErr w:type="spellEnd"/>
      <w:r w:rsidRPr="00E90132">
        <w:t xml:space="preserve"> </w:t>
      </w:r>
      <w:proofErr w:type="spellStart"/>
      <w:r w:rsidRPr="00E90132">
        <w:t>gemacht</w:t>
      </w:r>
      <w:proofErr w:type="spellEnd"/>
      <w:r w:rsidRPr="00E90132">
        <w:t xml:space="preserve"> </w:t>
      </w:r>
      <w:proofErr w:type="spellStart"/>
      <w:r w:rsidRPr="00E90132">
        <w:t>wird</w:t>
      </w:r>
      <w:proofErr w:type="spellEnd"/>
      <w:r w:rsidR="00630DE2" w:rsidRPr="00E90132">
        <w:t>.</w:t>
      </w:r>
    </w:p>
    <w:p w14:paraId="7D621274" w14:textId="0D1E7F10" w:rsidR="00562347" w:rsidRPr="00E90132" w:rsidRDefault="00562347" w:rsidP="003B2156">
      <w:pPr>
        <w:pStyle w:val="Bullet1G"/>
        <w:numPr>
          <w:ilvl w:val="0"/>
          <w:numId w:val="11"/>
        </w:numPr>
        <w:tabs>
          <w:tab w:val="num" w:pos="1701"/>
        </w:tabs>
        <w:ind w:left="1701" w:hanging="170"/>
      </w:pPr>
      <w:proofErr w:type="spellStart"/>
      <w:r w:rsidRPr="00E90132">
        <w:t>unnötiger</w:t>
      </w:r>
      <w:proofErr w:type="spellEnd"/>
      <w:r w:rsidRPr="00E90132">
        <w:t xml:space="preserve"> (E-)</w:t>
      </w:r>
      <w:proofErr w:type="spellStart"/>
      <w:r w:rsidRPr="00E90132">
        <w:t>Abfall</w:t>
      </w:r>
      <w:proofErr w:type="spellEnd"/>
      <w:r w:rsidRPr="00E90132">
        <w:t xml:space="preserve"> </w:t>
      </w:r>
      <w:proofErr w:type="spellStart"/>
      <w:r w:rsidRPr="00E90132">
        <w:t>erzeugt</w:t>
      </w:r>
      <w:proofErr w:type="spellEnd"/>
      <w:r w:rsidRPr="00E90132">
        <w:t xml:space="preserve"> </w:t>
      </w:r>
      <w:proofErr w:type="spellStart"/>
      <w:r w:rsidRPr="00E90132">
        <w:t>wird</w:t>
      </w:r>
      <w:proofErr w:type="spellEnd"/>
      <w:r w:rsidR="00630DE2" w:rsidRPr="00E90132">
        <w:t>.</w:t>
      </w:r>
    </w:p>
    <w:p w14:paraId="366AF782" w14:textId="2DF19814" w:rsidR="00562347" w:rsidRPr="00C35548" w:rsidRDefault="00827525" w:rsidP="00C35548">
      <w:pPr>
        <w:pStyle w:val="SingleTxtG"/>
      </w:pPr>
      <w:r>
        <w:t>6.</w:t>
      </w:r>
      <w:r>
        <w:tab/>
      </w:r>
      <w:proofErr w:type="spellStart"/>
      <w:r w:rsidR="003D41EB" w:rsidRPr="00C35548">
        <w:t>Beispielsweise</w:t>
      </w:r>
      <w:proofErr w:type="spellEnd"/>
      <w:r w:rsidR="003D41EB" w:rsidRPr="00C35548">
        <w:t xml:space="preserve"> </w:t>
      </w:r>
      <w:proofErr w:type="spellStart"/>
      <w:r w:rsidR="003D41EB" w:rsidRPr="00C35548">
        <w:t>w</w:t>
      </w:r>
      <w:r w:rsidR="00CC1850" w:rsidRPr="00C35548">
        <w:t>urde</w:t>
      </w:r>
      <w:proofErr w:type="spellEnd"/>
      <w:r w:rsidR="003D41EB" w:rsidRPr="00C35548">
        <w:t xml:space="preserve"> d</w:t>
      </w:r>
      <w:r w:rsidR="00562347" w:rsidRPr="00C35548">
        <w:t>as Dräger X-am 7000 noch bis 2019 produziert. Es ist jedoch nach der Norm EN 60079-29-1:2007</w:t>
      </w:r>
      <w:r w:rsidR="00630DE2" w:rsidRPr="00C35548">
        <w:t xml:space="preserve">, </w:t>
      </w:r>
      <w:r w:rsidR="00562347" w:rsidRPr="00C35548">
        <w:t>eine</w:t>
      </w:r>
      <w:r w:rsidR="00630DE2" w:rsidRPr="00C35548">
        <w:t>r</w:t>
      </w:r>
      <w:r w:rsidR="00562347" w:rsidRPr="00C35548">
        <w:t xml:space="preserve"> </w:t>
      </w:r>
      <w:r w:rsidR="00630DE2" w:rsidRPr="00C35548">
        <w:t xml:space="preserve">früheren </w:t>
      </w:r>
      <w:r w:rsidR="00562347" w:rsidRPr="00C35548">
        <w:t xml:space="preserve">Version der vom ADN 2019 </w:t>
      </w:r>
      <w:proofErr w:type="spellStart"/>
      <w:r w:rsidR="00562347" w:rsidRPr="00C35548">
        <w:t>geforderten</w:t>
      </w:r>
      <w:proofErr w:type="spellEnd"/>
      <w:r w:rsidR="00562347" w:rsidRPr="00C35548">
        <w:t xml:space="preserve"> Norm</w:t>
      </w:r>
      <w:r w:rsidR="00630DE2" w:rsidRPr="00C35548">
        <w:t xml:space="preserve">, </w:t>
      </w:r>
      <w:proofErr w:type="spellStart"/>
      <w:r w:rsidR="00630DE2" w:rsidRPr="00C35548">
        <w:t>geprüft</w:t>
      </w:r>
      <w:proofErr w:type="spellEnd"/>
      <w:r w:rsidR="00630DE2" w:rsidRPr="00C35548">
        <w:t xml:space="preserve">. </w:t>
      </w:r>
    </w:p>
    <w:p w14:paraId="3CE8B7AD" w14:textId="7910CC41" w:rsidR="00562347" w:rsidRPr="00C35548" w:rsidRDefault="00827525" w:rsidP="00C35548">
      <w:pPr>
        <w:pStyle w:val="SingleTxtG"/>
      </w:pPr>
      <w:r>
        <w:lastRenderedPageBreak/>
        <w:t>7.</w:t>
      </w:r>
      <w:r>
        <w:tab/>
      </w:r>
      <w:r w:rsidR="00562347" w:rsidRPr="00C35548">
        <w:t xml:space="preserve">Die </w:t>
      </w:r>
      <w:proofErr w:type="spellStart"/>
      <w:r w:rsidR="00562347" w:rsidRPr="00C35548">
        <w:t>Anf</w:t>
      </w:r>
      <w:r w:rsidR="003D41EB" w:rsidRPr="00C35548">
        <w:t>orderungen</w:t>
      </w:r>
      <w:proofErr w:type="spellEnd"/>
      <w:r w:rsidR="003D41EB" w:rsidRPr="00C35548">
        <w:t xml:space="preserve"> </w:t>
      </w:r>
      <w:r w:rsidR="00562347" w:rsidRPr="00C35548">
        <w:t xml:space="preserve">der </w:t>
      </w:r>
      <w:proofErr w:type="spellStart"/>
      <w:r w:rsidR="00562347" w:rsidRPr="00C35548">
        <w:t>Gutachter</w:t>
      </w:r>
      <w:proofErr w:type="spellEnd"/>
      <w:r w:rsidR="00562347" w:rsidRPr="00C35548">
        <w:t xml:space="preserve"> </w:t>
      </w:r>
      <w:r w:rsidR="00CC1850" w:rsidRPr="00C35548">
        <w:t xml:space="preserve">der Klassifikationsgesellschaften </w:t>
      </w:r>
      <w:r w:rsidR="00562347" w:rsidRPr="00C35548">
        <w:t xml:space="preserve">entsprechen </w:t>
      </w:r>
      <w:r w:rsidR="003D3FB3" w:rsidRPr="00C35548">
        <w:t xml:space="preserve">zwar in der Tat </w:t>
      </w:r>
      <w:r w:rsidR="00562347" w:rsidRPr="00C35548">
        <w:t xml:space="preserve">den Übergangsbestimmungen (1.6.7.2.2.2), </w:t>
      </w:r>
      <w:r w:rsidR="003D3FB3" w:rsidRPr="00C35548">
        <w:t>jedoch stellt sich</w:t>
      </w:r>
      <w:r w:rsidR="00562347" w:rsidRPr="00C35548">
        <w:t xml:space="preserve"> bei näherer </w:t>
      </w:r>
      <w:r w:rsidR="004F018B" w:rsidRPr="00C35548">
        <w:t>Überprüfung</w:t>
      </w:r>
      <w:r w:rsidR="00562347" w:rsidRPr="00C35548">
        <w:t xml:space="preserve"> heraus, dass keine </w:t>
      </w:r>
      <w:r w:rsidR="003D3FB3" w:rsidRPr="00C35548">
        <w:t xml:space="preserve">wesentlichen </w:t>
      </w:r>
      <w:r w:rsidR="00562347" w:rsidRPr="00C35548">
        <w:t xml:space="preserve">Änderungen </w:t>
      </w:r>
      <w:r w:rsidR="004F018B" w:rsidRPr="00C35548">
        <w:t>in</w:t>
      </w:r>
      <w:r w:rsidR="00562347" w:rsidRPr="00C35548">
        <w:t xml:space="preserve"> den Anforderungen </w:t>
      </w:r>
      <w:proofErr w:type="gramStart"/>
      <w:r w:rsidR="00562347" w:rsidRPr="00C35548">
        <w:t>an</w:t>
      </w:r>
      <w:proofErr w:type="gramEnd"/>
      <w:r w:rsidR="00562347" w:rsidRPr="00C35548">
        <w:t xml:space="preserve"> die Prüfung und Zertifizierung von Gas</w:t>
      </w:r>
      <w:r w:rsidR="003D3FB3" w:rsidRPr="00C35548">
        <w:t>spür</w:t>
      </w:r>
      <w:r w:rsidR="00562347" w:rsidRPr="00C35548">
        <w:t xml:space="preserve">geräten zwischen der Norm 60079-29-1:2007 und der Version 60079-29-1:2016 </w:t>
      </w:r>
      <w:r w:rsidR="004F018B" w:rsidRPr="00C35548">
        <w:t xml:space="preserve">erfolgt sind (siehe </w:t>
      </w:r>
      <w:r w:rsidR="00562347" w:rsidRPr="00C35548">
        <w:t>beigefügte</w:t>
      </w:r>
      <w:r w:rsidR="004F018B" w:rsidRPr="00C35548">
        <w:t>s</w:t>
      </w:r>
      <w:r w:rsidR="00562347" w:rsidRPr="00C35548">
        <w:t xml:space="preserve"> Dokument</w:t>
      </w:r>
      <w:r w:rsidR="004F018B" w:rsidRPr="00C35548">
        <w:t>)</w:t>
      </w:r>
      <w:r w:rsidR="00562347" w:rsidRPr="00C35548">
        <w:t>.</w:t>
      </w:r>
    </w:p>
    <w:p w14:paraId="46DB4788" w14:textId="1372C071" w:rsidR="00562347" w:rsidRPr="00827525" w:rsidRDefault="00562347" w:rsidP="003B2156">
      <w:pPr>
        <w:pStyle w:val="Bullet1G"/>
        <w:numPr>
          <w:ilvl w:val="0"/>
          <w:numId w:val="11"/>
        </w:numPr>
        <w:tabs>
          <w:tab w:val="num" w:pos="1701"/>
        </w:tabs>
        <w:ind w:left="1701" w:hanging="170"/>
      </w:pPr>
      <w:r w:rsidRPr="00827525">
        <w:t xml:space="preserve">Der </w:t>
      </w:r>
      <w:proofErr w:type="spellStart"/>
      <w:r w:rsidRPr="00827525">
        <w:t>Haupt</w:t>
      </w:r>
      <w:r w:rsidR="00107A8A" w:rsidRPr="00827525">
        <w:t>anlass</w:t>
      </w:r>
      <w:proofErr w:type="spellEnd"/>
      <w:r w:rsidRPr="00827525">
        <w:t xml:space="preserve"> </w:t>
      </w:r>
      <w:proofErr w:type="spellStart"/>
      <w:r w:rsidRPr="00827525">
        <w:t>für</w:t>
      </w:r>
      <w:proofErr w:type="spellEnd"/>
      <w:r w:rsidRPr="00827525">
        <w:t xml:space="preserve"> die Version 2016 war eine Harmonisierung der Norm. Alle Verweise auf IEC 60079-xx-x wurden in EN 60079-xx-x geändert, </w:t>
      </w:r>
      <w:r w:rsidR="00107A8A" w:rsidRPr="00827525">
        <w:t xml:space="preserve">(siehe beigefügtes </w:t>
      </w:r>
      <w:r w:rsidRPr="00827525">
        <w:t>Dokument</w:t>
      </w:r>
      <w:r w:rsidR="00107A8A" w:rsidRPr="00827525">
        <w:t>)</w:t>
      </w:r>
    </w:p>
    <w:p w14:paraId="65540485" w14:textId="219D4871" w:rsidR="00562347" w:rsidRPr="00827525" w:rsidRDefault="00562347" w:rsidP="003B2156">
      <w:pPr>
        <w:pStyle w:val="Bullet1G"/>
        <w:numPr>
          <w:ilvl w:val="0"/>
          <w:numId w:val="11"/>
        </w:numPr>
        <w:tabs>
          <w:tab w:val="num" w:pos="1701"/>
        </w:tabs>
        <w:ind w:left="1701" w:hanging="170"/>
      </w:pPr>
      <w:r w:rsidRPr="00827525">
        <w:t>Die Änderung in Bezug auf EN 50270-EN 50271 ist eine Anforderung, der alle Gas</w:t>
      </w:r>
      <w:r w:rsidR="00107A8A" w:rsidRPr="00827525">
        <w:t>spür</w:t>
      </w:r>
      <w:r w:rsidRPr="00827525">
        <w:t>geräte innerhalb der Europäischen Union bereits entsprechen müssen.</w:t>
      </w:r>
    </w:p>
    <w:p w14:paraId="3C7B6723" w14:textId="176A296C" w:rsidR="009444BB" w:rsidRPr="009444BB" w:rsidRDefault="00B87C77" w:rsidP="00827525">
      <w:pPr>
        <w:pStyle w:val="HChG"/>
        <w:rPr>
          <w:lang w:val="de-DE"/>
        </w:rPr>
      </w:pPr>
      <w:r>
        <w:rPr>
          <w:lang w:val="de-DE"/>
        </w:rPr>
        <w:tab/>
      </w:r>
      <w:r w:rsidR="007D54A9">
        <w:rPr>
          <w:lang w:val="de-DE"/>
        </w:rPr>
        <w:t>I</w:t>
      </w:r>
      <w:r w:rsidR="009444BB" w:rsidRPr="009444BB">
        <w:rPr>
          <w:lang w:val="de-DE"/>
        </w:rPr>
        <w:t>I.</w:t>
      </w:r>
      <w:r w:rsidR="009444BB">
        <w:rPr>
          <w:lang w:val="de-DE"/>
        </w:rPr>
        <w:t xml:space="preserve"> </w:t>
      </w:r>
      <w:r w:rsidR="009444BB" w:rsidRPr="009444BB">
        <w:rPr>
          <w:lang w:val="de-DE"/>
        </w:rPr>
        <w:tab/>
      </w:r>
      <w:proofErr w:type="spellStart"/>
      <w:r w:rsidR="009444BB" w:rsidRPr="00827525">
        <w:t>Aktueller</w:t>
      </w:r>
      <w:proofErr w:type="spellEnd"/>
      <w:r w:rsidR="009444BB" w:rsidRPr="009444BB">
        <w:rPr>
          <w:lang w:val="de-DE"/>
        </w:rPr>
        <w:t xml:space="preserve"> ADN-Text nach Änderungen in der Ausgabe 2019 </w:t>
      </w:r>
    </w:p>
    <w:p w14:paraId="0024775C" w14:textId="4631C365" w:rsidR="003A5F7B" w:rsidRDefault="00827525" w:rsidP="00827525">
      <w:pPr>
        <w:pStyle w:val="SingleTxtG"/>
        <w:rPr>
          <w:lang w:val="de-DE"/>
        </w:rPr>
      </w:pPr>
      <w:r>
        <w:rPr>
          <w:lang w:val="de-DE"/>
        </w:rPr>
        <w:t>8.</w:t>
      </w:r>
      <w:r>
        <w:rPr>
          <w:lang w:val="de-DE"/>
        </w:rPr>
        <w:tab/>
      </w:r>
      <w:r w:rsidR="009444BB" w:rsidRPr="009444BB">
        <w:rPr>
          <w:lang w:val="de-DE"/>
        </w:rPr>
        <w:t xml:space="preserve">ADN 2017 </w:t>
      </w:r>
    </w:p>
    <w:p w14:paraId="51700B44" w14:textId="526D03C6" w:rsidR="00051721" w:rsidRPr="009444BB" w:rsidRDefault="00051721" w:rsidP="00827525">
      <w:pPr>
        <w:pStyle w:val="SingleTxtG"/>
        <w:rPr>
          <w:b/>
          <w:lang w:val="de-DE"/>
        </w:rPr>
      </w:pPr>
      <w:r>
        <w:rPr>
          <w:lang w:val="de-DE"/>
        </w:rPr>
        <w:t>"</w:t>
      </w:r>
    </w:p>
    <w:p w14:paraId="1203C144" w14:textId="754F1C76" w:rsidR="003A5F7B" w:rsidRPr="00827525" w:rsidRDefault="003A5F7B" w:rsidP="00827525">
      <w:pPr>
        <w:pStyle w:val="SingleTxtG"/>
        <w:rPr>
          <w:b/>
          <w:bCs/>
          <w:lang w:val="de-DE"/>
        </w:rPr>
      </w:pPr>
      <w:r w:rsidRPr="00827525">
        <w:rPr>
          <w:b/>
          <w:bCs/>
          <w:lang w:val="de-DE"/>
        </w:rPr>
        <w:t>1.2.1</w:t>
      </w:r>
      <w:r w:rsidR="00827525" w:rsidRPr="00827525">
        <w:rPr>
          <w:b/>
          <w:bCs/>
          <w:lang w:val="de-DE"/>
        </w:rPr>
        <w:tab/>
      </w:r>
      <w:r w:rsidRPr="00827525">
        <w:rPr>
          <w:b/>
          <w:bCs/>
          <w:lang w:val="de-DE"/>
        </w:rPr>
        <w:t>Definitio</w:t>
      </w:r>
      <w:r w:rsidR="009444BB" w:rsidRPr="00827525">
        <w:rPr>
          <w:b/>
          <w:bCs/>
          <w:lang w:val="de-DE"/>
        </w:rPr>
        <w:t>n</w:t>
      </w:r>
    </w:p>
    <w:p w14:paraId="0C1DCF56" w14:textId="72C0EFC4" w:rsidR="00DF0506" w:rsidRPr="00827525" w:rsidRDefault="00DF0506" w:rsidP="00827525">
      <w:pPr>
        <w:pStyle w:val="SingleTxtG"/>
        <w:rPr>
          <w:lang w:val="de-DE"/>
        </w:rPr>
      </w:pPr>
      <w:r w:rsidRPr="00827525">
        <w:rPr>
          <w:bCs/>
          <w:i/>
          <w:iCs/>
          <w:lang w:val="de-DE"/>
        </w:rPr>
        <w:t>Gasspürgerät:</w:t>
      </w:r>
      <w:r w:rsidRPr="00DF0506">
        <w:rPr>
          <w:i/>
          <w:iCs/>
          <w:lang w:val="de-DE"/>
        </w:rPr>
        <w:t xml:space="preserve"> </w:t>
      </w:r>
      <w:r w:rsidRPr="00827525">
        <w:rPr>
          <w:lang w:val="de-DE"/>
        </w:rPr>
        <w:t xml:space="preserve">Ein Gerät, mit dem bedeutsame Konzentrationen von aus der Ladung herrührenden entzündbaren Gasen unterhalb der unteren Explosionsgrenze gemessen werden können und </w:t>
      </w:r>
    </w:p>
    <w:p w14:paraId="6EA7CE96" w14:textId="77777777" w:rsidR="00DF0506" w:rsidRPr="00827525" w:rsidRDefault="00DF0506" w:rsidP="00827525">
      <w:pPr>
        <w:pStyle w:val="SingleTxtG"/>
        <w:rPr>
          <w:lang w:val="de-DE"/>
        </w:rPr>
      </w:pPr>
      <w:r w:rsidRPr="00827525">
        <w:rPr>
          <w:lang w:val="de-DE"/>
        </w:rPr>
        <w:t xml:space="preserve">welches das Vorhandensein größerer Konzentrationen eindeutig anzeigt. Gasspürgeräte können </w:t>
      </w:r>
    </w:p>
    <w:p w14:paraId="78177597" w14:textId="3B369520" w:rsidR="003A5F7B" w:rsidRPr="00827525" w:rsidRDefault="00DF0506" w:rsidP="00827525">
      <w:pPr>
        <w:pStyle w:val="SingleTxtG"/>
        <w:rPr>
          <w:lang w:val="de-DE"/>
        </w:rPr>
      </w:pPr>
      <w:r w:rsidRPr="00827525">
        <w:rPr>
          <w:lang w:val="de-DE"/>
        </w:rPr>
        <w:t>sowohl als Einzelmessgeräte als auch als Kombinationsmessgeräte zur Messung von entzündbaren Gasen und Sauerstoff ausgeführt sein. Das Gerät muss so beschaffen sein, dass auch Messungen möglich sind, ohne die zu prüfenden Räume zu betreten.</w:t>
      </w:r>
      <w:r w:rsidR="00051721">
        <w:rPr>
          <w:lang w:val="de-DE"/>
        </w:rPr>
        <w:t>"</w:t>
      </w:r>
    </w:p>
    <w:p w14:paraId="25E67FE4" w14:textId="388D95AF" w:rsidR="003A5F7B" w:rsidRDefault="00B04E7C" w:rsidP="00827525">
      <w:pPr>
        <w:pStyle w:val="SingleTxtG"/>
        <w:rPr>
          <w:lang w:val="de-DE"/>
        </w:rPr>
      </w:pPr>
      <w:r>
        <w:rPr>
          <w:lang w:val="de-DE"/>
        </w:rPr>
        <w:t>9.</w:t>
      </w:r>
      <w:r>
        <w:rPr>
          <w:lang w:val="de-DE"/>
        </w:rPr>
        <w:tab/>
      </w:r>
      <w:r w:rsidR="00DF0506" w:rsidRPr="00DF0506">
        <w:rPr>
          <w:lang w:val="de-DE"/>
        </w:rPr>
        <w:t xml:space="preserve">Ab ADN 2019 </w:t>
      </w:r>
    </w:p>
    <w:p w14:paraId="0CB21A14" w14:textId="2AB43EFB" w:rsidR="00DF0506" w:rsidRPr="00DF0506" w:rsidRDefault="00B04E7C" w:rsidP="00827525">
      <w:pPr>
        <w:pStyle w:val="SingleTxtG"/>
        <w:rPr>
          <w:lang w:val="de-DE"/>
        </w:rPr>
      </w:pPr>
      <w:r>
        <w:rPr>
          <w:lang w:val="de-DE"/>
        </w:rPr>
        <w:t>"</w:t>
      </w:r>
    </w:p>
    <w:p w14:paraId="16C50F05" w14:textId="5EC3D7D2" w:rsidR="003A5F7B" w:rsidRPr="006D136B" w:rsidRDefault="003A5F7B" w:rsidP="00827525">
      <w:pPr>
        <w:pStyle w:val="SingleTxtG"/>
        <w:rPr>
          <w:b/>
          <w:bCs/>
          <w:lang w:val="de-DE"/>
        </w:rPr>
      </w:pPr>
      <w:r w:rsidRPr="006D136B">
        <w:rPr>
          <w:b/>
          <w:bCs/>
          <w:lang w:val="de-DE"/>
        </w:rPr>
        <w:t>1.2.1</w:t>
      </w:r>
      <w:r w:rsidR="00B04E7C" w:rsidRPr="006D136B">
        <w:rPr>
          <w:b/>
          <w:bCs/>
          <w:lang w:val="de-DE"/>
        </w:rPr>
        <w:tab/>
      </w:r>
      <w:r w:rsidRPr="006D136B">
        <w:rPr>
          <w:b/>
          <w:bCs/>
          <w:lang w:val="de-DE"/>
        </w:rPr>
        <w:t>Definition</w:t>
      </w:r>
    </w:p>
    <w:p w14:paraId="31A5152C" w14:textId="0337B68B" w:rsidR="00DF0506" w:rsidRPr="006D136B" w:rsidRDefault="00DF0506" w:rsidP="00827525">
      <w:pPr>
        <w:pStyle w:val="SingleTxtG"/>
        <w:rPr>
          <w:lang w:val="de-DE"/>
        </w:rPr>
      </w:pPr>
      <w:r w:rsidRPr="006D136B">
        <w:rPr>
          <w:bCs/>
          <w:i/>
          <w:iCs/>
          <w:lang w:val="de-DE"/>
        </w:rPr>
        <w:t>Gasspürgerät:</w:t>
      </w:r>
      <w:r w:rsidRPr="00DF0506">
        <w:rPr>
          <w:i/>
          <w:iCs/>
          <w:lang w:val="de-DE"/>
        </w:rPr>
        <w:t xml:space="preserve"> </w:t>
      </w:r>
      <w:r w:rsidRPr="006D136B">
        <w:rPr>
          <w:lang w:val="de-DE"/>
        </w:rPr>
        <w:t xml:space="preserve">Ein tragbares Gerät, mit dem bedeutsame Konzentrationen brennbarer Gase unterhalb der UEG gemessen werden können und welches die Konzentration dieser Gase eindeutig anzeigt. Gasspürgeräte können sowohl als Einzelmessgeräte als auch als Kombinationsmessgeräte zur Messung von brennbaren Gasen und Sauerstoff ausgeführt sein. Das Gerät muss so beschaffen sein, dass auch Messungen möglich sind, ohne die zu prüfenden Räume zu betreten. </w:t>
      </w:r>
    </w:p>
    <w:p w14:paraId="540147EF" w14:textId="51DF82E5" w:rsidR="003A5F7B" w:rsidRPr="006D136B" w:rsidRDefault="00DF0506" w:rsidP="00827525">
      <w:pPr>
        <w:pStyle w:val="SingleTxtG"/>
        <w:rPr>
          <w:lang w:val="de-DE"/>
        </w:rPr>
      </w:pPr>
      <w:r w:rsidRPr="006D136B">
        <w:rPr>
          <w:lang w:val="de-DE"/>
        </w:rPr>
        <w:t>Die Ansprechschwelle der Sensoren beträgt höchstens 5 % der UEG des kritischsten Stoffes der Schiffsstoffliste bei Tankschiffen bzw. der Ladung bei Trockengüterschiffen. Das Gasspürgerät muss nach IEC/EN6) 60079-29-1:2016, geprüft sein. Wenn es in explosionsgefährdeten Bereichen eingesetzt wird, muss es zusätzlich die</w:t>
      </w:r>
      <w:r w:rsidR="00AF5C1E" w:rsidRPr="006D136B">
        <w:rPr>
          <w:lang w:val="de-DE"/>
        </w:rPr>
        <w:t xml:space="preserve"> </w:t>
      </w:r>
      <w:r w:rsidRPr="006D136B">
        <w:rPr>
          <w:lang w:val="de-DE"/>
        </w:rPr>
        <w:t>Anforderungen für den Einsatz in der jeweiligen Zone erfüllen und es muss nachgewiesen sein, dass es den</w:t>
      </w:r>
      <w:r w:rsidR="00AF5C1E" w:rsidRPr="006D136B">
        <w:rPr>
          <w:lang w:val="de-DE"/>
        </w:rPr>
        <w:t xml:space="preserve"> </w:t>
      </w:r>
      <w:r w:rsidRPr="006D136B">
        <w:rPr>
          <w:lang w:val="de-DE"/>
        </w:rPr>
        <w:t xml:space="preserve">anwendbaren Anforderungen entspricht (z.B. Konformitätsbewertungsverfahren nach Richtlinie 2014/34/EU3), IECEx-System4) oder ECE Trade </w:t>
      </w:r>
      <w:proofErr w:type="gramStart"/>
      <w:r w:rsidRPr="006D136B">
        <w:rPr>
          <w:lang w:val="de-DE"/>
        </w:rPr>
        <w:t>3915)oder</w:t>
      </w:r>
      <w:proofErr w:type="gramEnd"/>
      <w:r w:rsidRPr="006D136B">
        <w:rPr>
          <w:lang w:val="de-DE"/>
        </w:rPr>
        <w:t xml:space="preserve"> mindestens gleichwertig).</w:t>
      </w:r>
      <w:r w:rsidR="00DE1B41">
        <w:rPr>
          <w:lang w:val="de-DE"/>
        </w:rPr>
        <w:t>"</w:t>
      </w:r>
    </w:p>
    <w:p w14:paraId="1675B5AC" w14:textId="28F58D21" w:rsidR="003A5F7B" w:rsidRDefault="00DE1B41" w:rsidP="006D136B">
      <w:pPr>
        <w:pStyle w:val="SingleTxtG"/>
        <w:keepNext/>
        <w:keepLines/>
        <w:rPr>
          <w:lang w:val="de-DE"/>
        </w:rPr>
      </w:pPr>
      <w:r>
        <w:rPr>
          <w:lang w:val="de-DE"/>
        </w:rPr>
        <w:lastRenderedPageBreak/>
        <w:t>10.</w:t>
      </w:r>
      <w:r>
        <w:rPr>
          <w:lang w:val="de-DE"/>
        </w:rPr>
        <w:tab/>
      </w:r>
      <w:r w:rsidR="00AF5C1E" w:rsidRPr="00AF5C1E">
        <w:rPr>
          <w:lang w:val="de-DE"/>
        </w:rPr>
        <w:t>Im Jahr 2019 wurde die folgende Übergangsbestimmung eingeführt, die das Gas</w:t>
      </w:r>
      <w:r w:rsidR="00AF5C1E">
        <w:rPr>
          <w:lang w:val="de-DE"/>
        </w:rPr>
        <w:t>spür</w:t>
      </w:r>
      <w:r w:rsidR="00AF5C1E" w:rsidRPr="00AF5C1E">
        <w:rPr>
          <w:lang w:val="de-DE"/>
        </w:rPr>
        <w:t>gerät betrifft:</w:t>
      </w:r>
    </w:p>
    <w:p w14:paraId="1E2086A7" w14:textId="6DA8B0A5" w:rsidR="00AF5C1E" w:rsidRPr="00AF5C1E" w:rsidRDefault="00F8606D" w:rsidP="006D136B">
      <w:pPr>
        <w:keepNext/>
        <w:keepLines/>
        <w:rPr>
          <w:lang w:val="de-DE"/>
        </w:rPr>
      </w:pPr>
      <w:r>
        <w:rPr>
          <w:lang w:val="de-DE"/>
        </w:rPr>
        <w:t>"</w:t>
      </w:r>
    </w:p>
    <w:p w14:paraId="3CC73E1C" w14:textId="20667361" w:rsidR="003A5F7B" w:rsidRPr="00F8606D" w:rsidRDefault="003A5F7B" w:rsidP="006D136B">
      <w:pPr>
        <w:keepNext/>
        <w:keepLines/>
        <w:spacing w:line="240" w:lineRule="auto"/>
        <w:rPr>
          <w:b/>
          <w:bCs/>
          <w:lang w:val="de-DE"/>
        </w:rPr>
      </w:pPr>
      <w:bookmarkStart w:id="0" w:name="_Hlk107234558"/>
      <w:r w:rsidRPr="00F8606D">
        <w:rPr>
          <w:b/>
          <w:bCs/>
          <w:lang w:val="de-DE"/>
        </w:rPr>
        <w:t>1.6.7.2.2.2 Tab</w:t>
      </w:r>
      <w:r w:rsidR="00AF5C1E" w:rsidRPr="00F8606D">
        <w:rPr>
          <w:b/>
          <w:bCs/>
          <w:lang w:val="de-DE"/>
        </w:rPr>
        <w:t>elle der allgemeinen Übergangsvorschriften</w:t>
      </w:r>
      <w:r w:rsidRPr="00F8606D">
        <w:rPr>
          <w:b/>
          <w:bCs/>
          <w:lang w:val="de-DE"/>
        </w:rPr>
        <w:t>: Tank</w:t>
      </w:r>
      <w:r w:rsidR="00AF5C1E" w:rsidRPr="00F8606D">
        <w:rPr>
          <w:b/>
          <w:bCs/>
          <w:lang w:val="de-DE"/>
        </w:rPr>
        <w:t>schiffe</w:t>
      </w:r>
    </w:p>
    <w:p w14:paraId="42A67B9C" w14:textId="77777777" w:rsidR="003A5F7B" w:rsidRPr="00AF5C1E" w:rsidRDefault="003A5F7B" w:rsidP="006D136B">
      <w:pPr>
        <w:keepNext/>
        <w:keepLines/>
        <w:spacing w:line="240" w:lineRule="auto"/>
        <w:rPr>
          <w:b/>
          <w:bCs/>
          <w:u w:val="single"/>
          <w:lang w:val="de-DE"/>
        </w:rPr>
      </w:pPr>
    </w:p>
    <w:tbl>
      <w:tblPr>
        <w:tblStyle w:val="TableGrid"/>
        <w:tblW w:w="0" w:type="auto"/>
        <w:tblLook w:val="04A0" w:firstRow="1" w:lastRow="0" w:firstColumn="1" w:lastColumn="0" w:noHBand="0" w:noVBand="1"/>
      </w:tblPr>
      <w:tblGrid>
        <w:gridCol w:w="3020"/>
        <w:gridCol w:w="3021"/>
        <w:gridCol w:w="3021"/>
      </w:tblGrid>
      <w:tr w:rsidR="003A5F7B" w:rsidRPr="00921DF2" w14:paraId="09DA1CA6" w14:textId="77777777" w:rsidTr="001C719E">
        <w:tc>
          <w:tcPr>
            <w:tcW w:w="3020" w:type="dxa"/>
          </w:tcPr>
          <w:p w14:paraId="07E0D56F" w14:textId="72E9DF75" w:rsidR="003A5F7B" w:rsidRPr="003D5255" w:rsidRDefault="003A5F7B" w:rsidP="006D136B">
            <w:pPr>
              <w:keepNext/>
              <w:keepLines/>
              <w:spacing w:line="240" w:lineRule="auto"/>
            </w:pPr>
            <w:r>
              <w:t xml:space="preserve">1.2.1 </w:t>
            </w:r>
            <w:proofErr w:type="spellStart"/>
            <w:r w:rsidRPr="003D5255">
              <w:t>Gas</w:t>
            </w:r>
            <w:r w:rsidR="00AF5C1E">
              <w:t>spürgerät</w:t>
            </w:r>
            <w:proofErr w:type="spellEnd"/>
          </w:p>
          <w:p w14:paraId="5768BAEB" w14:textId="77777777" w:rsidR="003A5F7B" w:rsidRDefault="003A5F7B" w:rsidP="006D136B">
            <w:pPr>
              <w:keepNext/>
              <w:keepLines/>
              <w:spacing w:line="240" w:lineRule="auto"/>
            </w:pPr>
            <w:r>
              <w:t xml:space="preserve"> </w:t>
            </w:r>
          </w:p>
        </w:tc>
        <w:tc>
          <w:tcPr>
            <w:tcW w:w="3021" w:type="dxa"/>
          </w:tcPr>
          <w:p w14:paraId="67D7C108" w14:textId="3257AD7D" w:rsidR="003A5F7B" w:rsidRPr="003D5255" w:rsidRDefault="00AF5C1E" w:rsidP="006D136B">
            <w:pPr>
              <w:keepNext/>
              <w:keepLines/>
              <w:spacing w:line="240" w:lineRule="auto"/>
            </w:pPr>
            <w:proofErr w:type="spellStart"/>
            <w:r>
              <w:t>Prüfung</w:t>
            </w:r>
            <w:proofErr w:type="spellEnd"/>
            <w:r>
              <w:t xml:space="preserve"> </w:t>
            </w:r>
            <w:proofErr w:type="spellStart"/>
            <w:r>
              <w:t>nach</w:t>
            </w:r>
            <w:proofErr w:type="spellEnd"/>
            <w:r>
              <w:t xml:space="preserve"> der Norm</w:t>
            </w:r>
          </w:p>
          <w:p w14:paraId="5B152CD1" w14:textId="77777777" w:rsidR="003A5F7B" w:rsidRPr="003D5255" w:rsidRDefault="003A5F7B" w:rsidP="006D136B">
            <w:pPr>
              <w:keepNext/>
              <w:keepLines/>
              <w:spacing w:line="240" w:lineRule="auto"/>
            </w:pPr>
            <w:r w:rsidRPr="003D5255">
              <w:t>IEC 60079-29-1:2016</w:t>
            </w:r>
          </w:p>
        </w:tc>
        <w:tc>
          <w:tcPr>
            <w:tcW w:w="3021" w:type="dxa"/>
          </w:tcPr>
          <w:p w14:paraId="566530C1" w14:textId="38C9FA73" w:rsidR="003A5F7B" w:rsidRPr="00131584" w:rsidRDefault="003A5F7B" w:rsidP="006D136B">
            <w:pPr>
              <w:keepNext/>
              <w:keepLines/>
              <w:spacing w:line="240" w:lineRule="auto"/>
            </w:pPr>
            <w:r w:rsidRPr="00131584">
              <w:t>N.</w:t>
            </w:r>
            <w:r w:rsidR="00921DF2">
              <w:t xml:space="preserve">E.U. </w:t>
            </w:r>
            <w:proofErr w:type="spellStart"/>
            <w:r w:rsidR="00921DF2">
              <w:t>ab</w:t>
            </w:r>
            <w:proofErr w:type="spellEnd"/>
            <w:r w:rsidR="00921DF2">
              <w:t xml:space="preserve"> 1. </w:t>
            </w:r>
            <w:proofErr w:type="spellStart"/>
            <w:r w:rsidR="00921DF2">
              <w:t>Januar</w:t>
            </w:r>
            <w:proofErr w:type="spellEnd"/>
            <w:r w:rsidR="00921DF2">
              <w:t xml:space="preserve"> 2019</w:t>
            </w:r>
          </w:p>
          <w:p w14:paraId="030C4C5C" w14:textId="57529473" w:rsidR="003A5F7B" w:rsidRPr="00131584" w:rsidRDefault="00921DF2" w:rsidP="006D136B">
            <w:pPr>
              <w:keepNext/>
              <w:keepLines/>
              <w:spacing w:line="240" w:lineRule="auto"/>
            </w:pPr>
            <w:proofErr w:type="spellStart"/>
            <w:r>
              <w:t>Erneuerung</w:t>
            </w:r>
            <w:proofErr w:type="spellEnd"/>
            <w:r>
              <w:t xml:space="preserve"> des </w:t>
            </w:r>
            <w:proofErr w:type="spellStart"/>
            <w:r>
              <w:t>Zulassungszeugnisses</w:t>
            </w:r>
            <w:proofErr w:type="spellEnd"/>
            <w:r>
              <w:t xml:space="preserve"> </w:t>
            </w:r>
            <w:proofErr w:type="spellStart"/>
            <w:r>
              <w:t>nach</w:t>
            </w:r>
            <w:proofErr w:type="spellEnd"/>
            <w:r>
              <w:t xml:space="preserve"> </w:t>
            </w:r>
            <w:proofErr w:type="spellStart"/>
            <w:r>
              <w:t>dem</w:t>
            </w:r>
            <w:proofErr w:type="spellEnd"/>
            <w:r>
              <w:t xml:space="preserve"> 31. </w:t>
            </w:r>
            <w:proofErr w:type="spellStart"/>
            <w:r>
              <w:t>Dezember</w:t>
            </w:r>
            <w:proofErr w:type="spellEnd"/>
            <w:r>
              <w:t xml:space="preserve"> 2020</w:t>
            </w:r>
          </w:p>
        </w:tc>
      </w:tr>
    </w:tbl>
    <w:p w14:paraId="0F89BAC4" w14:textId="7B8D8E44" w:rsidR="003A5F7B" w:rsidRPr="00921DF2" w:rsidRDefault="00F8606D" w:rsidP="003A5F7B">
      <w:pPr>
        <w:rPr>
          <w:lang w:val="de-DE"/>
        </w:rPr>
      </w:pPr>
      <w:r>
        <w:rPr>
          <w:lang w:val="de-DE"/>
        </w:rPr>
        <w:t>"</w:t>
      </w:r>
    </w:p>
    <w:bookmarkEnd w:id="0"/>
    <w:p w14:paraId="17D8ADF1" w14:textId="5BF5DC7E" w:rsidR="00B20A4E" w:rsidRPr="00B87C77" w:rsidRDefault="00F8606D" w:rsidP="006D136B">
      <w:pPr>
        <w:pStyle w:val="HChG"/>
        <w:rPr>
          <w:lang w:val="de-DE"/>
        </w:rPr>
      </w:pPr>
      <w:r>
        <w:rPr>
          <w:lang w:val="de-DE"/>
        </w:rPr>
        <w:tab/>
      </w:r>
      <w:r w:rsidR="00DD5BF0">
        <w:rPr>
          <w:lang w:val="de-DE"/>
        </w:rPr>
        <w:t>II</w:t>
      </w:r>
      <w:r w:rsidR="00B87C77">
        <w:rPr>
          <w:lang w:val="de-DE"/>
        </w:rPr>
        <w:t>.</w:t>
      </w:r>
      <w:r>
        <w:rPr>
          <w:lang w:val="de-DE"/>
        </w:rPr>
        <w:tab/>
      </w:r>
      <w:r w:rsidR="00B20A4E" w:rsidRPr="00B87C77">
        <w:rPr>
          <w:lang w:val="de-DE"/>
        </w:rPr>
        <w:t>Antrag an den Sicherheitsausschuss</w:t>
      </w:r>
    </w:p>
    <w:p w14:paraId="6E95B39D" w14:textId="04E5327C" w:rsidR="00B20A4E" w:rsidRPr="00B20A4E" w:rsidRDefault="00D55291" w:rsidP="006D136B">
      <w:pPr>
        <w:pStyle w:val="SingleTxtG"/>
        <w:rPr>
          <w:lang w:val="de-DE"/>
        </w:rPr>
      </w:pPr>
      <w:r>
        <w:rPr>
          <w:lang w:val="de-DE"/>
        </w:rPr>
        <w:t>11.</w:t>
      </w:r>
      <w:r>
        <w:rPr>
          <w:lang w:val="de-DE"/>
        </w:rPr>
        <w:tab/>
      </w:r>
      <w:r w:rsidR="00B20A4E" w:rsidRPr="00B83B5D">
        <w:rPr>
          <w:lang w:val="de-DE"/>
        </w:rPr>
        <w:t xml:space="preserve">Dieses </w:t>
      </w:r>
      <w:r w:rsidR="00B20A4E" w:rsidRPr="00C670D5">
        <w:t>INF</w:t>
      </w:r>
      <w:r w:rsidR="00B20A4E" w:rsidRPr="00B83B5D">
        <w:rPr>
          <w:lang w:val="de-DE"/>
        </w:rPr>
        <w:t xml:space="preserve">-Dokument bezieht sich </w:t>
      </w:r>
      <w:r w:rsidR="00B87C77" w:rsidRPr="00B83B5D">
        <w:rPr>
          <w:lang w:val="de-DE"/>
        </w:rPr>
        <w:t xml:space="preserve">speziell </w:t>
      </w:r>
      <w:r w:rsidR="00B20A4E" w:rsidRPr="00B83B5D">
        <w:rPr>
          <w:lang w:val="de-DE"/>
        </w:rPr>
        <w:t>auf d</w:t>
      </w:r>
      <w:r w:rsidR="00B87C77" w:rsidRPr="00B83B5D">
        <w:rPr>
          <w:lang w:val="de-DE"/>
        </w:rPr>
        <w:t>as Gasspürgerät</w:t>
      </w:r>
      <w:r w:rsidR="005E0DC3" w:rsidRPr="00B83B5D">
        <w:rPr>
          <w:lang w:val="de-DE"/>
        </w:rPr>
        <w:t xml:space="preserve">. </w:t>
      </w:r>
      <w:r w:rsidR="00F50BE9" w:rsidRPr="00B83B5D">
        <w:rPr>
          <w:lang w:val="de-DE"/>
        </w:rPr>
        <w:t>Daraus abgeleitete Erkenntnisse könnten</w:t>
      </w:r>
      <w:r w:rsidR="005E0DC3" w:rsidRPr="00B83B5D">
        <w:rPr>
          <w:lang w:val="de-DE"/>
        </w:rPr>
        <w:t xml:space="preserve"> </w:t>
      </w:r>
      <w:r w:rsidR="00F50BE9" w:rsidRPr="00B83B5D">
        <w:rPr>
          <w:lang w:val="de-DE"/>
        </w:rPr>
        <w:t>allerdings</w:t>
      </w:r>
      <w:r w:rsidR="00B20A4E" w:rsidRPr="00B83B5D">
        <w:rPr>
          <w:lang w:val="de-DE"/>
        </w:rPr>
        <w:t xml:space="preserve"> </w:t>
      </w:r>
      <w:r w:rsidR="005E0DC3" w:rsidRPr="00B83B5D">
        <w:rPr>
          <w:lang w:val="de-DE"/>
        </w:rPr>
        <w:t>ebenso</w:t>
      </w:r>
      <w:r w:rsidR="00B20A4E" w:rsidRPr="00B83B5D">
        <w:rPr>
          <w:lang w:val="de-DE"/>
        </w:rPr>
        <w:t xml:space="preserve"> auf andere</w:t>
      </w:r>
      <w:r w:rsidR="005E0DC3" w:rsidRPr="00B83B5D">
        <w:rPr>
          <w:lang w:val="de-DE"/>
        </w:rPr>
        <w:t xml:space="preserve">, gleichgelagerte Fälle </w:t>
      </w:r>
      <w:r w:rsidR="00F50BE9" w:rsidRPr="00B83B5D">
        <w:rPr>
          <w:lang w:val="de-DE"/>
        </w:rPr>
        <w:t>mit</w:t>
      </w:r>
      <w:r w:rsidR="005E0DC3" w:rsidRPr="00B83B5D">
        <w:rPr>
          <w:lang w:val="de-DE"/>
        </w:rPr>
        <w:t xml:space="preserve"> Bezug auf Norm</w:t>
      </w:r>
      <w:r w:rsidR="00F50BE9" w:rsidRPr="00B83B5D">
        <w:rPr>
          <w:lang w:val="de-DE"/>
        </w:rPr>
        <w:t>en</w:t>
      </w:r>
      <w:r w:rsidR="005E0DC3" w:rsidRPr="00B83B5D">
        <w:rPr>
          <w:lang w:val="de-DE"/>
        </w:rPr>
        <w:t>änderungen/Norm</w:t>
      </w:r>
      <w:r w:rsidR="00F50BE9" w:rsidRPr="00B83B5D">
        <w:rPr>
          <w:lang w:val="de-DE"/>
        </w:rPr>
        <w:t>en</w:t>
      </w:r>
      <w:r w:rsidR="005E0DC3" w:rsidRPr="00B83B5D">
        <w:rPr>
          <w:lang w:val="de-DE"/>
        </w:rPr>
        <w:t>zitate</w:t>
      </w:r>
      <w:r w:rsidR="00B20A4E" w:rsidRPr="00B83B5D">
        <w:rPr>
          <w:lang w:val="de-DE"/>
        </w:rPr>
        <w:t xml:space="preserve"> </w:t>
      </w:r>
      <w:r w:rsidR="00F50BE9" w:rsidRPr="00B83B5D">
        <w:rPr>
          <w:lang w:val="de-DE"/>
        </w:rPr>
        <w:t>anwendbar sein</w:t>
      </w:r>
      <w:r w:rsidR="00B20A4E" w:rsidRPr="00B83B5D">
        <w:rPr>
          <w:lang w:val="de-DE"/>
        </w:rPr>
        <w:t>.</w:t>
      </w:r>
    </w:p>
    <w:p w14:paraId="494C2986" w14:textId="4B814EE4" w:rsidR="00B20A4E" w:rsidRPr="00B20A4E" w:rsidRDefault="00D55291" w:rsidP="006D136B">
      <w:pPr>
        <w:pStyle w:val="SingleTxtG"/>
        <w:rPr>
          <w:lang w:val="de-DE"/>
        </w:rPr>
      </w:pPr>
      <w:r>
        <w:rPr>
          <w:lang w:val="de-DE"/>
        </w:rPr>
        <w:t>12.</w:t>
      </w:r>
      <w:r>
        <w:rPr>
          <w:lang w:val="de-DE"/>
        </w:rPr>
        <w:tab/>
      </w:r>
      <w:r w:rsidR="00B20A4E" w:rsidRPr="00B20A4E">
        <w:rPr>
          <w:lang w:val="de-DE"/>
        </w:rPr>
        <w:t xml:space="preserve">Der Ausschuss wird gebeten, die Feststellung zu erwägen, dass Geräte, die bei ihrer Markteinführung nach einer bestimmten Norm </w:t>
      </w:r>
      <w:r w:rsidR="00B20A4E" w:rsidRPr="00B83B5D">
        <w:rPr>
          <w:lang w:val="de-DE"/>
        </w:rPr>
        <w:t>zugelassen</w:t>
      </w:r>
      <w:r w:rsidR="00B20A4E" w:rsidRPr="00B20A4E">
        <w:rPr>
          <w:lang w:val="de-DE"/>
        </w:rPr>
        <w:t xml:space="preserve"> sind, für den Rest ihre</w:t>
      </w:r>
      <w:r w:rsidR="00F50BE9">
        <w:rPr>
          <w:lang w:val="de-DE"/>
        </w:rPr>
        <w:t>r</w:t>
      </w:r>
      <w:r w:rsidR="00B20A4E" w:rsidRPr="00B20A4E">
        <w:rPr>
          <w:lang w:val="de-DE"/>
        </w:rPr>
        <w:t xml:space="preserve"> technischen Lebens</w:t>
      </w:r>
      <w:r w:rsidR="00F50BE9">
        <w:rPr>
          <w:lang w:val="de-DE"/>
        </w:rPr>
        <w:t>dauer</w:t>
      </w:r>
      <w:r w:rsidR="00B20A4E" w:rsidRPr="00B20A4E">
        <w:rPr>
          <w:lang w:val="de-DE"/>
        </w:rPr>
        <w:t xml:space="preserve"> </w:t>
      </w:r>
      <w:r w:rsidR="00F50BE9" w:rsidRPr="00B83B5D">
        <w:rPr>
          <w:lang w:val="de-DE"/>
        </w:rPr>
        <w:t>zugelassen</w:t>
      </w:r>
      <w:r w:rsidR="00B20A4E" w:rsidRPr="00B20A4E">
        <w:rPr>
          <w:lang w:val="de-DE"/>
        </w:rPr>
        <w:t xml:space="preserve"> bleiben. Dies </w:t>
      </w:r>
      <w:r w:rsidR="00F50BE9">
        <w:rPr>
          <w:lang w:val="de-DE"/>
        </w:rPr>
        <w:t xml:space="preserve">soll auch dann </w:t>
      </w:r>
      <w:r w:rsidR="00B20A4E" w:rsidRPr="00B20A4E">
        <w:rPr>
          <w:lang w:val="de-DE"/>
        </w:rPr>
        <w:t>g</w:t>
      </w:r>
      <w:r w:rsidR="00F50BE9">
        <w:rPr>
          <w:lang w:val="de-DE"/>
        </w:rPr>
        <w:t>elten</w:t>
      </w:r>
      <w:r w:rsidR="00B20A4E" w:rsidRPr="00B20A4E">
        <w:rPr>
          <w:lang w:val="de-DE"/>
        </w:rPr>
        <w:t xml:space="preserve">, wenn neue Normen </w:t>
      </w:r>
      <w:r w:rsidR="00F50BE9">
        <w:rPr>
          <w:lang w:val="de-DE"/>
        </w:rPr>
        <w:t>eingeführt</w:t>
      </w:r>
      <w:r w:rsidR="00B20A4E" w:rsidRPr="00B20A4E">
        <w:rPr>
          <w:lang w:val="de-DE"/>
        </w:rPr>
        <w:t xml:space="preserve"> werden, die keine zusätzlichen (Prüf-)Anforderungen vorsehen.</w:t>
      </w:r>
    </w:p>
    <w:p w14:paraId="39458010" w14:textId="6616372F" w:rsidR="00B20A4E" w:rsidRPr="00B20A4E" w:rsidRDefault="00F063CC" w:rsidP="006D136B">
      <w:pPr>
        <w:pStyle w:val="SingleTxtG"/>
        <w:rPr>
          <w:lang w:val="de-DE"/>
        </w:rPr>
      </w:pPr>
      <w:r>
        <w:rPr>
          <w:lang w:val="de-DE"/>
        </w:rPr>
        <w:t>13.</w:t>
      </w:r>
      <w:r>
        <w:rPr>
          <w:lang w:val="de-DE"/>
        </w:rPr>
        <w:tab/>
      </w:r>
      <w:r w:rsidR="007D302A">
        <w:rPr>
          <w:lang w:val="de-DE"/>
        </w:rPr>
        <w:t>Ferner könnte</w:t>
      </w:r>
      <w:r w:rsidR="00B20A4E" w:rsidRPr="00B20A4E">
        <w:rPr>
          <w:lang w:val="de-DE"/>
        </w:rPr>
        <w:t xml:space="preserve"> eine Verlängerung der derzeitigen Übergangsbestimmung in Erwägung </w:t>
      </w:r>
      <w:r w:rsidR="007D302A">
        <w:rPr>
          <w:lang w:val="de-DE"/>
        </w:rPr>
        <w:t>gezogen werden</w:t>
      </w:r>
      <w:r w:rsidR="00B20A4E" w:rsidRPr="00B20A4E">
        <w:rPr>
          <w:lang w:val="de-DE"/>
        </w:rPr>
        <w:t xml:space="preserve">, </w:t>
      </w:r>
      <w:r w:rsidR="00354E65" w:rsidRPr="00B83B5D">
        <w:rPr>
          <w:lang w:val="de-DE"/>
        </w:rPr>
        <w:t>dem Beispiel</w:t>
      </w:r>
      <w:r w:rsidR="00B20A4E" w:rsidRPr="00B83B5D">
        <w:rPr>
          <w:lang w:val="de-DE"/>
        </w:rPr>
        <w:t xml:space="preserve"> andere</w:t>
      </w:r>
      <w:r w:rsidR="00354E65" w:rsidRPr="00B83B5D">
        <w:rPr>
          <w:lang w:val="de-DE"/>
        </w:rPr>
        <w:t>r</w:t>
      </w:r>
      <w:r w:rsidR="00B20A4E" w:rsidRPr="00B83B5D">
        <w:rPr>
          <w:lang w:val="de-DE"/>
        </w:rPr>
        <w:t xml:space="preserve"> Bestimmungen</w:t>
      </w:r>
      <w:r w:rsidR="00354E65" w:rsidRPr="00B83B5D">
        <w:rPr>
          <w:lang w:val="de-DE"/>
        </w:rPr>
        <w:t xml:space="preserve"> folgend</w:t>
      </w:r>
      <w:r w:rsidR="00B20A4E" w:rsidRPr="00B83B5D">
        <w:rPr>
          <w:lang w:val="de-DE"/>
        </w:rPr>
        <w:t>, die bei der Überarbeitung des ADN im Jahr 2019 in Bezug auf d</w:t>
      </w:r>
      <w:r w:rsidR="00101DB9" w:rsidRPr="00B83B5D">
        <w:rPr>
          <w:lang w:val="de-DE"/>
        </w:rPr>
        <w:t>en Explosionsschutz</w:t>
      </w:r>
      <w:r w:rsidR="00B20A4E" w:rsidRPr="00B83B5D">
        <w:rPr>
          <w:lang w:val="de-DE"/>
        </w:rPr>
        <w:t xml:space="preserve"> angepasst wurden.</w:t>
      </w:r>
      <w:r w:rsidR="00B20A4E" w:rsidRPr="00B20A4E">
        <w:rPr>
          <w:lang w:val="de-DE"/>
        </w:rPr>
        <w:t xml:space="preserve"> Viele Übergangsbestimmungen laufen mit der "Erneuerung de</w:t>
      </w:r>
      <w:r w:rsidR="00C06218">
        <w:rPr>
          <w:lang w:val="de-DE"/>
        </w:rPr>
        <w:t xml:space="preserve">s </w:t>
      </w:r>
      <w:r w:rsidR="00B20A4E" w:rsidRPr="00B20A4E">
        <w:rPr>
          <w:lang w:val="de-DE"/>
        </w:rPr>
        <w:t>Zulassungs</w:t>
      </w:r>
      <w:r w:rsidR="00C06218">
        <w:rPr>
          <w:lang w:val="de-DE"/>
        </w:rPr>
        <w:t>zeugnisses</w:t>
      </w:r>
      <w:r w:rsidR="00B20A4E" w:rsidRPr="00B20A4E">
        <w:rPr>
          <w:lang w:val="de-DE"/>
        </w:rPr>
        <w:t xml:space="preserve"> nach dem 31. Dezember 2034" aus.</w:t>
      </w:r>
    </w:p>
    <w:p w14:paraId="61F8009D" w14:textId="0A3B9D2C" w:rsidR="00C06218" w:rsidRPr="00C06218" w:rsidRDefault="00F128ED" w:rsidP="00F128ED">
      <w:pPr>
        <w:pStyle w:val="HChG"/>
        <w:rPr>
          <w:lang w:val="de-DE"/>
        </w:rPr>
      </w:pPr>
      <w:r>
        <w:rPr>
          <w:lang w:val="de-DE"/>
        </w:rPr>
        <w:tab/>
      </w:r>
      <w:r w:rsidR="00DD5BF0">
        <w:rPr>
          <w:lang w:val="de-DE"/>
        </w:rPr>
        <w:t>III</w:t>
      </w:r>
      <w:r w:rsidR="00C06218" w:rsidRPr="00C06218">
        <w:rPr>
          <w:lang w:val="de-DE"/>
        </w:rPr>
        <w:t>.</w:t>
      </w:r>
      <w:r>
        <w:rPr>
          <w:lang w:val="de-DE"/>
        </w:rPr>
        <w:tab/>
      </w:r>
      <w:r w:rsidR="00C06218" w:rsidRPr="00C06218">
        <w:rPr>
          <w:lang w:val="de-DE"/>
        </w:rPr>
        <w:t>Vorschlag</w:t>
      </w:r>
    </w:p>
    <w:p w14:paraId="6598F24A" w14:textId="72FA0B64" w:rsidR="00C06218" w:rsidRPr="00C06218" w:rsidRDefault="005E110D" w:rsidP="00F128ED">
      <w:pPr>
        <w:pStyle w:val="SingleTxtG"/>
        <w:rPr>
          <w:lang w:val="de-DE"/>
        </w:rPr>
      </w:pPr>
      <w:r>
        <w:rPr>
          <w:lang w:val="de-DE"/>
        </w:rPr>
        <w:t>14.</w:t>
      </w:r>
      <w:r>
        <w:rPr>
          <w:lang w:val="de-DE"/>
        </w:rPr>
        <w:tab/>
      </w:r>
      <w:r w:rsidR="00C06218" w:rsidRPr="00206EF5">
        <w:rPr>
          <w:lang w:val="de-DE"/>
        </w:rPr>
        <w:t xml:space="preserve">Der Ausschuss wird gebeten, eine Änderung der Anforderungen an die </w:t>
      </w:r>
      <w:r w:rsidR="00A11B45" w:rsidRPr="00206EF5">
        <w:rPr>
          <w:lang w:val="de-DE"/>
        </w:rPr>
        <w:t>in 1.2.1 ADN zitierte</w:t>
      </w:r>
      <w:r w:rsidR="00C06218" w:rsidRPr="00206EF5">
        <w:rPr>
          <w:lang w:val="de-DE"/>
        </w:rPr>
        <w:t xml:space="preserve"> Norm für das Gasspürgerät zu erörtern.</w:t>
      </w:r>
      <w:r w:rsidR="00C06218" w:rsidRPr="00C06218">
        <w:rPr>
          <w:lang w:val="de-DE"/>
        </w:rPr>
        <w:t xml:space="preserve"> </w:t>
      </w:r>
    </w:p>
    <w:p w14:paraId="178240FC" w14:textId="72EDFCD3" w:rsidR="003A5F7B" w:rsidRPr="00C06218" w:rsidRDefault="005E110D" w:rsidP="00F128ED">
      <w:pPr>
        <w:pStyle w:val="SingleTxtG"/>
        <w:rPr>
          <w:lang w:val="de-DE"/>
        </w:rPr>
      </w:pPr>
      <w:r>
        <w:rPr>
          <w:lang w:val="de-DE"/>
        </w:rPr>
        <w:t>15.</w:t>
      </w:r>
      <w:r>
        <w:rPr>
          <w:lang w:val="de-DE"/>
        </w:rPr>
        <w:tab/>
      </w:r>
      <w:r w:rsidR="00C06218" w:rsidRPr="00C06218">
        <w:rPr>
          <w:lang w:val="de-DE"/>
        </w:rPr>
        <w:t>Um unnötige Investitionen und die Entstehung von Abfall zu vermeiden, schl</w:t>
      </w:r>
      <w:r w:rsidR="00A11B45">
        <w:rPr>
          <w:lang w:val="de-DE"/>
        </w:rPr>
        <w:t>agen</w:t>
      </w:r>
      <w:r w:rsidR="00C06218" w:rsidRPr="00C06218">
        <w:rPr>
          <w:lang w:val="de-DE"/>
        </w:rPr>
        <w:t xml:space="preserve"> EBU/ESO vor, die Übergangsbestimmung des Absatzes 1.6.7.2.2.2 bezüglich der Definition des </w:t>
      </w:r>
      <w:r w:rsidR="00A11B45">
        <w:rPr>
          <w:lang w:val="de-DE"/>
        </w:rPr>
        <w:t>Gasspürgeräts</w:t>
      </w:r>
      <w:r w:rsidR="00C06218" w:rsidRPr="00C06218">
        <w:rPr>
          <w:lang w:val="de-DE"/>
        </w:rPr>
        <w:t xml:space="preserve"> wie folgt zu ändern</w:t>
      </w:r>
      <w:r w:rsidR="00A11B45">
        <w:rPr>
          <w:lang w:val="de-DE"/>
        </w:rPr>
        <w:t>:</w:t>
      </w:r>
    </w:p>
    <w:p w14:paraId="5B45F3AF" w14:textId="61166AA5" w:rsidR="003A5F7B" w:rsidRPr="005E110D" w:rsidRDefault="003A5F7B" w:rsidP="009A383A">
      <w:pPr>
        <w:spacing w:after="120" w:line="240" w:lineRule="auto"/>
        <w:rPr>
          <w:b/>
          <w:bCs/>
          <w:lang w:val="de-DE"/>
        </w:rPr>
      </w:pPr>
      <w:r w:rsidRPr="005E110D">
        <w:rPr>
          <w:b/>
          <w:bCs/>
          <w:lang w:val="de-DE"/>
        </w:rPr>
        <w:t>1.6.7.2.2.2 Tab</w:t>
      </w:r>
      <w:r w:rsidR="00A11B45" w:rsidRPr="005E110D">
        <w:rPr>
          <w:b/>
          <w:bCs/>
          <w:lang w:val="de-DE"/>
        </w:rPr>
        <w:t>elle der allgemeinen Übergangsvorschriften: Tankschiffe</w:t>
      </w:r>
    </w:p>
    <w:tbl>
      <w:tblPr>
        <w:tblStyle w:val="TableGrid"/>
        <w:tblW w:w="0" w:type="auto"/>
        <w:tblLook w:val="04A0" w:firstRow="1" w:lastRow="0" w:firstColumn="1" w:lastColumn="0" w:noHBand="0" w:noVBand="1"/>
      </w:tblPr>
      <w:tblGrid>
        <w:gridCol w:w="3020"/>
        <w:gridCol w:w="3021"/>
        <w:gridCol w:w="3021"/>
      </w:tblGrid>
      <w:tr w:rsidR="003A5F7B" w:rsidRPr="00BF6E31" w14:paraId="29B4A95D" w14:textId="77777777" w:rsidTr="001C719E">
        <w:tc>
          <w:tcPr>
            <w:tcW w:w="3020" w:type="dxa"/>
          </w:tcPr>
          <w:p w14:paraId="2C714E6B" w14:textId="359CDD77" w:rsidR="003A5F7B" w:rsidRPr="003D5255" w:rsidRDefault="003A5F7B" w:rsidP="001C719E">
            <w:pPr>
              <w:spacing w:line="240" w:lineRule="auto"/>
            </w:pPr>
            <w:r>
              <w:t xml:space="preserve">1.2.1 </w:t>
            </w:r>
            <w:proofErr w:type="spellStart"/>
            <w:r w:rsidRPr="003D5255">
              <w:t>Gas</w:t>
            </w:r>
            <w:r w:rsidR="00A11B45">
              <w:t>spürgerät</w:t>
            </w:r>
            <w:proofErr w:type="spellEnd"/>
          </w:p>
          <w:p w14:paraId="11DA1A38" w14:textId="77777777" w:rsidR="003A5F7B" w:rsidRDefault="003A5F7B" w:rsidP="001C719E">
            <w:pPr>
              <w:spacing w:line="240" w:lineRule="auto"/>
            </w:pPr>
            <w:r>
              <w:t xml:space="preserve"> </w:t>
            </w:r>
          </w:p>
        </w:tc>
        <w:tc>
          <w:tcPr>
            <w:tcW w:w="3021" w:type="dxa"/>
          </w:tcPr>
          <w:p w14:paraId="772C846C" w14:textId="75438729" w:rsidR="003A5F7B" w:rsidRPr="003D5255" w:rsidRDefault="00A11B45" w:rsidP="001C719E">
            <w:pPr>
              <w:spacing w:line="240" w:lineRule="auto"/>
            </w:pPr>
            <w:proofErr w:type="spellStart"/>
            <w:r>
              <w:t>Prüfung</w:t>
            </w:r>
            <w:proofErr w:type="spellEnd"/>
            <w:r>
              <w:t xml:space="preserve"> </w:t>
            </w:r>
            <w:proofErr w:type="spellStart"/>
            <w:r>
              <w:t>nach</w:t>
            </w:r>
            <w:proofErr w:type="spellEnd"/>
            <w:r>
              <w:t xml:space="preserve"> der Norm</w:t>
            </w:r>
          </w:p>
          <w:p w14:paraId="01E11847" w14:textId="77777777" w:rsidR="003A5F7B" w:rsidRPr="003D5255" w:rsidRDefault="003A5F7B" w:rsidP="001C719E">
            <w:pPr>
              <w:spacing w:line="240" w:lineRule="auto"/>
            </w:pPr>
            <w:r w:rsidRPr="003D5255">
              <w:t>IEC 60079-29-1:2016</w:t>
            </w:r>
          </w:p>
        </w:tc>
        <w:tc>
          <w:tcPr>
            <w:tcW w:w="3021" w:type="dxa"/>
          </w:tcPr>
          <w:p w14:paraId="336D04C8" w14:textId="182CD01E" w:rsidR="003A5F7B" w:rsidRPr="00131584" w:rsidRDefault="003A5F7B" w:rsidP="001C719E">
            <w:pPr>
              <w:spacing w:line="240" w:lineRule="auto"/>
            </w:pPr>
            <w:r w:rsidRPr="00131584">
              <w:t>N.</w:t>
            </w:r>
            <w:r w:rsidR="00A11B45">
              <w:t>E</w:t>
            </w:r>
            <w:r w:rsidRPr="00131584">
              <w:t>.</w:t>
            </w:r>
            <w:r w:rsidR="00A11B45">
              <w:t>U</w:t>
            </w:r>
            <w:r w:rsidRPr="00131584">
              <w:t xml:space="preserve">. </w:t>
            </w:r>
            <w:proofErr w:type="spellStart"/>
            <w:r w:rsidR="00A11B45">
              <w:t>ab</w:t>
            </w:r>
            <w:proofErr w:type="spellEnd"/>
            <w:r w:rsidR="00A11B45">
              <w:t xml:space="preserve"> </w:t>
            </w:r>
            <w:r w:rsidRPr="00131584">
              <w:t>1</w:t>
            </w:r>
            <w:r w:rsidR="00A11B45">
              <w:t>.</w:t>
            </w:r>
            <w:r w:rsidRPr="00131584">
              <w:t xml:space="preserve"> </w:t>
            </w:r>
            <w:proofErr w:type="spellStart"/>
            <w:r w:rsidRPr="00131584">
              <w:t>Janu</w:t>
            </w:r>
            <w:r w:rsidR="00A11B45">
              <w:t>ar</w:t>
            </w:r>
            <w:proofErr w:type="spellEnd"/>
            <w:r w:rsidR="00A11B45">
              <w:t xml:space="preserve"> </w:t>
            </w:r>
            <w:r w:rsidRPr="00131584">
              <w:t>2019</w:t>
            </w:r>
          </w:p>
          <w:p w14:paraId="785D2DD8" w14:textId="576C254E" w:rsidR="003A5F7B" w:rsidRPr="00240AD3" w:rsidRDefault="00A11B45" w:rsidP="001C719E">
            <w:pPr>
              <w:spacing w:line="240" w:lineRule="auto"/>
              <w:rPr>
                <w:strike/>
              </w:rPr>
            </w:pPr>
            <w:proofErr w:type="spellStart"/>
            <w:r w:rsidRPr="001360CF">
              <w:rPr>
                <w:strike/>
              </w:rPr>
              <w:t>Erneuerung</w:t>
            </w:r>
            <w:proofErr w:type="spellEnd"/>
            <w:r w:rsidRPr="001360CF">
              <w:rPr>
                <w:strike/>
              </w:rPr>
              <w:t xml:space="preserve"> des </w:t>
            </w:r>
            <w:proofErr w:type="spellStart"/>
            <w:r w:rsidRPr="001360CF">
              <w:rPr>
                <w:strike/>
              </w:rPr>
              <w:t>Zulassungszeugnisses</w:t>
            </w:r>
            <w:proofErr w:type="spellEnd"/>
            <w:r w:rsidRPr="001360CF">
              <w:rPr>
                <w:strike/>
              </w:rPr>
              <w:t xml:space="preserve"> </w:t>
            </w:r>
            <w:proofErr w:type="spellStart"/>
            <w:r w:rsidRPr="001360CF">
              <w:rPr>
                <w:strike/>
              </w:rPr>
              <w:t>nach</w:t>
            </w:r>
            <w:proofErr w:type="spellEnd"/>
            <w:r w:rsidRPr="001360CF">
              <w:rPr>
                <w:strike/>
              </w:rPr>
              <w:t xml:space="preserve"> </w:t>
            </w:r>
            <w:proofErr w:type="spellStart"/>
            <w:r w:rsidRPr="001360CF">
              <w:rPr>
                <w:strike/>
              </w:rPr>
              <w:t>dem</w:t>
            </w:r>
            <w:proofErr w:type="spellEnd"/>
            <w:r w:rsidRPr="001360CF">
              <w:rPr>
                <w:strike/>
              </w:rPr>
              <w:t xml:space="preserve"> 31. </w:t>
            </w:r>
            <w:proofErr w:type="spellStart"/>
            <w:r w:rsidRPr="001360CF">
              <w:rPr>
                <w:strike/>
              </w:rPr>
              <w:t>Dezember</w:t>
            </w:r>
            <w:proofErr w:type="spellEnd"/>
            <w:r w:rsidRPr="001360CF">
              <w:rPr>
                <w:strike/>
              </w:rPr>
              <w:t xml:space="preserve"> 2020</w:t>
            </w:r>
            <w:r w:rsidR="001360CF">
              <w:t xml:space="preserve"> </w:t>
            </w:r>
            <w:proofErr w:type="spellStart"/>
            <w:r w:rsidR="007D302A" w:rsidRPr="007D302A">
              <w:rPr>
                <w:b/>
                <w:bCs/>
                <w:u w:val="single"/>
              </w:rPr>
              <w:t>Nach</w:t>
            </w:r>
            <w:proofErr w:type="spellEnd"/>
            <w:r w:rsidR="007D302A" w:rsidRPr="007D302A">
              <w:rPr>
                <w:b/>
                <w:bCs/>
                <w:u w:val="single"/>
              </w:rPr>
              <w:t xml:space="preserve"> </w:t>
            </w:r>
            <w:r w:rsidR="001360CF" w:rsidRPr="001360CF">
              <w:rPr>
                <w:b/>
                <w:bCs/>
                <w:u w:val="single"/>
              </w:rPr>
              <w:t>Ersatz</w:t>
            </w:r>
            <w:r w:rsidR="001360CF">
              <w:rPr>
                <w:b/>
                <w:bCs/>
                <w:u w:val="single"/>
              </w:rPr>
              <w:t xml:space="preserve"> </w:t>
            </w:r>
            <w:proofErr w:type="spellStart"/>
            <w:r w:rsidR="001360CF">
              <w:rPr>
                <w:b/>
                <w:bCs/>
                <w:u w:val="single"/>
              </w:rPr>
              <w:t>am</w:t>
            </w:r>
            <w:proofErr w:type="spellEnd"/>
            <w:r w:rsidR="001360CF">
              <w:rPr>
                <w:b/>
                <w:bCs/>
                <w:u w:val="single"/>
              </w:rPr>
              <w:t xml:space="preserve"> Ende der </w:t>
            </w:r>
            <w:proofErr w:type="spellStart"/>
            <w:r w:rsidR="001360CF">
              <w:rPr>
                <w:b/>
                <w:bCs/>
                <w:u w:val="single"/>
              </w:rPr>
              <w:t>technischen</w:t>
            </w:r>
            <w:proofErr w:type="spellEnd"/>
            <w:r w:rsidR="001360CF">
              <w:rPr>
                <w:b/>
                <w:bCs/>
                <w:u w:val="single"/>
              </w:rPr>
              <w:t xml:space="preserve"> </w:t>
            </w:r>
            <w:proofErr w:type="spellStart"/>
            <w:r w:rsidR="001360CF">
              <w:rPr>
                <w:b/>
                <w:bCs/>
                <w:u w:val="single"/>
              </w:rPr>
              <w:t>Lebensdauer</w:t>
            </w:r>
            <w:proofErr w:type="spellEnd"/>
            <w:r w:rsidR="001360CF">
              <w:rPr>
                <w:b/>
                <w:bCs/>
                <w:u w:val="single"/>
              </w:rPr>
              <w:t xml:space="preserve"> </w:t>
            </w:r>
          </w:p>
        </w:tc>
      </w:tr>
    </w:tbl>
    <w:p w14:paraId="53075B3B" w14:textId="5CF0FDD6" w:rsidR="003A5F7B" w:rsidRPr="009A383A" w:rsidRDefault="003A5F7B" w:rsidP="009A383A">
      <w:pPr>
        <w:spacing w:before="120" w:after="120" w:line="240" w:lineRule="auto"/>
      </w:pPr>
      <w:r w:rsidRPr="009A383A">
        <w:t>O</w:t>
      </w:r>
      <w:r w:rsidR="001360CF" w:rsidRPr="009A383A">
        <w:t>der</w:t>
      </w:r>
      <w:r w:rsidRPr="009A383A">
        <w:t>:</w:t>
      </w:r>
    </w:p>
    <w:tbl>
      <w:tblPr>
        <w:tblStyle w:val="TableGrid"/>
        <w:tblW w:w="0" w:type="auto"/>
        <w:tblLook w:val="04A0" w:firstRow="1" w:lastRow="0" w:firstColumn="1" w:lastColumn="0" w:noHBand="0" w:noVBand="1"/>
      </w:tblPr>
      <w:tblGrid>
        <w:gridCol w:w="3020"/>
        <w:gridCol w:w="3021"/>
        <w:gridCol w:w="3021"/>
      </w:tblGrid>
      <w:tr w:rsidR="003A5F7B" w:rsidRPr="001360CF" w14:paraId="08100D44" w14:textId="77777777" w:rsidTr="001C719E">
        <w:tc>
          <w:tcPr>
            <w:tcW w:w="3020" w:type="dxa"/>
          </w:tcPr>
          <w:p w14:paraId="3B955A8B" w14:textId="6BA7A195" w:rsidR="003A5F7B" w:rsidRPr="003D5255" w:rsidRDefault="003A5F7B" w:rsidP="001C719E">
            <w:pPr>
              <w:spacing w:line="240" w:lineRule="auto"/>
            </w:pPr>
            <w:r>
              <w:t xml:space="preserve">1.2.1 </w:t>
            </w:r>
            <w:proofErr w:type="spellStart"/>
            <w:r w:rsidRPr="003D5255">
              <w:t>Gas</w:t>
            </w:r>
            <w:r w:rsidR="001360CF">
              <w:t>spürgerät</w:t>
            </w:r>
            <w:proofErr w:type="spellEnd"/>
          </w:p>
          <w:p w14:paraId="6BBF4E33" w14:textId="77777777" w:rsidR="003A5F7B" w:rsidRDefault="003A5F7B" w:rsidP="001C719E">
            <w:pPr>
              <w:spacing w:line="240" w:lineRule="auto"/>
            </w:pPr>
            <w:r>
              <w:t xml:space="preserve"> </w:t>
            </w:r>
          </w:p>
        </w:tc>
        <w:tc>
          <w:tcPr>
            <w:tcW w:w="3021" w:type="dxa"/>
          </w:tcPr>
          <w:p w14:paraId="2527F436" w14:textId="58FBDB3E" w:rsidR="003A5F7B" w:rsidRPr="003D5255" w:rsidRDefault="001360CF" w:rsidP="001C719E">
            <w:pPr>
              <w:spacing w:line="240" w:lineRule="auto"/>
            </w:pPr>
            <w:proofErr w:type="spellStart"/>
            <w:r>
              <w:t>Prüfung</w:t>
            </w:r>
            <w:proofErr w:type="spellEnd"/>
            <w:r>
              <w:t xml:space="preserve"> </w:t>
            </w:r>
            <w:proofErr w:type="spellStart"/>
            <w:r>
              <w:t>nach</w:t>
            </w:r>
            <w:proofErr w:type="spellEnd"/>
            <w:r>
              <w:t xml:space="preserve"> der Norm</w:t>
            </w:r>
          </w:p>
          <w:p w14:paraId="08D094DC" w14:textId="77777777" w:rsidR="003A5F7B" w:rsidRPr="003D5255" w:rsidRDefault="003A5F7B" w:rsidP="001C719E">
            <w:pPr>
              <w:spacing w:line="240" w:lineRule="auto"/>
            </w:pPr>
            <w:r w:rsidRPr="003D5255">
              <w:t>IEC 60079-29-1:2016</w:t>
            </w:r>
          </w:p>
        </w:tc>
        <w:tc>
          <w:tcPr>
            <w:tcW w:w="3021" w:type="dxa"/>
          </w:tcPr>
          <w:p w14:paraId="44EB7C36" w14:textId="489B6E65" w:rsidR="003A5F7B" w:rsidRPr="00131584" w:rsidRDefault="003A5F7B" w:rsidP="001C719E">
            <w:pPr>
              <w:spacing w:line="240" w:lineRule="auto"/>
            </w:pPr>
            <w:r w:rsidRPr="00131584">
              <w:t>N.</w:t>
            </w:r>
            <w:r w:rsidR="001360CF">
              <w:t>E</w:t>
            </w:r>
            <w:r w:rsidRPr="00131584">
              <w:t>.</w:t>
            </w:r>
            <w:r w:rsidR="001360CF">
              <w:t>U</w:t>
            </w:r>
            <w:r w:rsidRPr="00131584">
              <w:t xml:space="preserve">. </w:t>
            </w:r>
            <w:proofErr w:type="spellStart"/>
            <w:r w:rsidR="001360CF">
              <w:t>ab</w:t>
            </w:r>
            <w:proofErr w:type="spellEnd"/>
            <w:r w:rsidRPr="00131584">
              <w:t xml:space="preserve"> 1</w:t>
            </w:r>
            <w:r w:rsidR="001360CF">
              <w:t>.</w:t>
            </w:r>
            <w:r w:rsidRPr="00131584">
              <w:t xml:space="preserve"> </w:t>
            </w:r>
            <w:proofErr w:type="spellStart"/>
            <w:r w:rsidRPr="00131584">
              <w:t>Januar</w:t>
            </w:r>
            <w:proofErr w:type="spellEnd"/>
            <w:r w:rsidRPr="00131584">
              <w:t xml:space="preserve"> 2019</w:t>
            </w:r>
          </w:p>
          <w:p w14:paraId="1908F79D" w14:textId="46606E98" w:rsidR="003A5F7B" w:rsidRPr="00131584" w:rsidRDefault="001360CF" w:rsidP="001C719E">
            <w:pPr>
              <w:spacing w:line="240" w:lineRule="auto"/>
            </w:pPr>
            <w:proofErr w:type="spellStart"/>
            <w:r>
              <w:t>Erneuerung</w:t>
            </w:r>
            <w:proofErr w:type="spellEnd"/>
            <w:r>
              <w:t xml:space="preserve"> des </w:t>
            </w:r>
            <w:proofErr w:type="spellStart"/>
            <w:r>
              <w:t>Zulassungszeugnisses</w:t>
            </w:r>
            <w:proofErr w:type="spellEnd"/>
            <w:r>
              <w:t xml:space="preserve"> </w:t>
            </w:r>
            <w:proofErr w:type="spellStart"/>
            <w:r>
              <w:t>nach</w:t>
            </w:r>
            <w:proofErr w:type="spellEnd"/>
            <w:r>
              <w:t xml:space="preserve"> </w:t>
            </w:r>
            <w:proofErr w:type="spellStart"/>
            <w:r>
              <w:t>dem</w:t>
            </w:r>
            <w:proofErr w:type="spellEnd"/>
            <w:r>
              <w:t xml:space="preserve"> </w:t>
            </w:r>
            <w:r w:rsidR="003A5F7B" w:rsidRPr="00131584">
              <w:t>31</w:t>
            </w:r>
            <w:r>
              <w:t>.</w:t>
            </w:r>
            <w:r w:rsidR="003A5F7B" w:rsidRPr="00131584">
              <w:t xml:space="preserve"> </w:t>
            </w:r>
            <w:proofErr w:type="spellStart"/>
            <w:r w:rsidR="003A5F7B" w:rsidRPr="00131584">
              <w:t>De</w:t>
            </w:r>
            <w:r>
              <w:t>z</w:t>
            </w:r>
            <w:r w:rsidR="003A5F7B" w:rsidRPr="00131584">
              <w:t>ember</w:t>
            </w:r>
            <w:proofErr w:type="spellEnd"/>
            <w:r w:rsidR="003A5F7B" w:rsidRPr="00240AD3">
              <w:rPr>
                <w:strike/>
              </w:rPr>
              <w:t xml:space="preserve"> 2020</w:t>
            </w:r>
            <w:r w:rsidR="003A5F7B">
              <w:rPr>
                <w:strike/>
              </w:rPr>
              <w:t xml:space="preserve"> </w:t>
            </w:r>
            <w:r w:rsidR="003A5F7B" w:rsidRPr="00520463">
              <w:rPr>
                <w:b/>
                <w:bCs/>
                <w:u w:val="single"/>
              </w:rPr>
              <w:t>2034</w:t>
            </w:r>
          </w:p>
        </w:tc>
      </w:tr>
    </w:tbl>
    <w:p w14:paraId="1033E35D" w14:textId="335055AF" w:rsidR="003A5F7B" w:rsidRPr="00EC7789" w:rsidRDefault="00407353" w:rsidP="00EC7789">
      <w:pPr>
        <w:pStyle w:val="SingleTxtG"/>
        <w:spacing w:before="120"/>
        <w:rPr>
          <w:b/>
          <w:bCs/>
          <w:lang w:val="en-US"/>
        </w:rPr>
      </w:pPr>
      <w:proofErr w:type="spellStart"/>
      <w:r w:rsidRPr="00EC7789">
        <w:rPr>
          <w:b/>
          <w:bCs/>
        </w:rPr>
        <w:t>Be</w:t>
      </w:r>
      <w:r w:rsidR="00206EF5" w:rsidRPr="00EC7789">
        <w:rPr>
          <w:b/>
          <w:bCs/>
        </w:rPr>
        <w:t>igefügtes</w:t>
      </w:r>
      <w:proofErr w:type="spellEnd"/>
      <w:r w:rsidRPr="00EC7789">
        <w:rPr>
          <w:b/>
          <w:bCs/>
        </w:rPr>
        <w:t xml:space="preserve"> </w:t>
      </w:r>
      <w:proofErr w:type="spellStart"/>
      <w:r w:rsidRPr="00EC7789">
        <w:rPr>
          <w:b/>
          <w:bCs/>
        </w:rPr>
        <w:t>Dok</w:t>
      </w:r>
      <w:r w:rsidR="003A5F7B" w:rsidRPr="00EC7789">
        <w:rPr>
          <w:b/>
          <w:bCs/>
        </w:rPr>
        <w:t>ument</w:t>
      </w:r>
      <w:proofErr w:type="spellEnd"/>
      <w:r w:rsidR="003A5F7B" w:rsidRPr="00EC7789">
        <w:rPr>
          <w:b/>
          <w:bCs/>
        </w:rPr>
        <w:t>:</w:t>
      </w:r>
      <w:r w:rsidR="003A5F7B" w:rsidRPr="00EC7789">
        <w:rPr>
          <w:b/>
          <w:bCs/>
          <w:lang w:val="en-US"/>
        </w:rPr>
        <w:t xml:space="preserve"> </w:t>
      </w:r>
    </w:p>
    <w:p w14:paraId="31A62068" w14:textId="21ABA8BB" w:rsidR="003A5F7B" w:rsidRPr="00206EF5" w:rsidRDefault="003A5F7B" w:rsidP="00EC7789">
      <w:pPr>
        <w:pStyle w:val="SingleTxtG"/>
        <w:rPr>
          <w:lang w:val="de-DE"/>
        </w:rPr>
      </w:pPr>
      <w:r w:rsidRPr="00206EF5">
        <w:rPr>
          <w:lang w:val="de-DE"/>
        </w:rPr>
        <w:t xml:space="preserve">EN 60079-29-1 Unterschiede zum IEC-e.pdf, </w:t>
      </w:r>
      <w:r w:rsidR="00206EF5" w:rsidRPr="00206EF5">
        <w:rPr>
          <w:lang w:val="de-DE"/>
        </w:rPr>
        <w:t>zur Verfügung gestellt</w:t>
      </w:r>
      <w:r w:rsidR="00206EF5">
        <w:rPr>
          <w:lang w:val="de-DE"/>
        </w:rPr>
        <w:t xml:space="preserve"> von</w:t>
      </w:r>
      <w:r w:rsidRPr="00206EF5">
        <w:rPr>
          <w:lang w:val="de-DE"/>
        </w:rPr>
        <w:t xml:space="preserve"> </w:t>
      </w:r>
      <w:proofErr w:type="spellStart"/>
      <w:proofErr w:type="gramStart"/>
      <w:r w:rsidRPr="00206EF5">
        <w:rPr>
          <w:lang w:val="de-DE"/>
        </w:rPr>
        <w:t>Cenelec</w:t>
      </w:r>
      <w:proofErr w:type="spellEnd"/>
      <w:r w:rsidR="00206EF5">
        <w:rPr>
          <w:lang w:val="de-DE"/>
        </w:rPr>
        <w:t xml:space="preserve"> </w:t>
      </w:r>
      <w:r w:rsidRPr="00206EF5">
        <w:rPr>
          <w:lang w:val="de-DE"/>
        </w:rPr>
        <w:t xml:space="preserve"> </w:t>
      </w:r>
      <w:r w:rsidR="00206EF5">
        <w:rPr>
          <w:lang w:val="de-DE"/>
        </w:rPr>
        <w:t>(</w:t>
      </w:r>
      <w:proofErr w:type="gramEnd"/>
      <w:r w:rsidRPr="00206EF5">
        <w:rPr>
          <w:lang w:val="de-DE"/>
        </w:rPr>
        <w:t xml:space="preserve">European Committee for </w:t>
      </w:r>
      <w:proofErr w:type="spellStart"/>
      <w:r w:rsidRPr="00206EF5">
        <w:rPr>
          <w:lang w:val="de-DE"/>
        </w:rPr>
        <w:t>Electrotechnical</w:t>
      </w:r>
      <w:proofErr w:type="spellEnd"/>
      <w:r w:rsidRPr="00206EF5">
        <w:rPr>
          <w:lang w:val="de-DE"/>
        </w:rPr>
        <w:t xml:space="preserve"> </w:t>
      </w:r>
      <w:proofErr w:type="spellStart"/>
      <w:r w:rsidRPr="00206EF5">
        <w:rPr>
          <w:lang w:val="de-DE"/>
        </w:rPr>
        <w:t>Standardization</w:t>
      </w:r>
      <w:proofErr w:type="spellEnd"/>
      <w:r w:rsidR="00206EF5">
        <w:rPr>
          <w:lang w:val="de-DE"/>
        </w:rPr>
        <w:t>)</w:t>
      </w:r>
      <w:r w:rsidR="00BF6E31" w:rsidRPr="00206EF5">
        <w:rPr>
          <w:lang w:val="de-DE"/>
        </w:rPr>
        <w:t xml:space="preserve">. </w:t>
      </w:r>
    </w:p>
    <w:p w14:paraId="21193233" w14:textId="4D42F483" w:rsidR="00D732C0" w:rsidRPr="000C51A4" w:rsidRDefault="000C51A4" w:rsidP="000C51A4">
      <w:pPr>
        <w:spacing w:before="240"/>
        <w:jc w:val="center"/>
        <w:rPr>
          <w:u w:val="single"/>
          <w:lang w:val="de-DE"/>
        </w:rPr>
      </w:pPr>
      <w:r>
        <w:rPr>
          <w:u w:val="single"/>
          <w:lang w:val="de-DE"/>
        </w:rPr>
        <w:tab/>
      </w:r>
      <w:r>
        <w:rPr>
          <w:u w:val="single"/>
          <w:lang w:val="de-DE"/>
        </w:rPr>
        <w:tab/>
      </w:r>
      <w:r>
        <w:rPr>
          <w:u w:val="single"/>
          <w:lang w:val="de-DE"/>
        </w:rPr>
        <w:tab/>
      </w:r>
    </w:p>
    <w:sectPr w:rsidR="00D732C0" w:rsidRPr="000C51A4" w:rsidSect="008271B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00BF" w14:textId="77777777" w:rsidR="00F97578" w:rsidRDefault="00F97578" w:rsidP="0085241A">
      <w:pPr>
        <w:spacing w:line="240" w:lineRule="auto"/>
      </w:pPr>
      <w:r>
        <w:separator/>
      </w:r>
    </w:p>
  </w:endnote>
  <w:endnote w:type="continuationSeparator" w:id="0">
    <w:p w14:paraId="69977ABB" w14:textId="77777777" w:rsidR="00F97578" w:rsidRDefault="00F97578" w:rsidP="00852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37FE" w14:textId="77777777" w:rsidR="00F97578" w:rsidRDefault="00F97578" w:rsidP="0085241A">
      <w:pPr>
        <w:spacing w:line="240" w:lineRule="auto"/>
      </w:pPr>
      <w:r>
        <w:separator/>
      </w:r>
    </w:p>
  </w:footnote>
  <w:footnote w:type="continuationSeparator" w:id="0">
    <w:p w14:paraId="0E63C1C0" w14:textId="77777777" w:rsidR="00F97578" w:rsidRDefault="00F97578" w:rsidP="008524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EA3"/>
    <w:multiLevelType w:val="hybridMultilevel"/>
    <w:tmpl w:val="D6ECD968"/>
    <w:lvl w:ilvl="0" w:tplc="EF124D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444"/>
    <w:multiLevelType w:val="hybridMultilevel"/>
    <w:tmpl w:val="F910A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D52DF"/>
    <w:multiLevelType w:val="hybridMultilevel"/>
    <w:tmpl w:val="F846608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16DD1"/>
    <w:multiLevelType w:val="hybridMultilevel"/>
    <w:tmpl w:val="525C0330"/>
    <w:lvl w:ilvl="0" w:tplc="A26A37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DD6352E"/>
    <w:multiLevelType w:val="hybridMultilevel"/>
    <w:tmpl w:val="D35E477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6317E"/>
    <w:multiLevelType w:val="hybridMultilevel"/>
    <w:tmpl w:val="DCE6118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03D42"/>
    <w:multiLevelType w:val="hybridMultilevel"/>
    <w:tmpl w:val="F5F6A95E"/>
    <w:lvl w:ilvl="0" w:tplc="A01E22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27CF6"/>
    <w:multiLevelType w:val="hybridMultilevel"/>
    <w:tmpl w:val="7F8E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C6FB4"/>
    <w:multiLevelType w:val="hybridMultilevel"/>
    <w:tmpl w:val="1ED8B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0E4790"/>
    <w:multiLevelType w:val="hybridMultilevel"/>
    <w:tmpl w:val="BAE693AE"/>
    <w:lvl w:ilvl="0" w:tplc="A2A87076">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3"/>
  </w:num>
  <w:num w:numId="5">
    <w:abstractNumId w:val="6"/>
  </w:num>
  <w:num w:numId="6">
    <w:abstractNumId w:val="7"/>
  </w:num>
  <w:num w:numId="7">
    <w:abstractNumId w:val="5"/>
  </w:num>
  <w:num w:numId="8">
    <w:abstractNumId w:val="0"/>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7B"/>
    <w:rsid w:val="000431A9"/>
    <w:rsid w:val="00051721"/>
    <w:rsid w:val="00095662"/>
    <w:rsid w:val="000C51A4"/>
    <w:rsid w:val="000E0C88"/>
    <w:rsid w:val="00101DB9"/>
    <w:rsid w:val="00107A8A"/>
    <w:rsid w:val="001360CF"/>
    <w:rsid w:val="001D0540"/>
    <w:rsid w:val="00206EF5"/>
    <w:rsid w:val="002F4763"/>
    <w:rsid w:val="003215FA"/>
    <w:rsid w:val="00354E65"/>
    <w:rsid w:val="003A1E92"/>
    <w:rsid w:val="003A5F7B"/>
    <w:rsid w:val="003B2156"/>
    <w:rsid w:val="003D29DA"/>
    <w:rsid w:val="003D3FB3"/>
    <w:rsid w:val="003D41EB"/>
    <w:rsid w:val="00407353"/>
    <w:rsid w:val="004F018B"/>
    <w:rsid w:val="005213C3"/>
    <w:rsid w:val="00562347"/>
    <w:rsid w:val="00565395"/>
    <w:rsid w:val="005E0DC3"/>
    <w:rsid w:val="005E110D"/>
    <w:rsid w:val="00630DE2"/>
    <w:rsid w:val="006A5C1B"/>
    <w:rsid w:val="006D136B"/>
    <w:rsid w:val="00790C42"/>
    <w:rsid w:val="007D302A"/>
    <w:rsid w:val="007D54A9"/>
    <w:rsid w:val="008271B4"/>
    <w:rsid w:val="00827525"/>
    <w:rsid w:val="0085241A"/>
    <w:rsid w:val="00921DF2"/>
    <w:rsid w:val="009444BB"/>
    <w:rsid w:val="009A383A"/>
    <w:rsid w:val="009C14C5"/>
    <w:rsid w:val="009D6F5B"/>
    <w:rsid w:val="009E0145"/>
    <w:rsid w:val="009E190A"/>
    <w:rsid w:val="00A11B45"/>
    <w:rsid w:val="00A17C0C"/>
    <w:rsid w:val="00AB1FFC"/>
    <w:rsid w:val="00AC42C1"/>
    <w:rsid w:val="00AC78DC"/>
    <w:rsid w:val="00AF5C1E"/>
    <w:rsid w:val="00B04E7C"/>
    <w:rsid w:val="00B20A4E"/>
    <w:rsid w:val="00B83B5D"/>
    <w:rsid w:val="00B87C77"/>
    <w:rsid w:val="00BF6E31"/>
    <w:rsid w:val="00C06218"/>
    <w:rsid w:val="00C35548"/>
    <w:rsid w:val="00C670D5"/>
    <w:rsid w:val="00CC1850"/>
    <w:rsid w:val="00D07759"/>
    <w:rsid w:val="00D55291"/>
    <w:rsid w:val="00D732C0"/>
    <w:rsid w:val="00DD5BF0"/>
    <w:rsid w:val="00DE1B41"/>
    <w:rsid w:val="00DF0506"/>
    <w:rsid w:val="00E90132"/>
    <w:rsid w:val="00EC5DD6"/>
    <w:rsid w:val="00EC7789"/>
    <w:rsid w:val="00ED76DA"/>
    <w:rsid w:val="00EF0DD0"/>
    <w:rsid w:val="00F063CC"/>
    <w:rsid w:val="00F128ED"/>
    <w:rsid w:val="00F50BE9"/>
    <w:rsid w:val="00F646F6"/>
    <w:rsid w:val="00F8606D"/>
    <w:rsid w:val="00F97578"/>
    <w:rsid w:val="00FA4C30"/>
    <w:rsid w:val="00FE6F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F0D25AD"/>
  <w15:chartTrackingRefBased/>
  <w15:docId w15:val="{51BE2275-F4E0-447A-90A8-1302623C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7B"/>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3A5F7B"/>
    <w:pPr>
      <w:keepNext/>
      <w:keepLines/>
      <w:tabs>
        <w:tab w:val="right" w:pos="851"/>
      </w:tabs>
      <w:spacing w:before="360" w:after="240" w:line="300" w:lineRule="exact"/>
      <w:ind w:left="1134" w:right="1134" w:hanging="1134"/>
    </w:pPr>
    <w:rPr>
      <w:b/>
      <w:sz w:val="28"/>
    </w:rPr>
  </w:style>
  <w:style w:type="table" w:styleId="TableGrid">
    <w:name w:val="Table Grid"/>
    <w:basedOn w:val="TableNormal"/>
    <w:uiPriority w:val="39"/>
    <w:rsid w:val="003A5F7B"/>
    <w:pPr>
      <w:suppressAutoHyphens/>
      <w:spacing w:after="0" w:line="24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3A5F7B"/>
    <w:pPr>
      <w:ind w:left="720"/>
      <w:contextualSpacing/>
    </w:pPr>
  </w:style>
  <w:style w:type="paragraph" w:styleId="Header">
    <w:name w:val="header"/>
    <w:basedOn w:val="Normal"/>
    <w:link w:val="HeaderChar"/>
    <w:uiPriority w:val="99"/>
    <w:unhideWhenUsed/>
    <w:rsid w:val="0085241A"/>
    <w:pPr>
      <w:tabs>
        <w:tab w:val="center" w:pos="4513"/>
        <w:tab w:val="right" w:pos="9026"/>
      </w:tabs>
      <w:spacing w:line="240" w:lineRule="auto"/>
    </w:pPr>
  </w:style>
  <w:style w:type="character" w:customStyle="1" w:styleId="HeaderChar">
    <w:name w:val="Header Char"/>
    <w:basedOn w:val="DefaultParagraphFont"/>
    <w:link w:val="Header"/>
    <w:uiPriority w:val="99"/>
    <w:rsid w:val="008524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241A"/>
    <w:pPr>
      <w:tabs>
        <w:tab w:val="center" w:pos="4513"/>
        <w:tab w:val="right" w:pos="9026"/>
      </w:tabs>
      <w:spacing w:line="240" w:lineRule="auto"/>
    </w:pPr>
  </w:style>
  <w:style w:type="character" w:customStyle="1" w:styleId="FooterChar">
    <w:name w:val="Footer Char"/>
    <w:basedOn w:val="DefaultParagraphFont"/>
    <w:link w:val="Footer"/>
    <w:uiPriority w:val="99"/>
    <w:rsid w:val="0085241A"/>
    <w:rPr>
      <w:rFonts w:ascii="Times New Roman" w:eastAsia="Times New Roman" w:hAnsi="Times New Roman" w:cs="Times New Roman"/>
      <w:sz w:val="20"/>
      <w:szCs w:val="20"/>
    </w:rPr>
  </w:style>
  <w:style w:type="character" w:customStyle="1" w:styleId="q4iawc">
    <w:name w:val="q4iawc"/>
    <w:basedOn w:val="DefaultParagraphFont"/>
    <w:rsid w:val="001D0540"/>
  </w:style>
  <w:style w:type="character" w:customStyle="1" w:styleId="HChGChar">
    <w:name w:val="_ H _Ch_G Char"/>
    <w:link w:val="HChG"/>
    <w:rsid w:val="000E0C88"/>
    <w:rPr>
      <w:rFonts w:ascii="Times New Roman" w:eastAsia="Times New Roman" w:hAnsi="Times New Roman" w:cs="Times New Roman"/>
      <w:b/>
      <w:sz w:val="28"/>
      <w:szCs w:val="20"/>
    </w:rPr>
  </w:style>
  <w:style w:type="paragraph" w:customStyle="1" w:styleId="SingleTxtG">
    <w:name w:val="_ Single Txt_G"/>
    <w:basedOn w:val="Normal"/>
    <w:link w:val="SingleTxtGChar"/>
    <w:rsid w:val="005213C3"/>
    <w:pPr>
      <w:spacing w:after="120"/>
      <w:ind w:left="1134" w:right="1134"/>
      <w:jc w:val="both"/>
    </w:pPr>
  </w:style>
  <w:style w:type="character" w:customStyle="1" w:styleId="SingleTxtGChar">
    <w:name w:val="_ Single Txt_G Char"/>
    <w:link w:val="SingleTxtG"/>
    <w:rsid w:val="005213C3"/>
    <w:rPr>
      <w:rFonts w:ascii="Times New Roman" w:eastAsia="Times New Roman" w:hAnsi="Times New Roman" w:cs="Times New Roman"/>
      <w:sz w:val="20"/>
      <w:szCs w:val="20"/>
    </w:rPr>
  </w:style>
  <w:style w:type="paragraph" w:customStyle="1" w:styleId="Bullet1G">
    <w:name w:val="_Bullet 1_G"/>
    <w:basedOn w:val="Normal"/>
    <w:qFormat/>
    <w:rsid w:val="00A17C0C"/>
    <w:p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A6B69-B92C-4408-830C-40C41B82E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407CF-577A-4E5B-BDA7-5B241CD22DD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85898C0-711D-4F59-85CD-3C55C2F7BC8A}">
  <ds:schemaRefs>
    <ds:schemaRef ds:uri="http://schemas.openxmlformats.org/officeDocument/2006/bibliography"/>
  </ds:schemaRefs>
</ds:datastoreItem>
</file>

<file path=customXml/itemProps4.xml><?xml version="1.0" encoding="utf-8"?>
<ds:datastoreItem xmlns:ds="http://schemas.openxmlformats.org/officeDocument/2006/customXml" ds:itemID="{0C363005-7715-4954-AF04-5C9E7B5BB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1047</Words>
  <Characters>5968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Siebrecht</dc:creator>
  <cp:keywords/>
  <dc:description/>
  <cp:lastModifiedBy>ND</cp:lastModifiedBy>
  <cp:revision>27</cp:revision>
  <cp:lastPrinted>2022-07-26T09:14:00Z</cp:lastPrinted>
  <dcterms:created xsi:type="dcterms:W3CDTF">2022-07-20T10:16:00Z</dcterms:created>
  <dcterms:modified xsi:type="dcterms:W3CDTF">2022-07-26T09:15:00Z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