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DB58AC" w14:paraId="2CBE176E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E1769" w14:textId="77777777"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A" w14:textId="77777777"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C" w14:textId="1A3E2A67" w:rsidR="00FC215C" w:rsidRPr="00DB58AC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DB58AC">
              <w:rPr>
                <w:b/>
                <w:sz w:val="40"/>
                <w:szCs w:val="40"/>
                <w:lang w:val="fr-CH"/>
              </w:rPr>
              <w:t>UN/SCEGHS/</w:t>
            </w:r>
            <w:r w:rsidR="00DF2019" w:rsidRPr="00DB58AC">
              <w:rPr>
                <w:b/>
                <w:sz w:val="40"/>
                <w:szCs w:val="40"/>
                <w:lang w:val="fr-CH"/>
              </w:rPr>
              <w:t>42</w:t>
            </w:r>
            <w:r w:rsidRPr="00DB58AC">
              <w:rPr>
                <w:b/>
                <w:sz w:val="40"/>
                <w:szCs w:val="40"/>
                <w:lang w:val="fr-CH"/>
              </w:rPr>
              <w:t>/INF.</w:t>
            </w:r>
            <w:r w:rsidR="00DB58AC" w:rsidRPr="00DB58AC">
              <w:rPr>
                <w:b/>
                <w:sz w:val="40"/>
                <w:szCs w:val="40"/>
                <w:lang w:val="fr-CH"/>
              </w:rPr>
              <w:t>24</w:t>
            </w:r>
          </w:p>
          <w:p w14:paraId="2CBE176D" w14:textId="77777777" w:rsidR="000216CC" w:rsidRPr="00DB58AC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989"/>
        <w:gridCol w:w="4649"/>
      </w:tblGrid>
      <w:tr w:rsidR="00E1707A" w:rsidRPr="00DB58AC" w14:paraId="2CBE1771" w14:textId="77777777" w:rsidTr="00E75E38">
        <w:tc>
          <w:tcPr>
            <w:tcW w:w="9638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CBE1770" w14:textId="6FF80F82" w:rsidR="00645A0B" w:rsidRPr="00DB58AC" w:rsidRDefault="00645A0B" w:rsidP="00F64C95">
            <w:pPr>
              <w:tabs>
                <w:tab w:val="right" w:pos="9214"/>
              </w:tabs>
            </w:pPr>
            <w:r w:rsidRPr="00DB58AC">
              <w:rPr>
                <w:b/>
                <w:sz w:val="24"/>
                <w:szCs w:val="24"/>
              </w:rPr>
              <w:t>Committee of Experts on the Transport of Dangerous Goods</w:t>
            </w:r>
            <w:r w:rsidRPr="00DB58A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DB58AC">
              <w:rPr>
                <w:b/>
                <w:sz w:val="24"/>
                <w:szCs w:val="24"/>
              </w:rPr>
              <w:br/>
              <w:t>and Labelling of Chemicals</w:t>
            </w:r>
            <w:r w:rsidRPr="00DB58AC">
              <w:rPr>
                <w:b/>
              </w:rPr>
              <w:tab/>
            </w:r>
            <w:r w:rsidR="00DB58AC" w:rsidRPr="00DB58AC">
              <w:rPr>
                <w:b/>
              </w:rPr>
              <w:t>6</w:t>
            </w:r>
            <w:r w:rsidR="00D87EB8" w:rsidRPr="00DB58AC">
              <w:rPr>
                <w:b/>
              </w:rPr>
              <w:t xml:space="preserve"> July</w:t>
            </w:r>
            <w:r w:rsidR="00BA1131" w:rsidRPr="00DB58AC">
              <w:rPr>
                <w:b/>
              </w:rPr>
              <w:t xml:space="preserve"> 2022</w:t>
            </w:r>
          </w:p>
        </w:tc>
      </w:tr>
      <w:tr w:rsidR="00645A0B" w:rsidRPr="000B4919" w14:paraId="2CBE1774" w14:textId="77777777" w:rsidTr="00E75E38">
        <w:tc>
          <w:tcPr>
            <w:tcW w:w="498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2" w14:textId="4C9CE033" w:rsidR="00645A0B" w:rsidRPr="000B4919" w:rsidRDefault="00EA58C7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64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3" w14:textId="13C3DD17" w:rsidR="00645A0B" w:rsidRPr="000B4919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B4919" w14:paraId="2CBE1777" w14:textId="77777777" w:rsidTr="00E75E38">
        <w:tc>
          <w:tcPr>
            <w:tcW w:w="498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5" w14:textId="0B8852D0" w:rsidR="00645A0B" w:rsidRPr="000B4919" w:rsidRDefault="00EA58C7" w:rsidP="00F64C95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Forty-second session</w:t>
            </w:r>
          </w:p>
        </w:tc>
        <w:tc>
          <w:tcPr>
            <w:tcW w:w="464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6" w14:textId="5C058575" w:rsidR="00645A0B" w:rsidRPr="000B4919" w:rsidRDefault="00645A0B" w:rsidP="00E63DE8">
            <w:pPr>
              <w:spacing w:before="120"/>
              <w:ind w:left="34" w:hanging="34"/>
              <w:rPr>
                <w:b/>
              </w:rPr>
            </w:pPr>
          </w:p>
        </w:tc>
      </w:tr>
      <w:tr w:rsidR="00645A0B" w:rsidRPr="000B4919" w14:paraId="2CBE177F" w14:textId="77777777" w:rsidTr="00E75E38">
        <w:tc>
          <w:tcPr>
            <w:tcW w:w="4989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341096D" w14:textId="77777777" w:rsidR="00EA58C7" w:rsidRDefault="00EA58C7" w:rsidP="00EA58C7">
            <w:r>
              <w:t>Geneva, 6-8 July 2022</w:t>
            </w:r>
            <w:r>
              <w:br/>
              <w:t>Item 2 (i) of the provisional agenda</w:t>
            </w:r>
          </w:p>
          <w:p w14:paraId="2CBE177A" w14:textId="40A84DF7" w:rsidR="00645A0B" w:rsidRPr="00636F1E" w:rsidRDefault="00EA58C7" w:rsidP="00EA58C7">
            <w:pPr>
              <w:spacing w:before="40"/>
              <w:ind w:left="-18" w:firstLine="18"/>
              <w:rPr>
                <w:b/>
                <w:bCs/>
              </w:rPr>
            </w:pPr>
            <w:r w:rsidRPr="006D51B8">
              <w:rPr>
                <w:b/>
                <w:bCs/>
              </w:rPr>
              <w:t xml:space="preserve">Work on the Globally Harmonized System of Classification and Labelling of Chemicals: </w:t>
            </w:r>
            <w:r w:rsidRPr="006D51B8">
              <w:rPr>
                <w:b/>
                <w:bCs/>
              </w:rPr>
              <w:br/>
            </w:r>
            <w:r w:rsidRPr="008E2A47">
              <w:rPr>
                <w:b/>
                <w:bCs/>
              </w:rPr>
              <w:t>other matters</w:t>
            </w:r>
          </w:p>
        </w:tc>
        <w:tc>
          <w:tcPr>
            <w:tcW w:w="4649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CBE177E" w14:textId="5ADDCBFE" w:rsidR="00645A0B" w:rsidRPr="000B4919" w:rsidRDefault="00645A0B" w:rsidP="006D51B8">
            <w:pPr>
              <w:rPr>
                <w:b/>
                <w:bCs/>
              </w:rPr>
            </w:pPr>
          </w:p>
        </w:tc>
      </w:tr>
    </w:tbl>
    <w:p w14:paraId="38E6B1CF" w14:textId="50D49961" w:rsidR="00F94AB1" w:rsidRPr="00EB6F22" w:rsidRDefault="00F94AB1" w:rsidP="00F94AB1">
      <w:pPr>
        <w:pStyle w:val="HChG"/>
        <w:rPr>
          <w:lang w:val="en-US"/>
        </w:rPr>
      </w:pPr>
      <w:r w:rsidRPr="00EB6F22">
        <w:rPr>
          <w:rFonts w:eastAsia="MS Mincho"/>
          <w:lang w:val="en-US" w:eastAsia="ja-JP"/>
        </w:rPr>
        <w:tab/>
      </w:r>
      <w:r w:rsidRPr="00EB6F22">
        <w:rPr>
          <w:rFonts w:eastAsia="MS Mincho"/>
          <w:lang w:val="en-US" w:eastAsia="ja-JP"/>
        </w:rPr>
        <w:tab/>
      </w:r>
      <w:r w:rsidR="000E15B6">
        <w:rPr>
          <w:rFonts w:eastAsia="MS Mincho"/>
          <w:lang w:val="en-US" w:eastAsia="ja-JP"/>
        </w:rPr>
        <w:t>Minor amendments to the changes proposed for desensitized explosives</w:t>
      </w:r>
    </w:p>
    <w:p w14:paraId="054036FB" w14:textId="77777777" w:rsidR="00F94AB1" w:rsidRPr="00EB6F22" w:rsidRDefault="00F94AB1" w:rsidP="00F94AB1">
      <w:pPr>
        <w:pStyle w:val="H1G"/>
        <w:rPr>
          <w:lang w:val="en-US"/>
        </w:rPr>
      </w:pPr>
      <w:r w:rsidRPr="00EB6F22">
        <w:rPr>
          <w:lang w:val="en-US"/>
        </w:rPr>
        <w:tab/>
      </w:r>
      <w:r w:rsidRPr="00EB6F22">
        <w:rPr>
          <w:lang w:val="en-US"/>
        </w:rPr>
        <w:tab/>
        <w:t>Transmitted by the experts from Germany and the United States of America</w:t>
      </w:r>
      <w:r w:rsidRPr="00EB6F22">
        <w:rPr>
          <w:rStyle w:val="FootnoteReference"/>
          <w:lang w:val="en-US"/>
        </w:rPr>
        <w:footnoteReference w:id="2"/>
      </w:r>
    </w:p>
    <w:p w14:paraId="6F5D0D3E" w14:textId="7D5E5191" w:rsidR="000E15B6" w:rsidRDefault="00F94AB1" w:rsidP="00F94AB1">
      <w:pPr>
        <w:pStyle w:val="SingleTxtG"/>
        <w:tabs>
          <w:tab w:val="left" w:pos="1701"/>
        </w:tabs>
        <w:rPr>
          <w:lang w:val="en-US"/>
        </w:rPr>
      </w:pPr>
      <w:r w:rsidRPr="00EB6F22">
        <w:rPr>
          <w:lang w:val="en-US"/>
        </w:rPr>
        <w:t>1.</w:t>
      </w:r>
      <w:r w:rsidRPr="00EB6F22">
        <w:rPr>
          <w:lang w:val="en-US"/>
        </w:rPr>
        <w:tab/>
      </w:r>
      <w:r w:rsidR="000E15B6">
        <w:rPr>
          <w:lang w:val="en-US"/>
        </w:rPr>
        <w:t xml:space="preserve">The </w:t>
      </w:r>
      <w:r w:rsidR="007E7837">
        <w:rPr>
          <w:lang w:val="en-US"/>
        </w:rPr>
        <w:t xml:space="preserve">informal </w:t>
      </w:r>
      <w:r w:rsidR="000E15B6">
        <w:rPr>
          <w:lang w:val="en-US"/>
        </w:rPr>
        <w:t xml:space="preserve">documents </w:t>
      </w:r>
      <w:r w:rsidR="004F1312">
        <w:rPr>
          <w:lang w:val="en-US"/>
        </w:rPr>
        <w:t xml:space="preserve">on desensitized explosives </w:t>
      </w:r>
      <w:r w:rsidR="004F1312" w:rsidRPr="004F1312">
        <w:rPr>
          <w:lang w:val="en-US"/>
        </w:rPr>
        <w:t>INF.8</w:t>
      </w:r>
      <w:r w:rsidR="000E15B6">
        <w:rPr>
          <w:lang w:val="en-US"/>
        </w:rPr>
        <w:t xml:space="preserve"> </w:t>
      </w:r>
      <w:r w:rsidR="007E7837">
        <w:rPr>
          <w:lang w:val="en-US"/>
        </w:rPr>
        <w:t>(42</w:t>
      </w:r>
      <w:r w:rsidR="007E7837" w:rsidRPr="007E7837">
        <w:rPr>
          <w:vertAlign w:val="superscript"/>
          <w:lang w:val="en-US"/>
        </w:rPr>
        <w:t>nd</w:t>
      </w:r>
      <w:r w:rsidR="007E7837">
        <w:rPr>
          <w:lang w:val="en-US"/>
        </w:rPr>
        <w:t xml:space="preserve"> session) </w:t>
      </w:r>
      <w:r w:rsidR="000E15B6">
        <w:rPr>
          <w:lang w:val="en-US"/>
        </w:rPr>
        <w:t xml:space="preserve">and </w:t>
      </w:r>
      <w:bookmarkStart w:id="0" w:name="_Hlk107401413"/>
      <w:r w:rsidR="007E7837">
        <w:rPr>
          <w:lang w:val="en-US"/>
        </w:rPr>
        <w:br/>
      </w:r>
      <w:r w:rsidR="004F1312" w:rsidRPr="004F1312">
        <w:rPr>
          <w:lang w:val="en-US"/>
        </w:rPr>
        <w:t>INF.18</w:t>
      </w:r>
      <w:r w:rsidR="007E7837">
        <w:rPr>
          <w:lang w:val="en-US"/>
        </w:rPr>
        <w:t xml:space="preserve"> (42</w:t>
      </w:r>
      <w:r w:rsidR="007E7837" w:rsidRPr="007E7837">
        <w:rPr>
          <w:vertAlign w:val="superscript"/>
          <w:lang w:val="en-US"/>
        </w:rPr>
        <w:t>nd</w:t>
      </w:r>
      <w:r w:rsidR="007E7837">
        <w:rPr>
          <w:lang w:val="en-US"/>
        </w:rPr>
        <w:t xml:space="preserve"> session)</w:t>
      </w:r>
      <w:r w:rsidR="003170FA">
        <w:rPr>
          <w:lang w:val="en-US"/>
        </w:rPr>
        <w:t xml:space="preserve"> </w:t>
      </w:r>
      <w:r w:rsidR="004F1312" w:rsidRPr="004F1312">
        <w:rPr>
          <w:lang w:val="en-US"/>
        </w:rPr>
        <w:t>INF.36</w:t>
      </w:r>
      <w:bookmarkEnd w:id="0"/>
      <w:r w:rsidR="004F1312">
        <w:rPr>
          <w:lang w:val="en-US"/>
        </w:rPr>
        <w:t xml:space="preserve"> </w:t>
      </w:r>
      <w:r w:rsidR="003170FA">
        <w:rPr>
          <w:lang w:val="en-US"/>
        </w:rPr>
        <w:t>(60</w:t>
      </w:r>
      <w:r w:rsidR="003170FA" w:rsidRPr="003170FA">
        <w:rPr>
          <w:vertAlign w:val="superscript"/>
          <w:lang w:val="en-US"/>
        </w:rPr>
        <w:t>th</w:t>
      </w:r>
      <w:r w:rsidR="003170FA">
        <w:rPr>
          <w:lang w:val="en-US"/>
        </w:rPr>
        <w:t xml:space="preserve"> session) </w:t>
      </w:r>
      <w:r w:rsidR="000E15B6">
        <w:rPr>
          <w:lang w:val="en-US"/>
        </w:rPr>
        <w:t xml:space="preserve">were discussed in the working group on explosives </w:t>
      </w:r>
      <w:r w:rsidR="008B539B">
        <w:rPr>
          <w:lang w:val="en-US"/>
        </w:rPr>
        <w:t xml:space="preserve">and in the Sub-Committee TDG. </w:t>
      </w:r>
      <w:r w:rsidR="00AE5049">
        <w:rPr>
          <w:lang w:val="en-US"/>
        </w:rPr>
        <w:t>The report of the working group on explosives is available in informal document</w:t>
      </w:r>
      <w:r w:rsidR="004F1312">
        <w:rPr>
          <w:lang w:val="en-US"/>
        </w:rPr>
        <w:t xml:space="preserve"> </w:t>
      </w:r>
      <w:r w:rsidR="00D87EB8" w:rsidRPr="00D87EB8">
        <w:rPr>
          <w:lang w:val="en-US"/>
        </w:rPr>
        <w:t>INF.44</w:t>
      </w:r>
      <w:r w:rsidR="00D87EB8">
        <w:rPr>
          <w:lang w:val="en-US"/>
        </w:rPr>
        <w:t xml:space="preserve"> </w:t>
      </w:r>
      <w:r w:rsidR="003170FA">
        <w:rPr>
          <w:lang w:val="en-US"/>
        </w:rPr>
        <w:t>(60</w:t>
      </w:r>
      <w:r w:rsidR="003170FA" w:rsidRPr="003170FA">
        <w:rPr>
          <w:vertAlign w:val="superscript"/>
          <w:lang w:val="en-US"/>
        </w:rPr>
        <w:t>th</w:t>
      </w:r>
      <w:r w:rsidR="003170FA">
        <w:rPr>
          <w:lang w:val="en-US"/>
        </w:rPr>
        <w:t xml:space="preserve"> session) </w:t>
      </w:r>
      <w:r w:rsidR="00D87EB8">
        <w:rPr>
          <w:lang w:val="en-US"/>
        </w:rPr>
        <w:t>at the TDG-website</w:t>
      </w:r>
      <w:r w:rsidR="00BB5EB8">
        <w:rPr>
          <w:lang w:val="en-US"/>
        </w:rPr>
        <w:t>, see paragraph 18</w:t>
      </w:r>
      <w:r w:rsidR="008B539B">
        <w:rPr>
          <w:lang w:val="en-US"/>
        </w:rPr>
        <w:t>.</w:t>
      </w:r>
      <w:r w:rsidR="00D87EB8">
        <w:rPr>
          <w:lang w:val="en-US"/>
        </w:rPr>
        <w:t xml:space="preserve"> The authors are grateful for the expertise and advice provided by the experts of the Sub-Committee TDG.</w:t>
      </w:r>
    </w:p>
    <w:p w14:paraId="48D6393C" w14:textId="6B7A4CE4" w:rsidR="004C3485" w:rsidRDefault="008B539B" w:rsidP="00F94AB1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The according assessments result in </w:t>
      </w:r>
      <w:r w:rsidR="004C3485">
        <w:rPr>
          <w:lang w:val="en-US"/>
        </w:rPr>
        <w:t>three (minor)</w:t>
      </w:r>
      <w:r w:rsidR="002352AA">
        <w:rPr>
          <w:lang w:val="en-US"/>
        </w:rPr>
        <w:t xml:space="preserve"> amendment</w:t>
      </w:r>
      <w:r w:rsidR="004C3485">
        <w:rPr>
          <w:lang w:val="en-US"/>
        </w:rPr>
        <w:t>s</w:t>
      </w:r>
      <w:r w:rsidR="002352AA">
        <w:rPr>
          <w:lang w:val="en-US"/>
        </w:rPr>
        <w:t xml:space="preserve"> to the proposal</w:t>
      </w:r>
      <w:r w:rsidR="004C3485">
        <w:rPr>
          <w:lang w:val="en-US"/>
        </w:rPr>
        <w:t>s</w:t>
      </w:r>
      <w:r w:rsidR="002352AA">
        <w:rPr>
          <w:lang w:val="en-US"/>
        </w:rPr>
        <w:t xml:space="preserve"> </w:t>
      </w:r>
      <w:r w:rsidR="007C65AD">
        <w:rPr>
          <w:lang w:val="en-US"/>
        </w:rPr>
        <w:t>for</w:t>
      </w:r>
      <w:r w:rsidR="002352AA">
        <w:rPr>
          <w:lang w:val="en-US"/>
        </w:rPr>
        <w:t xml:space="preserve"> </w:t>
      </w:r>
      <w:r w:rsidR="004C3485">
        <w:rPr>
          <w:lang w:val="en-US"/>
        </w:rPr>
        <w:t>desensitized explosives. The authors of the proposal thought it would be easier for the experts of the Sub-Committee if they are available to them in writing</w:t>
      </w:r>
      <w:r w:rsidR="00D87EB8">
        <w:rPr>
          <w:lang w:val="en-US"/>
        </w:rPr>
        <w:t xml:space="preserve"> </w:t>
      </w:r>
      <w:r w:rsidR="003529B5">
        <w:rPr>
          <w:lang w:val="en-US"/>
        </w:rPr>
        <w:t xml:space="preserve">clearly </w:t>
      </w:r>
      <w:r w:rsidR="00D87EB8">
        <w:rPr>
          <w:lang w:val="en-US"/>
        </w:rPr>
        <w:t xml:space="preserve">displaying the amendments recommended by </w:t>
      </w:r>
      <w:r w:rsidR="00BB5EB8">
        <w:rPr>
          <w:lang w:val="en-US"/>
        </w:rPr>
        <w:t xml:space="preserve">the EWG and the </w:t>
      </w:r>
      <w:r w:rsidR="00D87EB8">
        <w:rPr>
          <w:lang w:val="en-US"/>
        </w:rPr>
        <w:t>Sub-Committee TDG</w:t>
      </w:r>
      <w:r w:rsidR="004C3485">
        <w:rPr>
          <w:lang w:val="en-US"/>
        </w:rPr>
        <w:t>.</w:t>
      </w:r>
    </w:p>
    <w:p w14:paraId="4B9CA733" w14:textId="2DFCE1F7" w:rsidR="00253F0D" w:rsidRPr="00953C03" w:rsidRDefault="004C3485" w:rsidP="00F94AB1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One amendment concerns </w:t>
      </w:r>
      <w:r w:rsidR="007C65AD">
        <w:rPr>
          <w:lang w:val="en-US"/>
        </w:rPr>
        <w:t xml:space="preserve">2.17.2.3 in the Annex </w:t>
      </w:r>
      <w:r w:rsidR="004F1312">
        <w:rPr>
          <w:lang w:val="en-US"/>
        </w:rPr>
        <w:t xml:space="preserve">of </w:t>
      </w:r>
      <w:r w:rsidR="00A558A8">
        <w:rPr>
          <w:lang w:val="en-US"/>
        </w:rPr>
        <w:t xml:space="preserve">informal </w:t>
      </w:r>
      <w:r w:rsidR="002352AA">
        <w:rPr>
          <w:lang w:val="en-US"/>
        </w:rPr>
        <w:t xml:space="preserve">document </w:t>
      </w:r>
      <w:r w:rsidR="006153CD" w:rsidRPr="006153CD">
        <w:rPr>
          <w:lang w:val="en-US"/>
        </w:rPr>
        <w:t>INF.8</w:t>
      </w:r>
      <w:r w:rsidR="00A558A8">
        <w:rPr>
          <w:lang w:val="en-US"/>
        </w:rPr>
        <w:t xml:space="preserve"> (42</w:t>
      </w:r>
      <w:r w:rsidR="00A558A8" w:rsidRPr="00A558A8">
        <w:rPr>
          <w:vertAlign w:val="superscript"/>
          <w:lang w:val="en-US"/>
        </w:rPr>
        <w:t>nd</w:t>
      </w:r>
      <w:r w:rsidR="00A558A8">
        <w:rPr>
          <w:lang w:val="en-US"/>
        </w:rPr>
        <w:t xml:space="preserve"> session)</w:t>
      </w:r>
      <w:r>
        <w:rPr>
          <w:lang w:val="en-US"/>
        </w:rPr>
        <w:t>.</w:t>
      </w:r>
      <w:r w:rsidR="007C65AD">
        <w:rPr>
          <w:lang w:val="en-US"/>
        </w:rPr>
        <w:t xml:space="preserve"> This </w:t>
      </w:r>
      <w:r w:rsidR="006153CD">
        <w:rPr>
          <w:lang w:val="en-US"/>
        </w:rPr>
        <w:t xml:space="preserve">amendment </w:t>
      </w:r>
      <w:r w:rsidR="007C65AD">
        <w:rPr>
          <w:lang w:val="en-US"/>
        </w:rPr>
        <w:t xml:space="preserve">shall ensure that it is </w:t>
      </w:r>
      <w:r w:rsidR="00953C03">
        <w:rPr>
          <w:lang w:val="en-US"/>
        </w:rPr>
        <w:t>unambiguously</w:t>
      </w:r>
      <w:r w:rsidR="007C65AD">
        <w:rPr>
          <w:lang w:val="en-US"/>
        </w:rPr>
        <w:t xml:space="preserve"> clear that the stability tests in Appendix 10 of the Manual of Tests and Criteria </w:t>
      </w:r>
      <w:r w:rsidR="00AE5049">
        <w:rPr>
          <w:lang w:val="en-US"/>
        </w:rPr>
        <w:t>apply</w:t>
      </w:r>
      <w:r w:rsidR="007C65AD">
        <w:rPr>
          <w:lang w:val="en-US"/>
        </w:rPr>
        <w:t xml:space="preserve"> to the nitrocellulose itself and not the nitrocellulose mixture</w:t>
      </w:r>
      <w:r w:rsidR="007C65AD" w:rsidRPr="00953C03">
        <w:rPr>
          <w:lang w:val="en-US"/>
        </w:rPr>
        <w:t>.</w:t>
      </w:r>
      <w:r w:rsidR="006153CD" w:rsidRPr="00953C03">
        <w:rPr>
          <w:lang w:val="en-US"/>
        </w:rPr>
        <w:t xml:space="preserve"> Amendments shown </w:t>
      </w:r>
      <w:r w:rsidR="00953C03" w:rsidRPr="00953C03">
        <w:rPr>
          <w:lang w:val="en-US"/>
        </w:rPr>
        <w:t xml:space="preserve">in the following </w:t>
      </w:r>
      <w:r w:rsidR="006153CD" w:rsidRPr="00953C03">
        <w:rPr>
          <w:lang w:val="en-US"/>
        </w:rPr>
        <w:t xml:space="preserve">are in comparison to the text </w:t>
      </w:r>
      <w:r w:rsidR="00AE5049">
        <w:rPr>
          <w:lang w:val="en-US"/>
        </w:rPr>
        <w:t xml:space="preserve">proposed </w:t>
      </w:r>
      <w:r w:rsidR="006153CD" w:rsidRPr="00953C03">
        <w:rPr>
          <w:lang w:val="en-US"/>
        </w:rPr>
        <w:t xml:space="preserve">in </w:t>
      </w:r>
      <w:r w:rsidR="00A558A8">
        <w:rPr>
          <w:lang w:val="en-US"/>
        </w:rPr>
        <w:t xml:space="preserve">informal document </w:t>
      </w:r>
      <w:r w:rsidR="006153CD" w:rsidRPr="00953C03">
        <w:rPr>
          <w:lang w:val="en-US"/>
        </w:rPr>
        <w:t>INF.8</w:t>
      </w:r>
      <w:r w:rsidR="00A558A8">
        <w:rPr>
          <w:lang w:val="en-US"/>
        </w:rPr>
        <w:t xml:space="preserve"> (42</w:t>
      </w:r>
      <w:r w:rsidR="00A558A8" w:rsidRPr="00A558A8">
        <w:rPr>
          <w:vertAlign w:val="superscript"/>
          <w:lang w:val="en-US"/>
        </w:rPr>
        <w:t>nd</w:t>
      </w:r>
      <w:r w:rsidR="00A558A8">
        <w:rPr>
          <w:lang w:val="en-US"/>
        </w:rPr>
        <w:t xml:space="preserve"> session)</w:t>
      </w:r>
      <w:r w:rsidR="00953C03" w:rsidRPr="00953C03">
        <w:rPr>
          <w:lang w:val="en-US"/>
        </w:rPr>
        <w:t>.</w:t>
      </w:r>
    </w:p>
    <w:p w14:paraId="106113B5" w14:textId="488571DB" w:rsidR="006153CD" w:rsidRPr="005C42B0" w:rsidRDefault="006153CD" w:rsidP="006153CD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u w:val="single"/>
          <w:lang w:val="en-US"/>
        </w:rPr>
      </w:pPr>
      <w:r w:rsidRPr="004B6DF0">
        <w:rPr>
          <w:lang w:val="en-US"/>
        </w:rPr>
        <w:t>2.17.2.3</w:t>
      </w:r>
      <w:r w:rsidRPr="004B6DF0">
        <w:rPr>
          <w:lang w:val="en-US"/>
        </w:rPr>
        <w:tab/>
        <w:t xml:space="preserve">In addition to the criteria in sections 2.17.2.1 and 2.17.2.2, nitrocellulose </w:t>
      </w:r>
      <w:r w:rsidRPr="005C42B0">
        <w:rPr>
          <w:u w:val="single"/>
          <w:lang w:val="en-US"/>
        </w:rPr>
        <w:t xml:space="preserve">should be stable according to Appendix 10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 xml:space="preserve"> </w:t>
      </w:r>
      <w:proofErr w:type="gramStart"/>
      <w:r>
        <w:rPr>
          <w:u w:val="single"/>
          <w:lang w:val="en-US"/>
        </w:rPr>
        <w:t>in order to</w:t>
      </w:r>
      <w:proofErr w:type="gramEnd"/>
      <w:r>
        <w:rPr>
          <w:u w:val="single"/>
          <w:lang w:val="en-US"/>
        </w:rPr>
        <w:t xml:space="preserve"> be used </w:t>
      </w:r>
      <w:r w:rsidRPr="004B6DF0">
        <w:rPr>
          <w:lang w:val="en-US"/>
        </w:rPr>
        <w:t>in nitrocellulose mixtures considered for this class</w:t>
      </w:r>
      <w:r w:rsidRPr="006153CD">
        <w:rPr>
          <w:strike/>
          <w:u w:val="single"/>
          <w:lang w:val="en-US"/>
        </w:rPr>
        <w:t xml:space="preserve"> should be stable according to Appendix 10 of the </w:t>
      </w:r>
      <w:r w:rsidRPr="006153CD">
        <w:rPr>
          <w:i/>
          <w:iCs/>
          <w:strike/>
          <w:u w:val="single"/>
          <w:lang w:val="en-US"/>
        </w:rPr>
        <w:t>Manual of Tests and Criteria</w:t>
      </w:r>
      <w:r w:rsidRPr="005C42B0">
        <w:rPr>
          <w:i/>
          <w:iCs/>
          <w:u w:val="single"/>
          <w:lang w:val="en-US"/>
        </w:rPr>
        <w:t>.</w:t>
      </w:r>
    </w:p>
    <w:p w14:paraId="12FC0F30" w14:textId="1AC81C5D" w:rsidR="007C65AD" w:rsidRPr="00953C03" w:rsidRDefault="004C3485" w:rsidP="00F94AB1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4</w:t>
      </w:r>
      <w:r w:rsidR="00253F0D">
        <w:rPr>
          <w:lang w:val="en-US"/>
        </w:rPr>
        <w:t>.</w:t>
      </w:r>
      <w:r w:rsidR="00253F0D">
        <w:rPr>
          <w:lang w:val="en-US"/>
        </w:rPr>
        <w:tab/>
      </w:r>
      <w:r w:rsidR="007C65AD">
        <w:rPr>
          <w:lang w:val="en-US"/>
        </w:rPr>
        <w:t xml:space="preserve">An equivalent amendment is foreseen for </w:t>
      </w:r>
      <w:r w:rsidR="006153CD">
        <w:rPr>
          <w:lang w:val="en-US"/>
        </w:rPr>
        <w:t xml:space="preserve">Section 51.2.2 in </w:t>
      </w:r>
      <w:r w:rsidR="007C65AD">
        <w:rPr>
          <w:lang w:val="en-US"/>
        </w:rPr>
        <w:t xml:space="preserve">Annex II </w:t>
      </w:r>
      <w:r w:rsidR="006153CD">
        <w:rPr>
          <w:lang w:val="en-US"/>
        </w:rPr>
        <w:t>of</w:t>
      </w:r>
      <w:r w:rsidR="007C65AD">
        <w:rPr>
          <w:lang w:val="en-US"/>
        </w:rPr>
        <w:t xml:space="preserve"> document </w:t>
      </w:r>
      <w:r w:rsidR="00A558A8" w:rsidRPr="004F1312">
        <w:rPr>
          <w:lang w:val="en-US"/>
        </w:rPr>
        <w:t>INF.18</w:t>
      </w:r>
      <w:r w:rsidR="00A558A8">
        <w:rPr>
          <w:lang w:val="en-US"/>
        </w:rPr>
        <w:t xml:space="preserve"> (42</w:t>
      </w:r>
      <w:r w:rsidR="00A558A8" w:rsidRPr="007E7837">
        <w:rPr>
          <w:vertAlign w:val="superscript"/>
          <w:lang w:val="en-US"/>
        </w:rPr>
        <w:t>nd</w:t>
      </w:r>
      <w:r w:rsidR="00A558A8">
        <w:rPr>
          <w:lang w:val="en-US"/>
        </w:rPr>
        <w:t xml:space="preserve"> session) </w:t>
      </w:r>
      <w:r w:rsidR="00A558A8" w:rsidRPr="004F1312">
        <w:rPr>
          <w:lang w:val="en-US"/>
        </w:rPr>
        <w:t>INF.36</w:t>
      </w:r>
      <w:r w:rsidR="00A558A8">
        <w:rPr>
          <w:lang w:val="en-US"/>
        </w:rPr>
        <w:t xml:space="preserve"> (60</w:t>
      </w:r>
      <w:r w:rsidR="00A558A8" w:rsidRPr="003170FA">
        <w:rPr>
          <w:vertAlign w:val="superscript"/>
          <w:lang w:val="en-US"/>
        </w:rPr>
        <w:t>th</w:t>
      </w:r>
      <w:r w:rsidR="00A558A8">
        <w:rPr>
          <w:lang w:val="en-US"/>
        </w:rPr>
        <w:t xml:space="preserve"> session)</w:t>
      </w:r>
      <w:r w:rsidR="00953C03">
        <w:rPr>
          <w:lang w:val="en-US"/>
        </w:rPr>
        <w:t xml:space="preserve">. Additionally, for that sub-sentence on nitrocellulose the </w:t>
      </w:r>
      <w:r w:rsidR="00EA58C7">
        <w:rPr>
          <w:lang w:val="en-US"/>
        </w:rPr>
        <w:t>“</w:t>
      </w:r>
      <w:r w:rsidR="00953C03">
        <w:rPr>
          <w:lang w:val="en-US"/>
        </w:rPr>
        <w:t>(d)</w:t>
      </w:r>
      <w:r w:rsidR="00EA58C7">
        <w:rPr>
          <w:lang w:val="en-US"/>
        </w:rPr>
        <w:t>”</w:t>
      </w:r>
      <w:r w:rsidR="00953C03">
        <w:rPr>
          <w:lang w:val="en-US"/>
        </w:rPr>
        <w:t xml:space="preserve"> is removed. </w:t>
      </w:r>
      <w:r w:rsidR="006153CD" w:rsidRPr="00953C03">
        <w:rPr>
          <w:lang w:val="en-US"/>
        </w:rPr>
        <w:t xml:space="preserve">Amendments shown </w:t>
      </w:r>
      <w:r w:rsidR="00953C03">
        <w:rPr>
          <w:lang w:val="en-US"/>
        </w:rPr>
        <w:t xml:space="preserve">in the following </w:t>
      </w:r>
      <w:r w:rsidR="006153CD" w:rsidRPr="00953C03">
        <w:rPr>
          <w:lang w:val="en-US"/>
        </w:rPr>
        <w:t xml:space="preserve">are in comparison to the </w:t>
      </w:r>
      <w:r w:rsidR="00AE5049">
        <w:rPr>
          <w:lang w:val="en-US"/>
        </w:rPr>
        <w:t xml:space="preserve">text </w:t>
      </w:r>
      <w:r w:rsidR="006153CD" w:rsidRPr="00953C03">
        <w:rPr>
          <w:lang w:val="en-US"/>
        </w:rPr>
        <w:t xml:space="preserve">proposed in </w:t>
      </w:r>
      <w:r w:rsidR="00A558A8" w:rsidRPr="004F1312">
        <w:rPr>
          <w:lang w:val="en-US"/>
        </w:rPr>
        <w:t>INF.18</w:t>
      </w:r>
      <w:r w:rsidR="00A558A8">
        <w:rPr>
          <w:lang w:val="en-US"/>
        </w:rPr>
        <w:t xml:space="preserve"> (42</w:t>
      </w:r>
      <w:r w:rsidR="00A558A8" w:rsidRPr="007E7837">
        <w:rPr>
          <w:vertAlign w:val="superscript"/>
          <w:lang w:val="en-US"/>
        </w:rPr>
        <w:t>nd</w:t>
      </w:r>
      <w:r w:rsidR="00A558A8">
        <w:rPr>
          <w:lang w:val="en-US"/>
        </w:rPr>
        <w:t xml:space="preserve"> session) </w:t>
      </w:r>
      <w:r w:rsidR="00A558A8" w:rsidRPr="004F1312">
        <w:rPr>
          <w:lang w:val="en-US"/>
        </w:rPr>
        <w:t>INF.36</w:t>
      </w:r>
      <w:r w:rsidR="00A558A8">
        <w:rPr>
          <w:lang w:val="en-US"/>
        </w:rPr>
        <w:t xml:space="preserve"> (60</w:t>
      </w:r>
      <w:r w:rsidR="00A558A8" w:rsidRPr="003170FA">
        <w:rPr>
          <w:vertAlign w:val="superscript"/>
          <w:lang w:val="en-US"/>
        </w:rPr>
        <w:t>th</w:t>
      </w:r>
      <w:r w:rsidR="00A558A8">
        <w:rPr>
          <w:lang w:val="en-US"/>
        </w:rPr>
        <w:t xml:space="preserve"> session)</w:t>
      </w:r>
      <w:r w:rsidR="00953C03" w:rsidRPr="00953C03">
        <w:rPr>
          <w:lang w:val="en-US"/>
        </w:rPr>
        <w:t>.</w:t>
      </w:r>
    </w:p>
    <w:p w14:paraId="7B74D42B" w14:textId="2F0773FD" w:rsidR="007C38B2" w:rsidRDefault="007C38B2" w:rsidP="00F94AB1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br w:type="page"/>
      </w:r>
    </w:p>
    <w:p w14:paraId="3DD98312" w14:textId="3048980A" w:rsidR="00F56938" w:rsidRPr="005E6FA5" w:rsidRDefault="00F56938" w:rsidP="005B3D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lang w:val="en-US"/>
        </w:rPr>
      </w:pPr>
      <w:r w:rsidRPr="005E6FA5">
        <w:rPr>
          <w:rFonts w:eastAsia="Calibri" w:cs="TimesNewRomanPSMT"/>
          <w:lang w:val="en-US"/>
        </w:rPr>
        <w:lastRenderedPageBreak/>
        <w:t>51.2.2</w:t>
      </w:r>
      <w:r w:rsidRPr="005E6FA5">
        <w:rPr>
          <w:rFonts w:eastAsia="Calibri" w:cs="TimesNewRomanPSMT"/>
          <w:lang w:val="en-US"/>
        </w:rPr>
        <w:tab/>
        <w:t>Desensitized explosives, should be tested</w:t>
      </w:r>
    </w:p>
    <w:p w14:paraId="5C862F11" w14:textId="47971C2D" w:rsidR="00F56938" w:rsidRPr="005E6FA5" w:rsidRDefault="00F56938" w:rsidP="005E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uppressAutoHyphens w:val="0"/>
        <w:spacing w:before="120" w:line="240" w:lineRule="auto"/>
        <w:ind w:left="2835" w:right="1134" w:hanging="1701"/>
        <w:jc w:val="both"/>
        <w:rPr>
          <w:rFonts w:eastAsia="Calibri" w:cs="TimesNewRomanPSMT"/>
          <w:lang w:val="en-US"/>
        </w:rPr>
      </w:pPr>
      <w:r w:rsidRPr="005E6FA5">
        <w:rPr>
          <w:rFonts w:eastAsia="Calibri" w:cs="TimesNewRomanPSMT"/>
          <w:lang w:val="en-US"/>
        </w:rPr>
        <w:tab/>
        <w:t>(a)</w:t>
      </w:r>
      <w:r w:rsidRPr="005E6FA5">
        <w:rPr>
          <w:rFonts w:eastAsia="Calibri" w:cs="TimesNewRomanPSMT"/>
          <w:lang w:val="en-US"/>
        </w:rPr>
        <w:tab/>
        <w:t>for their exothermic decomposition energy</w:t>
      </w:r>
      <w:r w:rsidRPr="005E6FA5">
        <w:rPr>
          <w:rStyle w:val="FootnoteReference"/>
          <w:rFonts w:eastAsia="Calibri"/>
          <w:lang w:val="en-US"/>
        </w:rPr>
        <w:t>1</w:t>
      </w:r>
      <w:r w:rsidRPr="005E6FA5">
        <w:rPr>
          <w:rFonts w:eastAsia="Calibri" w:cs="TimesNewRomanPSMT"/>
          <w:lang w:val="en-US"/>
        </w:rPr>
        <w:t xml:space="preserve">, if attempting to exit the class of desensitized </w:t>
      </w:r>
      <w:proofErr w:type="gramStart"/>
      <w:r w:rsidRPr="005E6FA5">
        <w:rPr>
          <w:rFonts w:eastAsia="Calibri" w:cs="TimesNewRomanPSMT"/>
          <w:lang w:val="en-US"/>
        </w:rPr>
        <w:t>explosives;</w:t>
      </w:r>
      <w:proofErr w:type="gramEnd"/>
    </w:p>
    <w:p w14:paraId="22C87DBD" w14:textId="341110AA" w:rsidR="00F56938" w:rsidRPr="005E6FA5" w:rsidRDefault="00F56938" w:rsidP="005E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uppressAutoHyphens w:val="0"/>
        <w:spacing w:before="120" w:line="240" w:lineRule="auto"/>
        <w:ind w:left="2835" w:right="1134" w:hanging="1701"/>
        <w:jc w:val="both"/>
        <w:rPr>
          <w:rFonts w:eastAsia="Calibri" w:cs="TimesNewRomanPSMT"/>
          <w:lang w:val="en-US"/>
        </w:rPr>
      </w:pPr>
      <w:r w:rsidRPr="005E6FA5">
        <w:rPr>
          <w:rFonts w:eastAsia="Calibri" w:cs="TimesNewRomanPSMT"/>
          <w:lang w:val="en-US"/>
        </w:rPr>
        <w:tab/>
        <w:t>(b)</w:t>
      </w:r>
      <w:r w:rsidRPr="005E6FA5">
        <w:rPr>
          <w:rFonts w:eastAsia="Calibri" w:cs="TimesNewRomanPSMT"/>
          <w:lang w:val="en-US"/>
        </w:rPr>
        <w:tab/>
        <w:t>according to the test 1</w:t>
      </w:r>
      <w:r w:rsidR="007C38B2">
        <w:rPr>
          <w:rFonts w:eastAsia="Calibri" w:cs="TimesNewRomanPSMT"/>
          <w:lang w:val="en-US"/>
        </w:rPr>
        <w:t> </w:t>
      </w:r>
      <w:r w:rsidRPr="005E6FA5">
        <w:rPr>
          <w:rFonts w:eastAsia="Calibri" w:cs="TimesNewRomanPSMT"/>
          <w:lang w:val="en-US"/>
        </w:rPr>
        <w:t>(a), test series 2, 3 and tests 6</w:t>
      </w:r>
      <w:r w:rsidR="007C38B2">
        <w:rPr>
          <w:rFonts w:eastAsia="Calibri" w:cs="TimesNewRomanPSMT"/>
          <w:lang w:val="en-US"/>
        </w:rPr>
        <w:t> </w:t>
      </w:r>
      <w:r w:rsidRPr="005E6FA5">
        <w:rPr>
          <w:rFonts w:eastAsia="Calibri" w:cs="TimesNewRomanPSMT"/>
          <w:lang w:val="en-US"/>
        </w:rPr>
        <w:t>(a) and (b), respectively) of this Manual</w:t>
      </w:r>
      <w:r w:rsidRPr="005E6FA5">
        <w:rPr>
          <w:rStyle w:val="FootnoteReference"/>
          <w:rFonts w:eastAsia="Calibri"/>
          <w:lang w:val="en-US"/>
        </w:rPr>
        <w:t>1</w:t>
      </w:r>
      <w:r w:rsidRPr="005E6FA5">
        <w:rPr>
          <w:rFonts w:eastAsia="Calibri"/>
          <w:lang w:val="en-US"/>
        </w:rPr>
        <w:t>, according to the classification procedure in section 51.3, to preclude a mass explosion in the corrected burning rate test</w:t>
      </w:r>
      <w:r w:rsidRPr="005E6FA5">
        <w:rPr>
          <w:rStyle w:val="FootnoteReference"/>
          <w:rFonts w:eastAsia="Calibri"/>
          <w:lang w:val="en-US"/>
        </w:rPr>
        <w:t xml:space="preserve"> </w:t>
      </w:r>
      <w:r w:rsidRPr="005E6FA5">
        <w:rPr>
          <w:rFonts w:eastAsia="Calibri" w:cs="TimesNewRomanPSMT"/>
          <w:lang w:val="en-US"/>
        </w:rPr>
        <w:t>;</w:t>
      </w:r>
    </w:p>
    <w:p w14:paraId="008C77FB" w14:textId="01DCC515" w:rsidR="00F56938" w:rsidRPr="005E6FA5" w:rsidRDefault="00F56938" w:rsidP="005E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uppressAutoHyphens w:val="0"/>
        <w:spacing w:before="120" w:line="240" w:lineRule="auto"/>
        <w:ind w:left="2835" w:right="1134" w:hanging="1701"/>
        <w:jc w:val="both"/>
        <w:rPr>
          <w:rFonts w:eastAsia="Calibri" w:cs="TimesNewRomanPSMT"/>
          <w:lang w:val="en-US"/>
        </w:rPr>
      </w:pPr>
      <w:r w:rsidRPr="005E6FA5">
        <w:rPr>
          <w:rFonts w:eastAsia="Calibri" w:cs="TimesNewRomanPSMT"/>
          <w:lang w:val="en-US"/>
        </w:rPr>
        <w:tab/>
        <w:t>(c)</w:t>
      </w:r>
      <w:r w:rsidRPr="005E6FA5">
        <w:rPr>
          <w:rFonts w:eastAsia="Calibri" w:cs="TimesNewRomanPSMT"/>
          <w:lang w:val="en-US"/>
        </w:rPr>
        <w:tab/>
        <w:t xml:space="preserve">according to the corrected burning rate </w:t>
      </w:r>
      <w:proofErr w:type="gramStart"/>
      <w:r w:rsidRPr="005E6FA5">
        <w:rPr>
          <w:rFonts w:eastAsia="Calibri" w:cs="TimesNewRomanPSMT"/>
          <w:lang w:val="en-US"/>
        </w:rPr>
        <w:t>test;</w:t>
      </w:r>
      <w:proofErr w:type="gramEnd"/>
    </w:p>
    <w:p w14:paraId="27E39421" w14:textId="395639F3" w:rsidR="00F56938" w:rsidRPr="005E6FA5" w:rsidRDefault="00F56938" w:rsidP="005E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uppressAutoHyphens w:val="0"/>
        <w:spacing w:before="120" w:line="240" w:lineRule="auto"/>
        <w:ind w:left="2268" w:right="1134" w:hanging="1134"/>
        <w:jc w:val="both"/>
        <w:rPr>
          <w:rFonts w:eastAsia="Calibri" w:cs="TimesNewRomanPSMT"/>
          <w:lang w:val="en-US"/>
        </w:rPr>
      </w:pPr>
      <w:r w:rsidRPr="005E6FA5">
        <w:rPr>
          <w:rFonts w:eastAsia="Calibri" w:cs="TimesNewRomanPSMT"/>
          <w:lang w:val="en-US"/>
        </w:rPr>
        <w:tab/>
      </w:r>
      <w:r w:rsidRPr="005E6FA5">
        <w:rPr>
          <w:rFonts w:eastAsia="Calibri" w:cs="TimesNewRomanPSMT"/>
          <w:strike/>
          <w:lang w:val="en-US"/>
        </w:rPr>
        <w:t>(d)</w:t>
      </w:r>
      <w:r w:rsidRPr="005E6FA5">
        <w:rPr>
          <w:rFonts w:eastAsia="Calibri" w:cs="TimesNewRomanPSMT"/>
          <w:strike/>
          <w:lang w:val="en-US"/>
        </w:rPr>
        <w:tab/>
      </w:r>
      <w:r w:rsidRPr="005E6FA5">
        <w:rPr>
          <w:rFonts w:eastAsia="Calibri" w:cs="TimesNewRomanPSMT"/>
          <w:lang w:val="en-US"/>
        </w:rPr>
        <w:t xml:space="preserve">and nitrocellulose </w:t>
      </w:r>
      <w:r w:rsidR="005E6FA5" w:rsidRPr="005E6FA5">
        <w:rPr>
          <w:rFonts w:eastAsia="Calibri" w:cs="TimesNewRomanPSMT"/>
          <w:u w:val="single"/>
          <w:lang w:val="en-US"/>
        </w:rPr>
        <w:t xml:space="preserve">should be tested according to Appendix 10 of this Manual </w:t>
      </w:r>
      <w:proofErr w:type="gramStart"/>
      <w:r w:rsidR="00AE5049">
        <w:rPr>
          <w:rFonts w:eastAsia="Calibri" w:cs="TimesNewRomanPSMT"/>
          <w:u w:val="single"/>
          <w:lang w:val="en-US"/>
        </w:rPr>
        <w:t>in order to</w:t>
      </w:r>
      <w:proofErr w:type="gramEnd"/>
      <w:r w:rsidR="00AE5049">
        <w:rPr>
          <w:rFonts w:eastAsia="Calibri" w:cs="TimesNewRomanPSMT"/>
          <w:u w:val="single"/>
          <w:lang w:val="en-US"/>
        </w:rPr>
        <w:t xml:space="preserve"> be used </w:t>
      </w:r>
      <w:r w:rsidRPr="005E6FA5">
        <w:rPr>
          <w:rFonts w:eastAsia="Calibri" w:cs="TimesNewRomanPSMT"/>
          <w:lang w:val="en-US"/>
        </w:rPr>
        <w:t>in nitrocellulose mixtures</w:t>
      </w:r>
      <w:r w:rsidRPr="005E6FA5">
        <w:rPr>
          <w:rFonts w:eastAsia="Calibri" w:cs="TimesNewRomanPSMT"/>
          <w:strike/>
          <w:lang w:val="en-US"/>
        </w:rPr>
        <w:t xml:space="preserve"> should be tested according to Appendix 10 of this Manual</w:t>
      </w:r>
      <w:r w:rsidRPr="005E6FA5">
        <w:rPr>
          <w:rFonts w:eastAsia="Calibri" w:cs="TimesNewRomanPSMT"/>
          <w:lang w:val="en-US"/>
        </w:rPr>
        <w:t>.</w:t>
      </w:r>
    </w:p>
    <w:p w14:paraId="1592B9CE" w14:textId="7EE7D2DD" w:rsidR="007C65AD" w:rsidRDefault="007C38B2" w:rsidP="003F4C6D">
      <w:pPr>
        <w:pStyle w:val="SingleTxtG"/>
        <w:tabs>
          <w:tab w:val="left" w:pos="1701"/>
        </w:tabs>
        <w:spacing w:before="120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8F76C0">
        <w:rPr>
          <w:lang w:val="en-US"/>
        </w:rPr>
        <w:t xml:space="preserve">In decision logic </w:t>
      </w:r>
      <w:r w:rsidR="00953C03">
        <w:rPr>
          <w:lang w:val="en-US"/>
        </w:rPr>
        <w:t xml:space="preserve">2.17.1 </w:t>
      </w:r>
      <w:r w:rsidR="008F76C0">
        <w:rPr>
          <w:lang w:val="en-US"/>
        </w:rPr>
        <w:t xml:space="preserve">in </w:t>
      </w:r>
      <w:r w:rsidR="00953C03">
        <w:rPr>
          <w:lang w:val="en-US"/>
        </w:rPr>
        <w:t xml:space="preserve">Annex I of document </w:t>
      </w:r>
      <w:r w:rsidR="00A558A8" w:rsidRPr="004F1312">
        <w:rPr>
          <w:lang w:val="en-US"/>
        </w:rPr>
        <w:t>INF.18</w:t>
      </w:r>
      <w:r w:rsidR="00A558A8">
        <w:rPr>
          <w:lang w:val="en-US"/>
        </w:rPr>
        <w:t xml:space="preserve"> (42</w:t>
      </w:r>
      <w:r w:rsidR="00A558A8" w:rsidRPr="007E7837">
        <w:rPr>
          <w:vertAlign w:val="superscript"/>
          <w:lang w:val="en-US"/>
        </w:rPr>
        <w:t>nd</w:t>
      </w:r>
      <w:r w:rsidR="00A558A8">
        <w:rPr>
          <w:lang w:val="en-US"/>
        </w:rPr>
        <w:t xml:space="preserve"> session) </w:t>
      </w:r>
      <w:r w:rsidR="00A558A8" w:rsidRPr="004F1312">
        <w:rPr>
          <w:lang w:val="en-US"/>
        </w:rPr>
        <w:t>INF.36</w:t>
      </w:r>
      <w:r w:rsidR="00A558A8">
        <w:rPr>
          <w:lang w:val="en-US"/>
        </w:rPr>
        <w:t xml:space="preserve"> </w:t>
      </w:r>
      <w:r w:rsidR="00A558A8">
        <w:rPr>
          <w:lang w:val="en-US"/>
        </w:rPr>
        <w:br/>
        <w:t>(60</w:t>
      </w:r>
      <w:r w:rsidR="00A558A8" w:rsidRPr="003170FA">
        <w:rPr>
          <w:vertAlign w:val="superscript"/>
          <w:lang w:val="en-US"/>
        </w:rPr>
        <w:t>th</w:t>
      </w:r>
      <w:r w:rsidR="00A558A8">
        <w:rPr>
          <w:lang w:val="en-US"/>
        </w:rPr>
        <w:t xml:space="preserve"> session) </w:t>
      </w:r>
      <w:r w:rsidR="008F76C0">
        <w:rPr>
          <w:lang w:val="en-US"/>
        </w:rPr>
        <w:t>a correction is necessary</w:t>
      </w:r>
      <w:r w:rsidR="00527850">
        <w:rPr>
          <w:lang w:val="en-US"/>
        </w:rPr>
        <w:t xml:space="preserve">. </w:t>
      </w:r>
      <w:r w:rsidR="007E33D4">
        <w:rPr>
          <w:lang w:val="en-US"/>
        </w:rPr>
        <w:t>In the box for nitrocellulose, t</w:t>
      </w:r>
      <w:r w:rsidR="00527850">
        <w:rPr>
          <w:lang w:val="en-US"/>
        </w:rPr>
        <w:t>he word “stable” should be replaced by the word “unstable” as shown below:</w:t>
      </w:r>
    </w:p>
    <w:p w14:paraId="5E7A3546" w14:textId="335A0229" w:rsidR="008F76C0" w:rsidRDefault="00C1283B" w:rsidP="00C1283B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268" w:right="2268"/>
        <w:jc w:val="center"/>
        <w:rPr>
          <w:lang w:val="en-US"/>
        </w:rPr>
      </w:pPr>
      <w:r>
        <w:rPr>
          <w:lang w:val="en-US"/>
        </w:rPr>
        <w:t>For nitrocellulose in nitrocellulose</w:t>
      </w:r>
      <w:r w:rsidR="00AE5049">
        <w:rPr>
          <w:lang w:val="en-US"/>
        </w:rPr>
        <w:t xml:space="preserve"> mixtures</w:t>
      </w:r>
      <w:r>
        <w:rPr>
          <w:lang w:val="en-US"/>
        </w:rPr>
        <w:t>: Appendix 10:</w:t>
      </w:r>
      <w:r>
        <w:rPr>
          <w:lang w:val="en-US"/>
        </w:rPr>
        <w:br/>
        <w:t>Is it</w:t>
      </w:r>
      <w:r w:rsidRPr="00527850">
        <w:rPr>
          <w:u w:val="single"/>
          <w:lang w:val="en-US"/>
        </w:rPr>
        <w:t xml:space="preserve"> </w:t>
      </w:r>
      <w:r w:rsidR="000B4D4B" w:rsidRPr="000B4D4B">
        <w:rPr>
          <w:u w:val="single"/>
          <w:lang w:val="en-US"/>
        </w:rPr>
        <w:t>unstable</w:t>
      </w:r>
      <w:r w:rsidR="00527850" w:rsidRPr="00527850">
        <w:rPr>
          <w:strike/>
          <w:lang w:val="en-US"/>
        </w:rPr>
        <w:t xml:space="preserve"> </w:t>
      </w:r>
      <w:r w:rsidRPr="000B4D4B">
        <w:rPr>
          <w:strike/>
          <w:lang w:val="en-US"/>
        </w:rPr>
        <w:t>stable</w:t>
      </w:r>
      <w:r>
        <w:rPr>
          <w:lang w:val="en-US"/>
        </w:rPr>
        <w:t>?</w:t>
      </w:r>
    </w:p>
    <w:p w14:paraId="0B89FA6D" w14:textId="0731E0F6" w:rsidR="005F25AB" w:rsidRPr="00AE5049" w:rsidRDefault="00C1283B" w:rsidP="005F25AB">
      <w:pPr>
        <w:pStyle w:val="SingleTxtG"/>
        <w:tabs>
          <w:tab w:val="left" w:pos="1701"/>
        </w:tabs>
        <w:rPr>
          <w:rFonts w:eastAsia="Calibri" w:cs="TimesNewRomanPSMT"/>
          <w:lang w:val="en-US"/>
        </w:rPr>
      </w:pPr>
      <w:r>
        <w:rPr>
          <w:lang w:val="en-US"/>
        </w:rPr>
        <w:t>6</w:t>
      </w:r>
      <w:r w:rsidR="008F76C0">
        <w:rPr>
          <w:lang w:val="en-US"/>
        </w:rPr>
        <w:t>.</w:t>
      </w:r>
      <w:r w:rsidR="008F76C0">
        <w:rPr>
          <w:lang w:val="en-US"/>
        </w:rPr>
        <w:tab/>
        <w:t xml:space="preserve">The Sub-Committee is invited to consider these additional amendments together with the proposals in </w:t>
      </w:r>
      <w:r w:rsidR="00A558A8">
        <w:rPr>
          <w:lang w:val="en-US"/>
        </w:rPr>
        <w:t xml:space="preserve">informal documents </w:t>
      </w:r>
      <w:r w:rsidR="00041CD6" w:rsidRPr="004F1312">
        <w:rPr>
          <w:lang w:val="en-US"/>
        </w:rPr>
        <w:t>INF.8</w:t>
      </w:r>
      <w:r w:rsidR="00041CD6">
        <w:rPr>
          <w:lang w:val="en-US"/>
        </w:rPr>
        <w:t xml:space="preserve"> </w:t>
      </w:r>
      <w:r w:rsidR="00A558A8">
        <w:rPr>
          <w:lang w:val="en-US"/>
        </w:rPr>
        <w:t>(42</w:t>
      </w:r>
      <w:r w:rsidR="00A558A8" w:rsidRPr="00A558A8">
        <w:rPr>
          <w:vertAlign w:val="superscript"/>
          <w:lang w:val="en-US"/>
        </w:rPr>
        <w:t>nd</w:t>
      </w:r>
      <w:r w:rsidR="00A558A8">
        <w:rPr>
          <w:lang w:val="en-US"/>
        </w:rPr>
        <w:t xml:space="preserve"> session) </w:t>
      </w:r>
      <w:r w:rsidR="008F76C0">
        <w:rPr>
          <w:lang w:val="en-US"/>
        </w:rPr>
        <w:t xml:space="preserve">and </w:t>
      </w:r>
      <w:r w:rsidR="00A558A8" w:rsidRPr="004F1312">
        <w:rPr>
          <w:lang w:val="en-US"/>
        </w:rPr>
        <w:t>INF.18</w:t>
      </w:r>
      <w:r w:rsidR="00A558A8">
        <w:rPr>
          <w:lang w:val="en-US"/>
        </w:rPr>
        <w:t xml:space="preserve"> (42</w:t>
      </w:r>
      <w:r w:rsidR="00A558A8" w:rsidRPr="007E7837">
        <w:rPr>
          <w:vertAlign w:val="superscript"/>
          <w:lang w:val="en-US"/>
        </w:rPr>
        <w:t>nd</w:t>
      </w:r>
      <w:r w:rsidR="00A558A8">
        <w:rPr>
          <w:lang w:val="en-US"/>
        </w:rPr>
        <w:t xml:space="preserve"> session) </w:t>
      </w:r>
      <w:r w:rsidR="00A558A8" w:rsidRPr="004F1312">
        <w:rPr>
          <w:lang w:val="en-US"/>
        </w:rPr>
        <w:t>INF.36</w:t>
      </w:r>
      <w:r w:rsidR="00A558A8">
        <w:rPr>
          <w:lang w:val="en-US"/>
        </w:rPr>
        <w:t xml:space="preserve"> (60</w:t>
      </w:r>
      <w:r w:rsidR="00A558A8" w:rsidRPr="003170FA">
        <w:rPr>
          <w:vertAlign w:val="superscript"/>
          <w:lang w:val="en-US"/>
        </w:rPr>
        <w:t>th</w:t>
      </w:r>
      <w:r w:rsidR="00A558A8">
        <w:rPr>
          <w:lang w:val="en-US"/>
        </w:rPr>
        <w:t xml:space="preserve"> session)</w:t>
      </w:r>
      <w:r w:rsidR="005F25AB">
        <w:rPr>
          <w:lang w:val="en-US"/>
        </w:rPr>
        <w:t>.</w:t>
      </w:r>
    </w:p>
    <w:p w14:paraId="0E6DC819" w14:textId="5AC5BE0F" w:rsidR="00C1283B" w:rsidRDefault="00C1283B" w:rsidP="00C1283B">
      <w:pPr>
        <w:spacing w:before="240"/>
        <w:jc w:val="center"/>
        <w:rPr>
          <w:u w:val="single"/>
          <w:lang w:val="en-US"/>
        </w:rPr>
      </w:pPr>
      <w:r w:rsidRPr="00561D93">
        <w:rPr>
          <w:u w:val="single"/>
          <w:lang w:val="en-US"/>
        </w:rPr>
        <w:tab/>
      </w:r>
      <w:r w:rsidRPr="00561D93">
        <w:rPr>
          <w:u w:val="single"/>
          <w:lang w:val="en-US"/>
        </w:rPr>
        <w:tab/>
      </w:r>
      <w:r w:rsidRPr="00561D93">
        <w:rPr>
          <w:u w:val="single"/>
          <w:lang w:val="en-US"/>
        </w:rPr>
        <w:tab/>
      </w:r>
    </w:p>
    <w:sectPr w:rsidR="00C1283B" w:rsidSect="007626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560" w:right="1134" w:bottom="141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ACA7" w14:textId="77777777" w:rsidR="00B1117F" w:rsidRDefault="00B1117F"/>
  </w:endnote>
  <w:endnote w:type="continuationSeparator" w:id="0">
    <w:p w14:paraId="1B5281F4" w14:textId="77777777" w:rsidR="00B1117F" w:rsidRDefault="00B1117F"/>
  </w:endnote>
  <w:endnote w:type="continuationNotice" w:id="1">
    <w:p w14:paraId="6AFEABF1" w14:textId="77777777" w:rsidR="00B1117F" w:rsidRDefault="00B1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F" w14:textId="77777777"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0" w14:textId="77777777"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3" w14:textId="05FC512B" w:rsidR="00DE236F" w:rsidRPr="000216CC" w:rsidRDefault="00976DEF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CBE1794" wp14:editId="422E5193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1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43B8" w14:textId="77777777" w:rsidR="00B1117F" w:rsidRPr="000B175B" w:rsidRDefault="00B111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B3ECC8" w14:textId="77777777" w:rsidR="00B1117F" w:rsidRPr="00FC68B7" w:rsidRDefault="00B111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9CE3DA" w14:textId="77777777" w:rsidR="00B1117F" w:rsidRDefault="00B1117F"/>
  </w:footnote>
  <w:footnote w:id="2">
    <w:p w14:paraId="352C3542" w14:textId="77777777" w:rsidR="00F94AB1" w:rsidRPr="00D76349" w:rsidRDefault="00F94AB1" w:rsidP="00F94AB1">
      <w:pPr>
        <w:pStyle w:val="FootnoteText"/>
      </w:pPr>
      <w:r>
        <w:tab/>
      </w:r>
      <w:r>
        <w:tab/>
      </w:r>
      <w:r>
        <w:rPr>
          <w:rStyle w:val="FootnoteReference"/>
        </w:rPr>
        <w:footnoteRef/>
      </w:r>
      <w:r>
        <w:t xml:space="preserve"> </w:t>
      </w:r>
      <w:r w:rsidRPr="00C150EC">
        <w:rPr>
          <w:lang w:val="en-US"/>
        </w:rPr>
        <w:t>based on paragraphs 28 to 31 of the report of the GHS Sub-Committee on its forty-first session</w:t>
      </w:r>
      <w:r>
        <w:rPr>
          <w:lang w:val="en-US"/>
        </w:rPr>
        <w:t xml:space="preserve"> </w:t>
      </w:r>
      <w:r w:rsidRPr="00C150EC">
        <w:rPr>
          <w:lang w:val="en-US"/>
        </w:rPr>
        <w:t>(ST/SG/AC.10/C.4/82) and paragraph 81 of the report of the TDG Sub-Committee on its fifty-ninth session (see ST/SG/AC.10/C.3/118).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D" w14:textId="7D7B62E8" w:rsidR="00DE236F" w:rsidRPr="00B5392B" w:rsidRDefault="00DE236F">
    <w:pPr>
      <w:pStyle w:val="Header"/>
      <w:rPr>
        <w:lang w:val="nl-NL"/>
      </w:rPr>
    </w:pPr>
    <w:r w:rsidRPr="00DB58AC">
      <w:rPr>
        <w:lang w:val="nl-NL"/>
      </w:rPr>
      <w:t>UN/SCEGHS/</w:t>
    </w:r>
    <w:r w:rsidR="00E1707A" w:rsidRPr="00DB58AC">
      <w:rPr>
        <w:lang w:val="nl-NL"/>
      </w:rPr>
      <w:t>4</w:t>
    </w:r>
    <w:r w:rsidR="002E5936" w:rsidRPr="00DB58AC">
      <w:rPr>
        <w:lang w:val="nl-NL"/>
      </w:rPr>
      <w:t>2</w:t>
    </w:r>
    <w:r w:rsidRPr="00DB58AC">
      <w:rPr>
        <w:lang w:val="nl-NL"/>
      </w:rPr>
      <w:t>/INF.</w:t>
    </w:r>
    <w:r w:rsidR="00DB58AC" w:rsidRPr="00DB58AC">
      <w:rPr>
        <w:lang w:val="nl-NL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E" w14:textId="7D7A1C2F" w:rsidR="00DE236F" w:rsidRPr="00E638E2" w:rsidRDefault="008B2FD9" w:rsidP="008B2FD9">
    <w:pPr>
      <w:pStyle w:val="Header"/>
      <w:jc w:val="right"/>
      <w:rPr>
        <w:lang w:val="fr-CH"/>
      </w:rPr>
    </w:pPr>
    <w:r w:rsidRPr="00E1707A">
      <w:rPr>
        <w:lang w:val="nl-NL"/>
      </w:rPr>
      <w:t>UN/SCEGHS/4</w:t>
    </w:r>
    <w:r w:rsidR="00EC3016">
      <w:rPr>
        <w:lang w:val="nl-NL"/>
      </w:rPr>
      <w:t>2</w:t>
    </w:r>
    <w:r w:rsidRPr="00E1707A">
      <w:rPr>
        <w:lang w:val="nl-NL"/>
      </w:rPr>
      <w:t>/INF.</w:t>
    </w:r>
    <w:r w:rsidR="007E33D4">
      <w:rPr>
        <w:lang w:val="nl-NL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1" w14:textId="77777777" w:rsidR="00DE236F" w:rsidRDefault="00DE236F" w:rsidP="00796F36">
    <w:pPr>
      <w:pStyle w:val="Header"/>
      <w:pBdr>
        <w:bottom w:val="none" w:sz="0" w:space="0" w:color="auto"/>
      </w:pBdr>
    </w:pPr>
  </w:p>
  <w:p w14:paraId="2CBE1792" w14:textId="77777777" w:rsidR="00DE236F" w:rsidRDefault="00DE23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6F3"/>
    <w:multiLevelType w:val="hybridMultilevel"/>
    <w:tmpl w:val="229ADC8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033411F7"/>
    <w:multiLevelType w:val="hybridMultilevel"/>
    <w:tmpl w:val="0E52DEBE"/>
    <w:lvl w:ilvl="0" w:tplc="BA6E94CE">
      <w:start w:val="1"/>
      <w:numFmt w:val="lowerLetter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C4BA9AF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858EB8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27C046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07AC36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C212AF4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3BA27F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AD0A2E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61EF68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30AD3"/>
    <w:multiLevelType w:val="hybridMultilevel"/>
    <w:tmpl w:val="AB6A72DA"/>
    <w:lvl w:ilvl="0" w:tplc="CD78292A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C70598A"/>
    <w:multiLevelType w:val="multilevel"/>
    <w:tmpl w:val="81E0D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141478D6"/>
    <w:multiLevelType w:val="hybridMultilevel"/>
    <w:tmpl w:val="714A8B6E"/>
    <w:lvl w:ilvl="0" w:tplc="4718E602">
      <w:start w:val="2"/>
      <w:numFmt w:val="decimal"/>
      <w:lvlText w:val="%1."/>
      <w:lvlJc w:val="left"/>
      <w:pPr>
        <w:ind w:left="720" w:hanging="360"/>
      </w:pPr>
      <w:rPr>
        <w:rFonts w:ascii="Helvetica" w:hAnsi="Helvetica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62795D"/>
    <w:multiLevelType w:val="hybridMultilevel"/>
    <w:tmpl w:val="44EA4EEA"/>
    <w:lvl w:ilvl="0" w:tplc="4244756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B255AE9"/>
    <w:multiLevelType w:val="hybridMultilevel"/>
    <w:tmpl w:val="FFFFFFFF"/>
    <w:lvl w:ilvl="0" w:tplc="C192A7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4C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AC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A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2E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F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415E3"/>
    <w:multiLevelType w:val="hybridMultilevel"/>
    <w:tmpl w:val="FFFFFFFF"/>
    <w:lvl w:ilvl="0" w:tplc="B8BA5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786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2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3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4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A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43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66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44BB"/>
    <w:multiLevelType w:val="hybridMultilevel"/>
    <w:tmpl w:val="46106188"/>
    <w:lvl w:ilvl="0" w:tplc="97F40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2510438"/>
    <w:multiLevelType w:val="hybridMultilevel"/>
    <w:tmpl w:val="03D8D6F2"/>
    <w:lvl w:ilvl="0" w:tplc="A4386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B617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B8B0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86B5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FEAB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2C5D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28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616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B285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5" w15:restartNumberingAfterBreak="0">
    <w:nsid w:val="33B0200B"/>
    <w:multiLevelType w:val="hybridMultilevel"/>
    <w:tmpl w:val="1CD216D2"/>
    <w:lvl w:ilvl="0" w:tplc="5F583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74B791B"/>
    <w:multiLevelType w:val="hybridMultilevel"/>
    <w:tmpl w:val="310618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8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A2ACB"/>
    <w:multiLevelType w:val="hybridMultilevel"/>
    <w:tmpl w:val="C18C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64777"/>
    <w:multiLevelType w:val="hybridMultilevel"/>
    <w:tmpl w:val="8B12DD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CDF3310"/>
    <w:multiLevelType w:val="hybridMultilevel"/>
    <w:tmpl w:val="108298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B8B0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1C63EAB"/>
    <w:multiLevelType w:val="hybridMultilevel"/>
    <w:tmpl w:val="D7A69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56D58"/>
    <w:multiLevelType w:val="hybridMultilevel"/>
    <w:tmpl w:val="B42227CA"/>
    <w:lvl w:ilvl="0" w:tplc="FFFFFFFF">
      <w:start w:val="1"/>
      <w:numFmt w:val="lowerRoman"/>
      <w:lvlText w:val="%1."/>
      <w:lvlJc w:val="right"/>
      <w:pPr>
        <w:ind w:left="1350" w:hanging="360"/>
      </w:pPr>
    </w:lvl>
    <w:lvl w:ilvl="1" w:tplc="040C0019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0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F392F3B"/>
    <w:multiLevelType w:val="hybridMultilevel"/>
    <w:tmpl w:val="6CDE1902"/>
    <w:lvl w:ilvl="0" w:tplc="E11811CE">
      <w:start w:val="1"/>
      <w:numFmt w:val="lowerRoman"/>
      <w:lvlText w:val="%1."/>
      <w:lvlJc w:val="right"/>
      <w:pPr>
        <w:ind w:left="1080" w:hanging="360"/>
      </w:pPr>
    </w:lvl>
    <w:lvl w:ilvl="1" w:tplc="8BF01FA0">
      <w:start w:val="1"/>
      <w:numFmt w:val="lowerLetter"/>
      <w:lvlText w:val="%2."/>
      <w:lvlJc w:val="left"/>
      <w:pPr>
        <w:ind w:left="1800" w:hanging="360"/>
      </w:pPr>
    </w:lvl>
    <w:lvl w:ilvl="2" w:tplc="B78C1226">
      <w:start w:val="1"/>
      <w:numFmt w:val="lowerRoman"/>
      <w:lvlText w:val="%3."/>
      <w:lvlJc w:val="right"/>
      <w:pPr>
        <w:ind w:left="2520" w:hanging="180"/>
      </w:pPr>
    </w:lvl>
    <w:lvl w:ilvl="3" w:tplc="AA4A6B18">
      <w:start w:val="1"/>
      <w:numFmt w:val="decimal"/>
      <w:lvlText w:val="%4."/>
      <w:lvlJc w:val="left"/>
      <w:pPr>
        <w:ind w:left="3240" w:hanging="360"/>
      </w:pPr>
    </w:lvl>
    <w:lvl w:ilvl="4" w:tplc="FD069C82">
      <w:start w:val="1"/>
      <w:numFmt w:val="lowerLetter"/>
      <w:lvlText w:val="%5."/>
      <w:lvlJc w:val="left"/>
      <w:pPr>
        <w:ind w:left="3960" w:hanging="360"/>
      </w:pPr>
    </w:lvl>
    <w:lvl w:ilvl="5" w:tplc="9C4237AE">
      <w:start w:val="1"/>
      <w:numFmt w:val="lowerRoman"/>
      <w:lvlText w:val="%6."/>
      <w:lvlJc w:val="right"/>
      <w:pPr>
        <w:ind w:left="4680" w:hanging="180"/>
      </w:pPr>
    </w:lvl>
    <w:lvl w:ilvl="6" w:tplc="77544C12">
      <w:start w:val="1"/>
      <w:numFmt w:val="decimal"/>
      <w:lvlText w:val="%7."/>
      <w:lvlJc w:val="left"/>
      <w:pPr>
        <w:ind w:left="5400" w:hanging="360"/>
      </w:pPr>
    </w:lvl>
    <w:lvl w:ilvl="7" w:tplc="B0A2D2C4">
      <w:start w:val="1"/>
      <w:numFmt w:val="lowerLetter"/>
      <w:lvlText w:val="%8."/>
      <w:lvlJc w:val="left"/>
      <w:pPr>
        <w:ind w:left="6120" w:hanging="360"/>
      </w:pPr>
    </w:lvl>
    <w:lvl w:ilvl="8" w:tplc="3EA6E322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6"/>
  </w:num>
  <w:num w:numId="13">
    <w:abstractNumId w:val="12"/>
  </w:num>
  <w:num w:numId="14">
    <w:abstractNumId w:val="38"/>
  </w:num>
  <w:num w:numId="15">
    <w:abstractNumId w:val="42"/>
  </w:num>
  <w:num w:numId="16">
    <w:abstractNumId w:val="28"/>
  </w:num>
  <w:num w:numId="17">
    <w:abstractNumId w:val="32"/>
  </w:num>
  <w:num w:numId="18">
    <w:abstractNumId w:val="40"/>
  </w:num>
  <w:num w:numId="19">
    <w:abstractNumId w:val="27"/>
  </w:num>
  <w:num w:numId="20">
    <w:abstractNumId w:val="39"/>
  </w:num>
  <w:num w:numId="21">
    <w:abstractNumId w:val="24"/>
  </w:num>
  <w:num w:numId="22">
    <w:abstractNumId w:val="30"/>
  </w:num>
  <w:num w:numId="23">
    <w:abstractNumId w:val="43"/>
  </w:num>
  <w:num w:numId="24">
    <w:abstractNumId w:val="20"/>
  </w:num>
  <w:num w:numId="25">
    <w:abstractNumId w:val="29"/>
  </w:num>
  <w:num w:numId="26">
    <w:abstractNumId w:val="18"/>
  </w:num>
  <w:num w:numId="27">
    <w:abstractNumId w:val="11"/>
  </w:num>
  <w:num w:numId="28">
    <w:abstractNumId w:val="19"/>
  </w:num>
  <w:num w:numId="29">
    <w:abstractNumId w:val="21"/>
  </w:num>
  <w:num w:numId="30">
    <w:abstractNumId w:val="17"/>
  </w:num>
  <w:num w:numId="31">
    <w:abstractNumId w:val="25"/>
  </w:num>
  <w:num w:numId="32">
    <w:abstractNumId w:val="22"/>
  </w:num>
  <w:num w:numId="33">
    <w:abstractNumId w:val="23"/>
  </w:num>
  <w:num w:numId="34">
    <w:abstractNumId w:val="41"/>
  </w:num>
  <w:num w:numId="35">
    <w:abstractNumId w:val="37"/>
  </w:num>
  <w:num w:numId="36">
    <w:abstractNumId w:val="34"/>
  </w:num>
  <w:num w:numId="37">
    <w:abstractNumId w:val="10"/>
  </w:num>
  <w:num w:numId="38">
    <w:abstractNumId w:val="15"/>
  </w:num>
  <w:num w:numId="39">
    <w:abstractNumId w:val="36"/>
  </w:num>
  <w:num w:numId="40">
    <w:abstractNumId w:val="14"/>
  </w:num>
  <w:num w:numId="41">
    <w:abstractNumId w:val="33"/>
  </w:num>
  <w:num w:numId="42">
    <w:abstractNumId w:val="26"/>
  </w:num>
  <w:num w:numId="43">
    <w:abstractNumId w:val="31"/>
  </w:num>
  <w:num w:numId="4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EE4"/>
    <w:rsid w:val="0000630C"/>
    <w:rsid w:val="00006FAE"/>
    <w:rsid w:val="000133C5"/>
    <w:rsid w:val="00013F48"/>
    <w:rsid w:val="000144C7"/>
    <w:rsid w:val="000168D8"/>
    <w:rsid w:val="0001748E"/>
    <w:rsid w:val="00017D24"/>
    <w:rsid w:val="0002125F"/>
    <w:rsid w:val="000216CC"/>
    <w:rsid w:val="000272C1"/>
    <w:rsid w:val="000364BC"/>
    <w:rsid w:val="00041CD6"/>
    <w:rsid w:val="00043180"/>
    <w:rsid w:val="000504CE"/>
    <w:rsid w:val="00050922"/>
    <w:rsid w:val="00050F6B"/>
    <w:rsid w:val="00053492"/>
    <w:rsid w:val="0005710C"/>
    <w:rsid w:val="00061551"/>
    <w:rsid w:val="00063F5B"/>
    <w:rsid w:val="00064402"/>
    <w:rsid w:val="00067E6D"/>
    <w:rsid w:val="00072C8C"/>
    <w:rsid w:val="00072F16"/>
    <w:rsid w:val="00073129"/>
    <w:rsid w:val="00075F99"/>
    <w:rsid w:val="000764DD"/>
    <w:rsid w:val="00076A0A"/>
    <w:rsid w:val="000819E1"/>
    <w:rsid w:val="00082CE1"/>
    <w:rsid w:val="00083598"/>
    <w:rsid w:val="00084632"/>
    <w:rsid w:val="0008612B"/>
    <w:rsid w:val="000867EA"/>
    <w:rsid w:val="00087CFD"/>
    <w:rsid w:val="00091046"/>
    <w:rsid w:val="000911D9"/>
    <w:rsid w:val="00091419"/>
    <w:rsid w:val="00091740"/>
    <w:rsid w:val="00091CB3"/>
    <w:rsid w:val="000931C0"/>
    <w:rsid w:val="00094D14"/>
    <w:rsid w:val="000A2236"/>
    <w:rsid w:val="000A25BA"/>
    <w:rsid w:val="000A35F2"/>
    <w:rsid w:val="000A3747"/>
    <w:rsid w:val="000A3A48"/>
    <w:rsid w:val="000A4C38"/>
    <w:rsid w:val="000B175B"/>
    <w:rsid w:val="000B3A0F"/>
    <w:rsid w:val="000B4919"/>
    <w:rsid w:val="000B49DC"/>
    <w:rsid w:val="000B4D4B"/>
    <w:rsid w:val="000B7AF2"/>
    <w:rsid w:val="000B7D55"/>
    <w:rsid w:val="000C1ED8"/>
    <w:rsid w:val="000C5D4B"/>
    <w:rsid w:val="000C61D8"/>
    <w:rsid w:val="000C623B"/>
    <w:rsid w:val="000C717F"/>
    <w:rsid w:val="000D0B8F"/>
    <w:rsid w:val="000D481F"/>
    <w:rsid w:val="000D6D97"/>
    <w:rsid w:val="000D759E"/>
    <w:rsid w:val="000D7830"/>
    <w:rsid w:val="000E0415"/>
    <w:rsid w:val="000E15B6"/>
    <w:rsid w:val="000E38B6"/>
    <w:rsid w:val="000F52D6"/>
    <w:rsid w:val="000F67B5"/>
    <w:rsid w:val="000F6A20"/>
    <w:rsid w:val="00100142"/>
    <w:rsid w:val="0010461A"/>
    <w:rsid w:val="00107652"/>
    <w:rsid w:val="00110EC5"/>
    <w:rsid w:val="00115303"/>
    <w:rsid w:val="00117787"/>
    <w:rsid w:val="00117D0D"/>
    <w:rsid w:val="00121EB7"/>
    <w:rsid w:val="00131B10"/>
    <w:rsid w:val="00131D42"/>
    <w:rsid w:val="00133637"/>
    <w:rsid w:val="00133C50"/>
    <w:rsid w:val="001406F4"/>
    <w:rsid w:val="00141FDE"/>
    <w:rsid w:val="00161E15"/>
    <w:rsid w:val="00162E8B"/>
    <w:rsid w:val="001633FB"/>
    <w:rsid w:val="00163A1B"/>
    <w:rsid w:val="00165735"/>
    <w:rsid w:val="00167786"/>
    <w:rsid w:val="001760F4"/>
    <w:rsid w:val="00180A6A"/>
    <w:rsid w:val="00181019"/>
    <w:rsid w:val="001835BF"/>
    <w:rsid w:val="00184B86"/>
    <w:rsid w:val="00184FC8"/>
    <w:rsid w:val="001855B8"/>
    <w:rsid w:val="001943F4"/>
    <w:rsid w:val="001A02A4"/>
    <w:rsid w:val="001A3A37"/>
    <w:rsid w:val="001A7D61"/>
    <w:rsid w:val="001B35EE"/>
    <w:rsid w:val="001B4277"/>
    <w:rsid w:val="001B4B04"/>
    <w:rsid w:val="001B6B72"/>
    <w:rsid w:val="001C3B3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1F3EF5"/>
    <w:rsid w:val="001F7E3C"/>
    <w:rsid w:val="00204656"/>
    <w:rsid w:val="00210EB3"/>
    <w:rsid w:val="00211B12"/>
    <w:rsid w:val="00211E0B"/>
    <w:rsid w:val="0021481D"/>
    <w:rsid w:val="002153F8"/>
    <w:rsid w:val="00221589"/>
    <w:rsid w:val="00221AC2"/>
    <w:rsid w:val="00223E43"/>
    <w:rsid w:val="00224CD9"/>
    <w:rsid w:val="002254A7"/>
    <w:rsid w:val="002309A7"/>
    <w:rsid w:val="002352AA"/>
    <w:rsid w:val="00235381"/>
    <w:rsid w:val="00237785"/>
    <w:rsid w:val="00241178"/>
    <w:rsid w:val="00241466"/>
    <w:rsid w:val="0024267F"/>
    <w:rsid w:val="00242D99"/>
    <w:rsid w:val="002440E7"/>
    <w:rsid w:val="00247570"/>
    <w:rsid w:val="00253CD8"/>
    <w:rsid w:val="00253F0D"/>
    <w:rsid w:val="00257287"/>
    <w:rsid w:val="00257C1E"/>
    <w:rsid w:val="00261B71"/>
    <w:rsid w:val="00261E65"/>
    <w:rsid w:val="002621F5"/>
    <w:rsid w:val="00263C5F"/>
    <w:rsid w:val="0026623E"/>
    <w:rsid w:val="0027018D"/>
    <w:rsid w:val="002708B5"/>
    <w:rsid w:val="0027137B"/>
    <w:rsid w:val="002725CA"/>
    <w:rsid w:val="00273A92"/>
    <w:rsid w:val="00274DD9"/>
    <w:rsid w:val="00276AD2"/>
    <w:rsid w:val="00277896"/>
    <w:rsid w:val="00280EB7"/>
    <w:rsid w:val="00282C5A"/>
    <w:rsid w:val="00282D44"/>
    <w:rsid w:val="002974E6"/>
    <w:rsid w:val="002976CF"/>
    <w:rsid w:val="002A0BD2"/>
    <w:rsid w:val="002A56D0"/>
    <w:rsid w:val="002A5B17"/>
    <w:rsid w:val="002B067A"/>
    <w:rsid w:val="002B1514"/>
    <w:rsid w:val="002B1CDA"/>
    <w:rsid w:val="002B4530"/>
    <w:rsid w:val="002B49C4"/>
    <w:rsid w:val="002B7739"/>
    <w:rsid w:val="002C01A4"/>
    <w:rsid w:val="002C16CD"/>
    <w:rsid w:val="002C17B9"/>
    <w:rsid w:val="002C7F25"/>
    <w:rsid w:val="002D328B"/>
    <w:rsid w:val="002D5A85"/>
    <w:rsid w:val="002D5C7D"/>
    <w:rsid w:val="002E35BB"/>
    <w:rsid w:val="002E5936"/>
    <w:rsid w:val="002F0A0F"/>
    <w:rsid w:val="002F4395"/>
    <w:rsid w:val="002F68FD"/>
    <w:rsid w:val="00304656"/>
    <w:rsid w:val="003052D7"/>
    <w:rsid w:val="003107FA"/>
    <w:rsid w:val="00315D73"/>
    <w:rsid w:val="00316FF9"/>
    <w:rsid w:val="003170FA"/>
    <w:rsid w:val="0032121A"/>
    <w:rsid w:val="00321716"/>
    <w:rsid w:val="003229D8"/>
    <w:rsid w:val="00322A8D"/>
    <w:rsid w:val="00327D0A"/>
    <w:rsid w:val="003312A7"/>
    <w:rsid w:val="003415E7"/>
    <w:rsid w:val="003517C3"/>
    <w:rsid w:val="003529B5"/>
    <w:rsid w:val="00355502"/>
    <w:rsid w:val="00356BC7"/>
    <w:rsid w:val="00357A20"/>
    <w:rsid w:val="00362334"/>
    <w:rsid w:val="0036641E"/>
    <w:rsid w:val="00372F06"/>
    <w:rsid w:val="003753C8"/>
    <w:rsid w:val="00376AD2"/>
    <w:rsid w:val="00380C4F"/>
    <w:rsid w:val="0038277A"/>
    <w:rsid w:val="00383045"/>
    <w:rsid w:val="00391647"/>
    <w:rsid w:val="0039277A"/>
    <w:rsid w:val="00396A06"/>
    <w:rsid w:val="00396F6A"/>
    <w:rsid w:val="003972E0"/>
    <w:rsid w:val="003A1EC2"/>
    <w:rsid w:val="003A27EB"/>
    <w:rsid w:val="003A28DC"/>
    <w:rsid w:val="003A52D7"/>
    <w:rsid w:val="003A5669"/>
    <w:rsid w:val="003A5A16"/>
    <w:rsid w:val="003B5C07"/>
    <w:rsid w:val="003B656D"/>
    <w:rsid w:val="003C0657"/>
    <w:rsid w:val="003C0FEC"/>
    <w:rsid w:val="003C18C9"/>
    <w:rsid w:val="003C2CC4"/>
    <w:rsid w:val="003C388D"/>
    <w:rsid w:val="003C655D"/>
    <w:rsid w:val="003C664B"/>
    <w:rsid w:val="003D4B23"/>
    <w:rsid w:val="003D7399"/>
    <w:rsid w:val="003E1745"/>
    <w:rsid w:val="003E497C"/>
    <w:rsid w:val="003F23A4"/>
    <w:rsid w:val="003F3297"/>
    <w:rsid w:val="003F4C6D"/>
    <w:rsid w:val="003F5B52"/>
    <w:rsid w:val="00403EC6"/>
    <w:rsid w:val="00406CD4"/>
    <w:rsid w:val="00412406"/>
    <w:rsid w:val="00414400"/>
    <w:rsid w:val="00416028"/>
    <w:rsid w:val="0041F112"/>
    <w:rsid w:val="004211DC"/>
    <w:rsid w:val="0042348E"/>
    <w:rsid w:val="00426195"/>
    <w:rsid w:val="0042717A"/>
    <w:rsid w:val="00430051"/>
    <w:rsid w:val="00430086"/>
    <w:rsid w:val="00430918"/>
    <w:rsid w:val="004325CB"/>
    <w:rsid w:val="00437F3F"/>
    <w:rsid w:val="00440CA9"/>
    <w:rsid w:val="00440FB0"/>
    <w:rsid w:val="00446DE4"/>
    <w:rsid w:val="00452D10"/>
    <w:rsid w:val="00454036"/>
    <w:rsid w:val="004553E9"/>
    <w:rsid w:val="004562AA"/>
    <w:rsid w:val="0046443A"/>
    <w:rsid w:val="004653B3"/>
    <w:rsid w:val="004654C4"/>
    <w:rsid w:val="0046668F"/>
    <w:rsid w:val="0046773D"/>
    <w:rsid w:val="0046788D"/>
    <w:rsid w:val="0048304D"/>
    <w:rsid w:val="004835C0"/>
    <w:rsid w:val="00484A9B"/>
    <w:rsid w:val="004905B1"/>
    <w:rsid w:val="00492AF9"/>
    <w:rsid w:val="00494C77"/>
    <w:rsid w:val="00497711"/>
    <w:rsid w:val="004977CE"/>
    <w:rsid w:val="004B1E47"/>
    <w:rsid w:val="004B2C9D"/>
    <w:rsid w:val="004B5939"/>
    <w:rsid w:val="004B6DF0"/>
    <w:rsid w:val="004B73D6"/>
    <w:rsid w:val="004C3485"/>
    <w:rsid w:val="004C39D0"/>
    <w:rsid w:val="004C4F1A"/>
    <w:rsid w:val="004C571E"/>
    <w:rsid w:val="004C6D6D"/>
    <w:rsid w:val="004D56A5"/>
    <w:rsid w:val="004E0C5D"/>
    <w:rsid w:val="004F1312"/>
    <w:rsid w:val="004F1E93"/>
    <w:rsid w:val="004F2F21"/>
    <w:rsid w:val="004F3AC0"/>
    <w:rsid w:val="004F4240"/>
    <w:rsid w:val="004F77CD"/>
    <w:rsid w:val="00500562"/>
    <w:rsid w:val="00507CF1"/>
    <w:rsid w:val="00514EDD"/>
    <w:rsid w:val="00515AC1"/>
    <w:rsid w:val="00522177"/>
    <w:rsid w:val="00527850"/>
    <w:rsid w:val="00527910"/>
    <w:rsid w:val="00530C66"/>
    <w:rsid w:val="005420F2"/>
    <w:rsid w:val="00542505"/>
    <w:rsid w:val="005475D4"/>
    <w:rsid w:val="00547C8B"/>
    <w:rsid w:val="00555CDB"/>
    <w:rsid w:val="00561B6D"/>
    <w:rsid w:val="00562D45"/>
    <w:rsid w:val="0056615B"/>
    <w:rsid w:val="00567DFB"/>
    <w:rsid w:val="00571721"/>
    <w:rsid w:val="00571DAA"/>
    <w:rsid w:val="0057619C"/>
    <w:rsid w:val="0058129D"/>
    <w:rsid w:val="00584BB9"/>
    <w:rsid w:val="005869A6"/>
    <w:rsid w:val="00590144"/>
    <w:rsid w:val="00594427"/>
    <w:rsid w:val="0059682C"/>
    <w:rsid w:val="005A3DE1"/>
    <w:rsid w:val="005A5ECE"/>
    <w:rsid w:val="005A64DD"/>
    <w:rsid w:val="005A7236"/>
    <w:rsid w:val="005B09F0"/>
    <w:rsid w:val="005B0CED"/>
    <w:rsid w:val="005B3DB3"/>
    <w:rsid w:val="005B3DF3"/>
    <w:rsid w:val="005B528A"/>
    <w:rsid w:val="005B7CDD"/>
    <w:rsid w:val="005C4CB5"/>
    <w:rsid w:val="005D0C6C"/>
    <w:rsid w:val="005D0F42"/>
    <w:rsid w:val="005D1BB4"/>
    <w:rsid w:val="005D277F"/>
    <w:rsid w:val="005D602E"/>
    <w:rsid w:val="005E1CCD"/>
    <w:rsid w:val="005E5946"/>
    <w:rsid w:val="005E6FA5"/>
    <w:rsid w:val="005F25AB"/>
    <w:rsid w:val="005F3597"/>
    <w:rsid w:val="005F3A39"/>
    <w:rsid w:val="005F5C2F"/>
    <w:rsid w:val="005F7BB1"/>
    <w:rsid w:val="00602490"/>
    <w:rsid w:val="00603E3C"/>
    <w:rsid w:val="0060505C"/>
    <w:rsid w:val="00610576"/>
    <w:rsid w:val="00611167"/>
    <w:rsid w:val="00611FC4"/>
    <w:rsid w:val="00612812"/>
    <w:rsid w:val="006153CD"/>
    <w:rsid w:val="006176FB"/>
    <w:rsid w:val="006179CB"/>
    <w:rsid w:val="00626B06"/>
    <w:rsid w:val="006279AC"/>
    <w:rsid w:val="00630D9D"/>
    <w:rsid w:val="0063419C"/>
    <w:rsid w:val="00635381"/>
    <w:rsid w:val="00636677"/>
    <w:rsid w:val="00636986"/>
    <w:rsid w:val="00636F1E"/>
    <w:rsid w:val="00637542"/>
    <w:rsid w:val="00640B26"/>
    <w:rsid w:val="00641194"/>
    <w:rsid w:val="00645A0B"/>
    <w:rsid w:val="006500BA"/>
    <w:rsid w:val="006506DB"/>
    <w:rsid w:val="00654516"/>
    <w:rsid w:val="00662121"/>
    <w:rsid w:val="00662E09"/>
    <w:rsid w:val="006648AD"/>
    <w:rsid w:val="0066648F"/>
    <w:rsid w:val="00670CF0"/>
    <w:rsid w:val="00675F87"/>
    <w:rsid w:val="00687476"/>
    <w:rsid w:val="00690CD6"/>
    <w:rsid w:val="006950DB"/>
    <w:rsid w:val="00696D43"/>
    <w:rsid w:val="006A3932"/>
    <w:rsid w:val="006A42B2"/>
    <w:rsid w:val="006A4C67"/>
    <w:rsid w:val="006A63E3"/>
    <w:rsid w:val="006A7392"/>
    <w:rsid w:val="006B1C55"/>
    <w:rsid w:val="006C000C"/>
    <w:rsid w:val="006C0D34"/>
    <w:rsid w:val="006C251B"/>
    <w:rsid w:val="006C2F7E"/>
    <w:rsid w:val="006C48EF"/>
    <w:rsid w:val="006C74C4"/>
    <w:rsid w:val="006D0C97"/>
    <w:rsid w:val="006D1E62"/>
    <w:rsid w:val="006D2639"/>
    <w:rsid w:val="006D3560"/>
    <w:rsid w:val="006D51B8"/>
    <w:rsid w:val="006D68FB"/>
    <w:rsid w:val="006E0B07"/>
    <w:rsid w:val="006E3B65"/>
    <w:rsid w:val="006E564B"/>
    <w:rsid w:val="007025C0"/>
    <w:rsid w:val="00707F04"/>
    <w:rsid w:val="00710842"/>
    <w:rsid w:val="00711637"/>
    <w:rsid w:val="007149A0"/>
    <w:rsid w:val="00714F4F"/>
    <w:rsid w:val="00716B23"/>
    <w:rsid w:val="0072632A"/>
    <w:rsid w:val="0073435C"/>
    <w:rsid w:val="00736E6A"/>
    <w:rsid w:val="00741F59"/>
    <w:rsid w:val="0074697D"/>
    <w:rsid w:val="00752E9E"/>
    <w:rsid w:val="00755EBE"/>
    <w:rsid w:val="0075710E"/>
    <w:rsid w:val="00761619"/>
    <w:rsid w:val="0076177C"/>
    <w:rsid w:val="007626C8"/>
    <w:rsid w:val="00763C33"/>
    <w:rsid w:val="00766322"/>
    <w:rsid w:val="00767E6C"/>
    <w:rsid w:val="00770BCD"/>
    <w:rsid w:val="00771904"/>
    <w:rsid w:val="00773353"/>
    <w:rsid w:val="00774129"/>
    <w:rsid w:val="00774E8F"/>
    <w:rsid w:val="00774EAA"/>
    <w:rsid w:val="0078123B"/>
    <w:rsid w:val="007855F6"/>
    <w:rsid w:val="00786434"/>
    <w:rsid w:val="00786A9D"/>
    <w:rsid w:val="00790791"/>
    <w:rsid w:val="00796F36"/>
    <w:rsid w:val="00797966"/>
    <w:rsid w:val="00797FDD"/>
    <w:rsid w:val="007A2C46"/>
    <w:rsid w:val="007A2CDB"/>
    <w:rsid w:val="007A62EC"/>
    <w:rsid w:val="007B14CA"/>
    <w:rsid w:val="007B1A7E"/>
    <w:rsid w:val="007B2BA8"/>
    <w:rsid w:val="007B4FC4"/>
    <w:rsid w:val="007B6BA5"/>
    <w:rsid w:val="007C2C0D"/>
    <w:rsid w:val="007C3162"/>
    <w:rsid w:val="007C3390"/>
    <w:rsid w:val="007C38B2"/>
    <w:rsid w:val="007C3D2F"/>
    <w:rsid w:val="007C4B64"/>
    <w:rsid w:val="007C4F4B"/>
    <w:rsid w:val="007C644D"/>
    <w:rsid w:val="007C65AD"/>
    <w:rsid w:val="007C77B6"/>
    <w:rsid w:val="007D7663"/>
    <w:rsid w:val="007D7BC6"/>
    <w:rsid w:val="007E0CE9"/>
    <w:rsid w:val="007E33D4"/>
    <w:rsid w:val="007E3C94"/>
    <w:rsid w:val="007E43AB"/>
    <w:rsid w:val="007E4BD3"/>
    <w:rsid w:val="007E5D7C"/>
    <w:rsid w:val="007E7837"/>
    <w:rsid w:val="007F2A54"/>
    <w:rsid w:val="007F5104"/>
    <w:rsid w:val="007F6611"/>
    <w:rsid w:val="00800024"/>
    <w:rsid w:val="008037A2"/>
    <w:rsid w:val="008137EF"/>
    <w:rsid w:val="00816582"/>
    <w:rsid w:val="00816AB6"/>
    <w:rsid w:val="008175E9"/>
    <w:rsid w:val="00820A2D"/>
    <w:rsid w:val="008242D7"/>
    <w:rsid w:val="00826C09"/>
    <w:rsid w:val="0083043E"/>
    <w:rsid w:val="0083069A"/>
    <w:rsid w:val="00832A1D"/>
    <w:rsid w:val="00834479"/>
    <w:rsid w:val="00835396"/>
    <w:rsid w:val="008375A2"/>
    <w:rsid w:val="0084344A"/>
    <w:rsid w:val="00843AB2"/>
    <w:rsid w:val="00844EAB"/>
    <w:rsid w:val="00846809"/>
    <w:rsid w:val="00857284"/>
    <w:rsid w:val="00860824"/>
    <w:rsid w:val="00860A81"/>
    <w:rsid w:val="0086107D"/>
    <w:rsid w:val="00862BD5"/>
    <w:rsid w:val="00863D94"/>
    <w:rsid w:val="00864231"/>
    <w:rsid w:val="00864251"/>
    <w:rsid w:val="00867EC4"/>
    <w:rsid w:val="00871FD5"/>
    <w:rsid w:val="0087567B"/>
    <w:rsid w:val="00876A20"/>
    <w:rsid w:val="00881213"/>
    <w:rsid w:val="00884233"/>
    <w:rsid w:val="0088642C"/>
    <w:rsid w:val="00890B55"/>
    <w:rsid w:val="008916A5"/>
    <w:rsid w:val="00892AFD"/>
    <w:rsid w:val="00896CBB"/>
    <w:rsid w:val="008979B1"/>
    <w:rsid w:val="008A0B75"/>
    <w:rsid w:val="008A1542"/>
    <w:rsid w:val="008A6B25"/>
    <w:rsid w:val="008A6C4F"/>
    <w:rsid w:val="008A7679"/>
    <w:rsid w:val="008A7AB3"/>
    <w:rsid w:val="008B2FD9"/>
    <w:rsid w:val="008B309F"/>
    <w:rsid w:val="008B3EC4"/>
    <w:rsid w:val="008B539B"/>
    <w:rsid w:val="008B65FB"/>
    <w:rsid w:val="008C3B3C"/>
    <w:rsid w:val="008C4283"/>
    <w:rsid w:val="008C5EA7"/>
    <w:rsid w:val="008C6F95"/>
    <w:rsid w:val="008C7192"/>
    <w:rsid w:val="008C74C3"/>
    <w:rsid w:val="008C7BF7"/>
    <w:rsid w:val="008D134F"/>
    <w:rsid w:val="008D3C75"/>
    <w:rsid w:val="008D6942"/>
    <w:rsid w:val="008E0E46"/>
    <w:rsid w:val="008E1DAE"/>
    <w:rsid w:val="008E295A"/>
    <w:rsid w:val="008E2A47"/>
    <w:rsid w:val="008F2D9A"/>
    <w:rsid w:val="008F44B8"/>
    <w:rsid w:val="008F483C"/>
    <w:rsid w:val="008F504A"/>
    <w:rsid w:val="008F76C0"/>
    <w:rsid w:val="00904EBC"/>
    <w:rsid w:val="00917870"/>
    <w:rsid w:val="00923019"/>
    <w:rsid w:val="00923160"/>
    <w:rsid w:val="00924B63"/>
    <w:rsid w:val="009363B6"/>
    <w:rsid w:val="00940F46"/>
    <w:rsid w:val="00941ECC"/>
    <w:rsid w:val="00945A5D"/>
    <w:rsid w:val="00946A0D"/>
    <w:rsid w:val="00953C03"/>
    <w:rsid w:val="00955109"/>
    <w:rsid w:val="00955ECC"/>
    <w:rsid w:val="00962289"/>
    <w:rsid w:val="00963B67"/>
    <w:rsid w:val="00963CBA"/>
    <w:rsid w:val="0096556A"/>
    <w:rsid w:val="009701ED"/>
    <w:rsid w:val="00970463"/>
    <w:rsid w:val="009768AA"/>
    <w:rsid w:val="00976DEF"/>
    <w:rsid w:val="00983103"/>
    <w:rsid w:val="00983354"/>
    <w:rsid w:val="00984471"/>
    <w:rsid w:val="00985F37"/>
    <w:rsid w:val="009879EA"/>
    <w:rsid w:val="009908A5"/>
    <w:rsid w:val="0099124E"/>
    <w:rsid w:val="00991261"/>
    <w:rsid w:val="009953D5"/>
    <w:rsid w:val="009A1D29"/>
    <w:rsid w:val="009B31F4"/>
    <w:rsid w:val="009C4856"/>
    <w:rsid w:val="009C6394"/>
    <w:rsid w:val="009D0E2A"/>
    <w:rsid w:val="009D0F0E"/>
    <w:rsid w:val="009D1AAE"/>
    <w:rsid w:val="009D5536"/>
    <w:rsid w:val="009D634E"/>
    <w:rsid w:val="009D6B51"/>
    <w:rsid w:val="009E1560"/>
    <w:rsid w:val="009E24A1"/>
    <w:rsid w:val="009E380E"/>
    <w:rsid w:val="009E3C0B"/>
    <w:rsid w:val="009E7BEE"/>
    <w:rsid w:val="009F0F06"/>
    <w:rsid w:val="009F1735"/>
    <w:rsid w:val="009F4FC5"/>
    <w:rsid w:val="00A0219F"/>
    <w:rsid w:val="00A04238"/>
    <w:rsid w:val="00A06875"/>
    <w:rsid w:val="00A1427D"/>
    <w:rsid w:val="00A1699F"/>
    <w:rsid w:val="00A235F1"/>
    <w:rsid w:val="00A24B4B"/>
    <w:rsid w:val="00A349AE"/>
    <w:rsid w:val="00A34B00"/>
    <w:rsid w:val="00A36529"/>
    <w:rsid w:val="00A3777A"/>
    <w:rsid w:val="00A44CB5"/>
    <w:rsid w:val="00A50077"/>
    <w:rsid w:val="00A54CA8"/>
    <w:rsid w:val="00A558A8"/>
    <w:rsid w:val="00A60196"/>
    <w:rsid w:val="00A6199C"/>
    <w:rsid w:val="00A622AF"/>
    <w:rsid w:val="00A62445"/>
    <w:rsid w:val="00A649E3"/>
    <w:rsid w:val="00A65F4A"/>
    <w:rsid w:val="00A66636"/>
    <w:rsid w:val="00A72F22"/>
    <w:rsid w:val="00A744D7"/>
    <w:rsid w:val="00A748A6"/>
    <w:rsid w:val="00A74A46"/>
    <w:rsid w:val="00A75EC9"/>
    <w:rsid w:val="00A77065"/>
    <w:rsid w:val="00A810D4"/>
    <w:rsid w:val="00A83538"/>
    <w:rsid w:val="00A83678"/>
    <w:rsid w:val="00A8523D"/>
    <w:rsid w:val="00A855F5"/>
    <w:rsid w:val="00A86C80"/>
    <w:rsid w:val="00A879A4"/>
    <w:rsid w:val="00A92D29"/>
    <w:rsid w:val="00AA1D9A"/>
    <w:rsid w:val="00AA2ED7"/>
    <w:rsid w:val="00AA32EB"/>
    <w:rsid w:val="00AB382F"/>
    <w:rsid w:val="00AB4CF1"/>
    <w:rsid w:val="00AB63FA"/>
    <w:rsid w:val="00AC7E57"/>
    <w:rsid w:val="00AD34EE"/>
    <w:rsid w:val="00AD5CD4"/>
    <w:rsid w:val="00AD7C88"/>
    <w:rsid w:val="00AE45DE"/>
    <w:rsid w:val="00AE498D"/>
    <w:rsid w:val="00AE5049"/>
    <w:rsid w:val="00AF0878"/>
    <w:rsid w:val="00AF2F9D"/>
    <w:rsid w:val="00AF6710"/>
    <w:rsid w:val="00B013E6"/>
    <w:rsid w:val="00B01E71"/>
    <w:rsid w:val="00B04D66"/>
    <w:rsid w:val="00B10C19"/>
    <w:rsid w:val="00B1117F"/>
    <w:rsid w:val="00B1157C"/>
    <w:rsid w:val="00B1292B"/>
    <w:rsid w:val="00B1501F"/>
    <w:rsid w:val="00B22B5C"/>
    <w:rsid w:val="00B26710"/>
    <w:rsid w:val="00B26B3C"/>
    <w:rsid w:val="00B27ED7"/>
    <w:rsid w:val="00B28366"/>
    <w:rsid w:val="00B30179"/>
    <w:rsid w:val="00B3317B"/>
    <w:rsid w:val="00B3578D"/>
    <w:rsid w:val="00B41384"/>
    <w:rsid w:val="00B4398E"/>
    <w:rsid w:val="00B47F37"/>
    <w:rsid w:val="00B50E39"/>
    <w:rsid w:val="00B5392B"/>
    <w:rsid w:val="00B71E2B"/>
    <w:rsid w:val="00B73DA8"/>
    <w:rsid w:val="00B74F7C"/>
    <w:rsid w:val="00B758FC"/>
    <w:rsid w:val="00B75E05"/>
    <w:rsid w:val="00B81A02"/>
    <w:rsid w:val="00B81E12"/>
    <w:rsid w:val="00B84AAC"/>
    <w:rsid w:val="00B90F54"/>
    <w:rsid w:val="00B91CC3"/>
    <w:rsid w:val="00B92A0C"/>
    <w:rsid w:val="00B93068"/>
    <w:rsid w:val="00B931A6"/>
    <w:rsid w:val="00BA1131"/>
    <w:rsid w:val="00BA5059"/>
    <w:rsid w:val="00BA62F0"/>
    <w:rsid w:val="00BB176D"/>
    <w:rsid w:val="00BB26DB"/>
    <w:rsid w:val="00BB28DD"/>
    <w:rsid w:val="00BB3B28"/>
    <w:rsid w:val="00BB5EB8"/>
    <w:rsid w:val="00BC74E9"/>
    <w:rsid w:val="00BD6FBB"/>
    <w:rsid w:val="00BE1FF8"/>
    <w:rsid w:val="00BE289D"/>
    <w:rsid w:val="00BE50CA"/>
    <w:rsid w:val="00BE618E"/>
    <w:rsid w:val="00BF57C3"/>
    <w:rsid w:val="00C0263F"/>
    <w:rsid w:val="00C03B44"/>
    <w:rsid w:val="00C10E79"/>
    <w:rsid w:val="00C11170"/>
    <w:rsid w:val="00C1283B"/>
    <w:rsid w:val="00C13A85"/>
    <w:rsid w:val="00C218A4"/>
    <w:rsid w:val="00C26554"/>
    <w:rsid w:val="00C2756F"/>
    <w:rsid w:val="00C31452"/>
    <w:rsid w:val="00C323C9"/>
    <w:rsid w:val="00C36D37"/>
    <w:rsid w:val="00C45BF0"/>
    <w:rsid w:val="00C463DD"/>
    <w:rsid w:val="00C46D5B"/>
    <w:rsid w:val="00C5156B"/>
    <w:rsid w:val="00C5189A"/>
    <w:rsid w:val="00C537D5"/>
    <w:rsid w:val="00C62F76"/>
    <w:rsid w:val="00C66D78"/>
    <w:rsid w:val="00C67A2F"/>
    <w:rsid w:val="00C745C3"/>
    <w:rsid w:val="00C81212"/>
    <w:rsid w:val="00C84FF1"/>
    <w:rsid w:val="00C871F2"/>
    <w:rsid w:val="00C91180"/>
    <w:rsid w:val="00C93C11"/>
    <w:rsid w:val="00C971F6"/>
    <w:rsid w:val="00CA049C"/>
    <w:rsid w:val="00CA04FB"/>
    <w:rsid w:val="00CA381C"/>
    <w:rsid w:val="00CA646C"/>
    <w:rsid w:val="00CA74D3"/>
    <w:rsid w:val="00CB2158"/>
    <w:rsid w:val="00CB6380"/>
    <w:rsid w:val="00CC0971"/>
    <w:rsid w:val="00CC255D"/>
    <w:rsid w:val="00CC4CA6"/>
    <w:rsid w:val="00CD0009"/>
    <w:rsid w:val="00CD30EE"/>
    <w:rsid w:val="00CD3225"/>
    <w:rsid w:val="00CD5BEB"/>
    <w:rsid w:val="00CE4083"/>
    <w:rsid w:val="00CE438A"/>
    <w:rsid w:val="00CE46BA"/>
    <w:rsid w:val="00CE4A8F"/>
    <w:rsid w:val="00CE5A6F"/>
    <w:rsid w:val="00CE75E0"/>
    <w:rsid w:val="00CF6F32"/>
    <w:rsid w:val="00CF778D"/>
    <w:rsid w:val="00D01787"/>
    <w:rsid w:val="00D0631B"/>
    <w:rsid w:val="00D06C3A"/>
    <w:rsid w:val="00D07544"/>
    <w:rsid w:val="00D164BA"/>
    <w:rsid w:val="00D2031B"/>
    <w:rsid w:val="00D25E8C"/>
    <w:rsid w:val="00D25FE2"/>
    <w:rsid w:val="00D27714"/>
    <w:rsid w:val="00D27E89"/>
    <w:rsid w:val="00D37E80"/>
    <w:rsid w:val="00D43252"/>
    <w:rsid w:val="00D4616E"/>
    <w:rsid w:val="00D46231"/>
    <w:rsid w:val="00D46568"/>
    <w:rsid w:val="00D477C4"/>
    <w:rsid w:val="00D51087"/>
    <w:rsid w:val="00D5409C"/>
    <w:rsid w:val="00D57C13"/>
    <w:rsid w:val="00D57FD9"/>
    <w:rsid w:val="00D610C1"/>
    <w:rsid w:val="00D62650"/>
    <w:rsid w:val="00D658FA"/>
    <w:rsid w:val="00D730E3"/>
    <w:rsid w:val="00D753D8"/>
    <w:rsid w:val="00D76A70"/>
    <w:rsid w:val="00D77A1B"/>
    <w:rsid w:val="00D87EB8"/>
    <w:rsid w:val="00D9256B"/>
    <w:rsid w:val="00D9274F"/>
    <w:rsid w:val="00D96248"/>
    <w:rsid w:val="00D96CC5"/>
    <w:rsid w:val="00D978C6"/>
    <w:rsid w:val="00D97B77"/>
    <w:rsid w:val="00DA62E3"/>
    <w:rsid w:val="00DA6620"/>
    <w:rsid w:val="00DA67AD"/>
    <w:rsid w:val="00DB58AC"/>
    <w:rsid w:val="00DC2F1C"/>
    <w:rsid w:val="00DD0B71"/>
    <w:rsid w:val="00DD0E29"/>
    <w:rsid w:val="00DD42A0"/>
    <w:rsid w:val="00DE236F"/>
    <w:rsid w:val="00DE3ECB"/>
    <w:rsid w:val="00DE4785"/>
    <w:rsid w:val="00DE7267"/>
    <w:rsid w:val="00DF0A4D"/>
    <w:rsid w:val="00DF2019"/>
    <w:rsid w:val="00DF3039"/>
    <w:rsid w:val="00DF3A04"/>
    <w:rsid w:val="00DF4518"/>
    <w:rsid w:val="00E07EB6"/>
    <w:rsid w:val="00E130AB"/>
    <w:rsid w:val="00E141A9"/>
    <w:rsid w:val="00E1495C"/>
    <w:rsid w:val="00E1679E"/>
    <w:rsid w:val="00E1707A"/>
    <w:rsid w:val="00E239A0"/>
    <w:rsid w:val="00E260A4"/>
    <w:rsid w:val="00E34E58"/>
    <w:rsid w:val="00E36838"/>
    <w:rsid w:val="00E36C10"/>
    <w:rsid w:val="00E40B76"/>
    <w:rsid w:val="00E42461"/>
    <w:rsid w:val="00E4443D"/>
    <w:rsid w:val="00E4507C"/>
    <w:rsid w:val="00E51A2C"/>
    <w:rsid w:val="00E52EB0"/>
    <w:rsid w:val="00E54352"/>
    <w:rsid w:val="00E55D45"/>
    <w:rsid w:val="00E5644E"/>
    <w:rsid w:val="00E5691C"/>
    <w:rsid w:val="00E569A3"/>
    <w:rsid w:val="00E607DC"/>
    <w:rsid w:val="00E631BA"/>
    <w:rsid w:val="00E638E2"/>
    <w:rsid w:val="00E63DE8"/>
    <w:rsid w:val="00E6613A"/>
    <w:rsid w:val="00E704F4"/>
    <w:rsid w:val="00E71F0F"/>
    <w:rsid w:val="00E7260F"/>
    <w:rsid w:val="00E730D8"/>
    <w:rsid w:val="00E75E38"/>
    <w:rsid w:val="00E77880"/>
    <w:rsid w:val="00E81230"/>
    <w:rsid w:val="00E81B98"/>
    <w:rsid w:val="00E83D46"/>
    <w:rsid w:val="00E8535A"/>
    <w:rsid w:val="00E864BE"/>
    <w:rsid w:val="00E90647"/>
    <w:rsid w:val="00E93458"/>
    <w:rsid w:val="00E96630"/>
    <w:rsid w:val="00EA0364"/>
    <w:rsid w:val="00EA1E2E"/>
    <w:rsid w:val="00EA48C4"/>
    <w:rsid w:val="00EA58C7"/>
    <w:rsid w:val="00EA772F"/>
    <w:rsid w:val="00EB2AE3"/>
    <w:rsid w:val="00EB4C06"/>
    <w:rsid w:val="00EB51D5"/>
    <w:rsid w:val="00EB65EF"/>
    <w:rsid w:val="00EB66DE"/>
    <w:rsid w:val="00EB6832"/>
    <w:rsid w:val="00EB71BA"/>
    <w:rsid w:val="00EB798F"/>
    <w:rsid w:val="00EC14E9"/>
    <w:rsid w:val="00EC271A"/>
    <w:rsid w:val="00EC3016"/>
    <w:rsid w:val="00EC755A"/>
    <w:rsid w:val="00ED1E0A"/>
    <w:rsid w:val="00ED3508"/>
    <w:rsid w:val="00ED3F6F"/>
    <w:rsid w:val="00ED7502"/>
    <w:rsid w:val="00ED7A2A"/>
    <w:rsid w:val="00EE3269"/>
    <w:rsid w:val="00EE484D"/>
    <w:rsid w:val="00EE4D59"/>
    <w:rsid w:val="00EE73C3"/>
    <w:rsid w:val="00EF151D"/>
    <w:rsid w:val="00EF1D7F"/>
    <w:rsid w:val="00EF4AAC"/>
    <w:rsid w:val="00F01C57"/>
    <w:rsid w:val="00F03FA2"/>
    <w:rsid w:val="00F05283"/>
    <w:rsid w:val="00F07537"/>
    <w:rsid w:val="00F07E12"/>
    <w:rsid w:val="00F111C5"/>
    <w:rsid w:val="00F1200D"/>
    <w:rsid w:val="00F30A8A"/>
    <w:rsid w:val="00F33ED7"/>
    <w:rsid w:val="00F34267"/>
    <w:rsid w:val="00F3574D"/>
    <w:rsid w:val="00F363DE"/>
    <w:rsid w:val="00F36AAE"/>
    <w:rsid w:val="00F375DC"/>
    <w:rsid w:val="00F40295"/>
    <w:rsid w:val="00F40E75"/>
    <w:rsid w:val="00F412D3"/>
    <w:rsid w:val="00F44172"/>
    <w:rsid w:val="00F444E3"/>
    <w:rsid w:val="00F453C3"/>
    <w:rsid w:val="00F5087E"/>
    <w:rsid w:val="00F51BAB"/>
    <w:rsid w:val="00F535BE"/>
    <w:rsid w:val="00F54674"/>
    <w:rsid w:val="00F56938"/>
    <w:rsid w:val="00F64C95"/>
    <w:rsid w:val="00F66D55"/>
    <w:rsid w:val="00F73F05"/>
    <w:rsid w:val="00F75E96"/>
    <w:rsid w:val="00F76A73"/>
    <w:rsid w:val="00F928DC"/>
    <w:rsid w:val="00F929AC"/>
    <w:rsid w:val="00F93C5A"/>
    <w:rsid w:val="00F94AB1"/>
    <w:rsid w:val="00FA00A0"/>
    <w:rsid w:val="00FA0155"/>
    <w:rsid w:val="00FA3D6B"/>
    <w:rsid w:val="00FA3FB7"/>
    <w:rsid w:val="00FB5A37"/>
    <w:rsid w:val="00FB7793"/>
    <w:rsid w:val="00FC0215"/>
    <w:rsid w:val="00FC18AA"/>
    <w:rsid w:val="00FC215C"/>
    <w:rsid w:val="00FC68B7"/>
    <w:rsid w:val="00FC7CBB"/>
    <w:rsid w:val="00FD3C5D"/>
    <w:rsid w:val="00FD3E70"/>
    <w:rsid w:val="00FD5CF7"/>
    <w:rsid w:val="00FD6B2B"/>
    <w:rsid w:val="00FE071A"/>
    <w:rsid w:val="00FE3EEA"/>
    <w:rsid w:val="00FF03BB"/>
    <w:rsid w:val="00FF071A"/>
    <w:rsid w:val="00FF301E"/>
    <w:rsid w:val="00FF51FB"/>
    <w:rsid w:val="00FF67F6"/>
    <w:rsid w:val="01316EAD"/>
    <w:rsid w:val="0162A5D5"/>
    <w:rsid w:val="0190EEBF"/>
    <w:rsid w:val="01CDF828"/>
    <w:rsid w:val="0202B05F"/>
    <w:rsid w:val="02247C48"/>
    <w:rsid w:val="0243FAB6"/>
    <w:rsid w:val="02606A09"/>
    <w:rsid w:val="028E68B6"/>
    <w:rsid w:val="02905CAD"/>
    <w:rsid w:val="02A063AD"/>
    <w:rsid w:val="031E13FF"/>
    <w:rsid w:val="0336D6BA"/>
    <w:rsid w:val="03373B37"/>
    <w:rsid w:val="034185A2"/>
    <w:rsid w:val="0351ED3E"/>
    <w:rsid w:val="038E81E5"/>
    <w:rsid w:val="03E6AE14"/>
    <w:rsid w:val="0422BBB8"/>
    <w:rsid w:val="044E48E3"/>
    <w:rsid w:val="0452AA94"/>
    <w:rsid w:val="047E0B88"/>
    <w:rsid w:val="04B76BEC"/>
    <w:rsid w:val="04DFF176"/>
    <w:rsid w:val="0539B9A9"/>
    <w:rsid w:val="0569AC83"/>
    <w:rsid w:val="057B9B78"/>
    <w:rsid w:val="057DE74A"/>
    <w:rsid w:val="05A503B7"/>
    <w:rsid w:val="05B602A6"/>
    <w:rsid w:val="05C4D552"/>
    <w:rsid w:val="061417D1"/>
    <w:rsid w:val="06229AB9"/>
    <w:rsid w:val="06324231"/>
    <w:rsid w:val="0633FD47"/>
    <w:rsid w:val="06426EAA"/>
    <w:rsid w:val="064BC9C4"/>
    <w:rsid w:val="0675743D"/>
    <w:rsid w:val="06A7A234"/>
    <w:rsid w:val="06C6DEE9"/>
    <w:rsid w:val="06E75C59"/>
    <w:rsid w:val="071D8350"/>
    <w:rsid w:val="0732E41B"/>
    <w:rsid w:val="07337FE4"/>
    <w:rsid w:val="0747AB7A"/>
    <w:rsid w:val="0759B547"/>
    <w:rsid w:val="07891DE4"/>
    <w:rsid w:val="079D2213"/>
    <w:rsid w:val="07BC84B2"/>
    <w:rsid w:val="07CA491C"/>
    <w:rsid w:val="07DF2BB8"/>
    <w:rsid w:val="0844667E"/>
    <w:rsid w:val="085BBEDE"/>
    <w:rsid w:val="085E2756"/>
    <w:rsid w:val="0864BF57"/>
    <w:rsid w:val="08947A3B"/>
    <w:rsid w:val="089CD044"/>
    <w:rsid w:val="08A0B5CD"/>
    <w:rsid w:val="08E923E0"/>
    <w:rsid w:val="09466656"/>
    <w:rsid w:val="098A6528"/>
    <w:rsid w:val="099DD1A4"/>
    <w:rsid w:val="09C49D70"/>
    <w:rsid w:val="09E41D9C"/>
    <w:rsid w:val="0A1F57A7"/>
    <w:rsid w:val="0A65E7DE"/>
    <w:rsid w:val="0A92D49A"/>
    <w:rsid w:val="0A94BBC5"/>
    <w:rsid w:val="0AEE58E0"/>
    <w:rsid w:val="0B183E1C"/>
    <w:rsid w:val="0B1BC55E"/>
    <w:rsid w:val="0B5B1A6F"/>
    <w:rsid w:val="0BEADCFC"/>
    <w:rsid w:val="0CB47E72"/>
    <w:rsid w:val="0CBCFDCF"/>
    <w:rsid w:val="0D82A02D"/>
    <w:rsid w:val="0D8E88D5"/>
    <w:rsid w:val="0D94D731"/>
    <w:rsid w:val="0DB5B83B"/>
    <w:rsid w:val="0E2720D9"/>
    <w:rsid w:val="0E29BF47"/>
    <w:rsid w:val="0E39D97D"/>
    <w:rsid w:val="0E41C7D1"/>
    <w:rsid w:val="0E9E4049"/>
    <w:rsid w:val="0E9F9B89"/>
    <w:rsid w:val="0EB006DB"/>
    <w:rsid w:val="0F174C64"/>
    <w:rsid w:val="0F2E7C83"/>
    <w:rsid w:val="0F325480"/>
    <w:rsid w:val="0F682CE8"/>
    <w:rsid w:val="0F766E7E"/>
    <w:rsid w:val="0F7AD9C3"/>
    <w:rsid w:val="0F8AD46C"/>
    <w:rsid w:val="0FBD2FBE"/>
    <w:rsid w:val="0FE53512"/>
    <w:rsid w:val="102300C8"/>
    <w:rsid w:val="103BD712"/>
    <w:rsid w:val="106AD0B3"/>
    <w:rsid w:val="1072A5E1"/>
    <w:rsid w:val="109796EA"/>
    <w:rsid w:val="1098949D"/>
    <w:rsid w:val="10ADB79F"/>
    <w:rsid w:val="10CBFB96"/>
    <w:rsid w:val="10D82DBC"/>
    <w:rsid w:val="11485103"/>
    <w:rsid w:val="116AC93B"/>
    <w:rsid w:val="11707B0E"/>
    <w:rsid w:val="117845A8"/>
    <w:rsid w:val="1181A65B"/>
    <w:rsid w:val="119A57E8"/>
    <w:rsid w:val="11B56276"/>
    <w:rsid w:val="11EAF26F"/>
    <w:rsid w:val="11EBABAA"/>
    <w:rsid w:val="120035B5"/>
    <w:rsid w:val="122BD018"/>
    <w:rsid w:val="124245D6"/>
    <w:rsid w:val="124783A6"/>
    <w:rsid w:val="124C497D"/>
    <w:rsid w:val="125A1E80"/>
    <w:rsid w:val="126D4FFA"/>
    <w:rsid w:val="12AF4219"/>
    <w:rsid w:val="12BAC2E3"/>
    <w:rsid w:val="1350F693"/>
    <w:rsid w:val="1369B94E"/>
    <w:rsid w:val="1383C975"/>
    <w:rsid w:val="1395CA0C"/>
    <w:rsid w:val="139A1D49"/>
    <w:rsid w:val="13AA3617"/>
    <w:rsid w:val="13D6D237"/>
    <w:rsid w:val="13E372BB"/>
    <w:rsid w:val="13EFFA94"/>
    <w:rsid w:val="142762B7"/>
    <w:rsid w:val="14BECA92"/>
    <w:rsid w:val="14C6C001"/>
    <w:rsid w:val="14FA7521"/>
    <w:rsid w:val="151C916B"/>
    <w:rsid w:val="152ADEFA"/>
    <w:rsid w:val="153B0C2F"/>
    <w:rsid w:val="1585D123"/>
    <w:rsid w:val="15B3EBF5"/>
    <w:rsid w:val="160D8769"/>
    <w:rsid w:val="162DB817"/>
    <w:rsid w:val="164104F3"/>
    <w:rsid w:val="165E7805"/>
    <w:rsid w:val="16662BE9"/>
    <w:rsid w:val="166E0275"/>
    <w:rsid w:val="16977547"/>
    <w:rsid w:val="16D44BDF"/>
    <w:rsid w:val="16EEADC4"/>
    <w:rsid w:val="170A5F9B"/>
    <w:rsid w:val="170CF58D"/>
    <w:rsid w:val="174DFB05"/>
    <w:rsid w:val="17818162"/>
    <w:rsid w:val="179E0B46"/>
    <w:rsid w:val="17CF64E0"/>
    <w:rsid w:val="17D87901"/>
    <w:rsid w:val="17EB30D1"/>
    <w:rsid w:val="18050CCE"/>
    <w:rsid w:val="181DD812"/>
    <w:rsid w:val="181E0D9D"/>
    <w:rsid w:val="182467B6"/>
    <w:rsid w:val="183EC99B"/>
    <w:rsid w:val="18B67FC4"/>
    <w:rsid w:val="1920C4FC"/>
    <w:rsid w:val="1938C6AB"/>
    <w:rsid w:val="19397CFA"/>
    <w:rsid w:val="194B9F6F"/>
    <w:rsid w:val="1950BED4"/>
    <w:rsid w:val="1991C2AF"/>
    <w:rsid w:val="19B1CC63"/>
    <w:rsid w:val="19CC4C4B"/>
    <w:rsid w:val="19CF4D11"/>
    <w:rsid w:val="19FF07E8"/>
    <w:rsid w:val="1A446354"/>
    <w:rsid w:val="1A6582FE"/>
    <w:rsid w:val="1A83E1E8"/>
    <w:rsid w:val="1A8B3605"/>
    <w:rsid w:val="1AF4F4C5"/>
    <w:rsid w:val="1B31E928"/>
    <w:rsid w:val="1B406F0E"/>
    <w:rsid w:val="1B736A6D"/>
    <w:rsid w:val="1BEF1C69"/>
    <w:rsid w:val="1BF93A79"/>
    <w:rsid w:val="1C09A58C"/>
    <w:rsid w:val="1C27B154"/>
    <w:rsid w:val="1C637A48"/>
    <w:rsid w:val="1C77B1B1"/>
    <w:rsid w:val="1C790A47"/>
    <w:rsid w:val="1C89D4BA"/>
    <w:rsid w:val="1D94E2E5"/>
    <w:rsid w:val="1DA02DC5"/>
    <w:rsid w:val="1DA875DD"/>
    <w:rsid w:val="1DB66404"/>
    <w:rsid w:val="1DDC8B2A"/>
    <w:rsid w:val="1E21EC12"/>
    <w:rsid w:val="1E48D604"/>
    <w:rsid w:val="1E5F2E6C"/>
    <w:rsid w:val="1E717770"/>
    <w:rsid w:val="1E74F75C"/>
    <w:rsid w:val="1EE12EC4"/>
    <w:rsid w:val="1FB06DA0"/>
    <w:rsid w:val="1FB5989F"/>
    <w:rsid w:val="1FB7CE46"/>
    <w:rsid w:val="1FD531D7"/>
    <w:rsid w:val="1FF38A0E"/>
    <w:rsid w:val="2047D7AF"/>
    <w:rsid w:val="205F6B7A"/>
    <w:rsid w:val="206B9278"/>
    <w:rsid w:val="209F9B38"/>
    <w:rsid w:val="20A8D28E"/>
    <w:rsid w:val="20C44837"/>
    <w:rsid w:val="20F1D15B"/>
    <w:rsid w:val="210E974F"/>
    <w:rsid w:val="210F734F"/>
    <w:rsid w:val="213E27BF"/>
    <w:rsid w:val="21671752"/>
    <w:rsid w:val="2182BB7B"/>
    <w:rsid w:val="2194020F"/>
    <w:rsid w:val="21A440C7"/>
    <w:rsid w:val="21C7B26A"/>
    <w:rsid w:val="21CA0DA5"/>
    <w:rsid w:val="2220F201"/>
    <w:rsid w:val="2237EBD1"/>
    <w:rsid w:val="2253E281"/>
    <w:rsid w:val="225C9F0F"/>
    <w:rsid w:val="2293F033"/>
    <w:rsid w:val="2294ED9F"/>
    <w:rsid w:val="22BDD65C"/>
    <w:rsid w:val="22ED9CE3"/>
    <w:rsid w:val="2345DEDC"/>
    <w:rsid w:val="234ADCE0"/>
    <w:rsid w:val="23801A81"/>
    <w:rsid w:val="238E5663"/>
    <w:rsid w:val="23AB152D"/>
    <w:rsid w:val="23D074B9"/>
    <w:rsid w:val="24175A73"/>
    <w:rsid w:val="2466A8BC"/>
    <w:rsid w:val="24850E87"/>
    <w:rsid w:val="2487435A"/>
    <w:rsid w:val="2487B48A"/>
    <w:rsid w:val="24887CB6"/>
    <w:rsid w:val="24965322"/>
    <w:rsid w:val="24E06B22"/>
    <w:rsid w:val="24E10B53"/>
    <w:rsid w:val="24F3437E"/>
    <w:rsid w:val="2559F165"/>
    <w:rsid w:val="256CBFD3"/>
    <w:rsid w:val="2575E9C4"/>
    <w:rsid w:val="25F67AE0"/>
    <w:rsid w:val="26383935"/>
    <w:rsid w:val="26759B7E"/>
    <w:rsid w:val="27040083"/>
    <w:rsid w:val="2716D6AE"/>
    <w:rsid w:val="2730D2F1"/>
    <w:rsid w:val="27476005"/>
    <w:rsid w:val="2755199F"/>
    <w:rsid w:val="27AB0E3B"/>
    <w:rsid w:val="27CD5C6C"/>
    <w:rsid w:val="281859B6"/>
    <w:rsid w:val="2819F6E5"/>
    <w:rsid w:val="2868B1D4"/>
    <w:rsid w:val="28859199"/>
    <w:rsid w:val="28BA6C5C"/>
    <w:rsid w:val="28EF922F"/>
    <w:rsid w:val="28FFB1C7"/>
    <w:rsid w:val="293CC593"/>
    <w:rsid w:val="297064FB"/>
    <w:rsid w:val="2973C6AF"/>
    <w:rsid w:val="297FBCC3"/>
    <w:rsid w:val="299B950C"/>
    <w:rsid w:val="29A8611B"/>
    <w:rsid w:val="29DDAFC2"/>
    <w:rsid w:val="29E6A531"/>
    <w:rsid w:val="2A2BF62F"/>
    <w:rsid w:val="2A3AFF0F"/>
    <w:rsid w:val="2AE5F757"/>
    <w:rsid w:val="2AED9944"/>
    <w:rsid w:val="2B00D9B7"/>
    <w:rsid w:val="2B14AEA5"/>
    <w:rsid w:val="2B844890"/>
    <w:rsid w:val="2B9AD6DA"/>
    <w:rsid w:val="2BC6597F"/>
    <w:rsid w:val="2C035E30"/>
    <w:rsid w:val="2C10268D"/>
    <w:rsid w:val="2C814C3E"/>
    <w:rsid w:val="2CBCB74E"/>
    <w:rsid w:val="2CD43E87"/>
    <w:rsid w:val="2CD896C9"/>
    <w:rsid w:val="2D1F4212"/>
    <w:rsid w:val="2D597015"/>
    <w:rsid w:val="2D5AE214"/>
    <w:rsid w:val="2DE92EB1"/>
    <w:rsid w:val="2E3DF992"/>
    <w:rsid w:val="2F06C7F8"/>
    <w:rsid w:val="2F5CE3EE"/>
    <w:rsid w:val="2FAEC9A9"/>
    <w:rsid w:val="30252A8D"/>
    <w:rsid w:val="303AF16B"/>
    <w:rsid w:val="30756FCB"/>
    <w:rsid w:val="307B1EC0"/>
    <w:rsid w:val="30C015AF"/>
    <w:rsid w:val="30DB410C"/>
    <w:rsid w:val="30DC409D"/>
    <w:rsid w:val="30FEB2AF"/>
    <w:rsid w:val="3104D9CD"/>
    <w:rsid w:val="310831EA"/>
    <w:rsid w:val="310AA706"/>
    <w:rsid w:val="31B771F5"/>
    <w:rsid w:val="31F8DA53"/>
    <w:rsid w:val="324AF61B"/>
    <w:rsid w:val="32890F3D"/>
    <w:rsid w:val="32A32337"/>
    <w:rsid w:val="32DA07C0"/>
    <w:rsid w:val="3317D2E8"/>
    <w:rsid w:val="331AB031"/>
    <w:rsid w:val="331E885E"/>
    <w:rsid w:val="3330FCBD"/>
    <w:rsid w:val="3343FDFC"/>
    <w:rsid w:val="342FAD21"/>
    <w:rsid w:val="3435B96F"/>
    <w:rsid w:val="347AB2E8"/>
    <w:rsid w:val="34A0CE46"/>
    <w:rsid w:val="35047676"/>
    <w:rsid w:val="3530E1F7"/>
    <w:rsid w:val="35480FDB"/>
    <w:rsid w:val="35844FF6"/>
    <w:rsid w:val="35AFE11F"/>
    <w:rsid w:val="35C05183"/>
    <w:rsid w:val="35ED4F05"/>
    <w:rsid w:val="365D5526"/>
    <w:rsid w:val="36EEF287"/>
    <w:rsid w:val="371995E3"/>
    <w:rsid w:val="372A55DE"/>
    <w:rsid w:val="372F575D"/>
    <w:rsid w:val="37674DE3"/>
    <w:rsid w:val="37E0D130"/>
    <w:rsid w:val="37ED7092"/>
    <w:rsid w:val="383DEA08"/>
    <w:rsid w:val="384394FD"/>
    <w:rsid w:val="3855D0B2"/>
    <w:rsid w:val="38569A58"/>
    <w:rsid w:val="38822E3F"/>
    <w:rsid w:val="3886A109"/>
    <w:rsid w:val="388C0B2D"/>
    <w:rsid w:val="38944478"/>
    <w:rsid w:val="38C96251"/>
    <w:rsid w:val="38D5D847"/>
    <w:rsid w:val="38F3FAB8"/>
    <w:rsid w:val="3901FB4C"/>
    <w:rsid w:val="39368A70"/>
    <w:rsid w:val="393A30C5"/>
    <w:rsid w:val="39531D5E"/>
    <w:rsid w:val="39B24361"/>
    <w:rsid w:val="3A42107D"/>
    <w:rsid w:val="3A7B978D"/>
    <w:rsid w:val="3AE43EAD"/>
    <w:rsid w:val="3AF17FF3"/>
    <w:rsid w:val="3B20E70B"/>
    <w:rsid w:val="3B2C3491"/>
    <w:rsid w:val="3B5E8450"/>
    <w:rsid w:val="3B60B9CD"/>
    <w:rsid w:val="3B8BD645"/>
    <w:rsid w:val="3B93EBBF"/>
    <w:rsid w:val="3BA85EC7"/>
    <w:rsid w:val="3C02A142"/>
    <w:rsid w:val="3C2B6A10"/>
    <w:rsid w:val="3C556E71"/>
    <w:rsid w:val="3CE55B34"/>
    <w:rsid w:val="3D1A0862"/>
    <w:rsid w:val="3D3A8426"/>
    <w:rsid w:val="3DB653F6"/>
    <w:rsid w:val="3DB89906"/>
    <w:rsid w:val="3DD2256B"/>
    <w:rsid w:val="3DE9C186"/>
    <w:rsid w:val="3E0AFD82"/>
    <w:rsid w:val="3E0DD539"/>
    <w:rsid w:val="3E141F89"/>
    <w:rsid w:val="3E8A6999"/>
    <w:rsid w:val="3ECA525A"/>
    <w:rsid w:val="3ECBFE5D"/>
    <w:rsid w:val="3EF436C1"/>
    <w:rsid w:val="3F2FD546"/>
    <w:rsid w:val="3F33D3FD"/>
    <w:rsid w:val="3F4780CC"/>
    <w:rsid w:val="3F6BFA4B"/>
    <w:rsid w:val="3F6E9F36"/>
    <w:rsid w:val="3FA0B282"/>
    <w:rsid w:val="3FC1B3FA"/>
    <w:rsid w:val="403876A0"/>
    <w:rsid w:val="404394C7"/>
    <w:rsid w:val="40486B44"/>
    <w:rsid w:val="405D3C35"/>
    <w:rsid w:val="4066E07B"/>
    <w:rsid w:val="4080A32A"/>
    <w:rsid w:val="40D59C0A"/>
    <w:rsid w:val="40F0809E"/>
    <w:rsid w:val="412DD7C2"/>
    <w:rsid w:val="4147DDF4"/>
    <w:rsid w:val="41B9F178"/>
    <w:rsid w:val="41CBCD96"/>
    <w:rsid w:val="41FA0225"/>
    <w:rsid w:val="4211EEA8"/>
    <w:rsid w:val="42542F1C"/>
    <w:rsid w:val="428A9DC1"/>
    <w:rsid w:val="42952A6F"/>
    <w:rsid w:val="42A23A47"/>
    <w:rsid w:val="42A299D7"/>
    <w:rsid w:val="42DE3CF9"/>
    <w:rsid w:val="4358A6FA"/>
    <w:rsid w:val="435FF550"/>
    <w:rsid w:val="438E0578"/>
    <w:rsid w:val="43B18181"/>
    <w:rsid w:val="43DC0BF3"/>
    <w:rsid w:val="441BA809"/>
    <w:rsid w:val="4427BB8C"/>
    <w:rsid w:val="443352A4"/>
    <w:rsid w:val="44354DBB"/>
    <w:rsid w:val="446AB496"/>
    <w:rsid w:val="44AC0DA2"/>
    <w:rsid w:val="44CCC946"/>
    <w:rsid w:val="44E8C6E9"/>
    <w:rsid w:val="4501CF04"/>
    <w:rsid w:val="4524821B"/>
    <w:rsid w:val="452F5FA7"/>
    <w:rsid w:val="454DC21C"/>
    <w:rsid w:val="455A1058"/>
    <w:rsid w:val="455CBA45"/>
    <w:rsid w:val="456BB472"/>
    <w:rsid w:val="45A5AA1F"/>
    <w:rsid w:val="45B9BE9C"/>
    <w:rsid w:val="45C0EEFA"/>
    <w:rsid w:val="45FB9D95"/>
    <w:rsid w:val="460EBB50"/>
    <w:rsid w:val="461283BC"/>
    <w:rsid w:val="46303EA5"/>
    <w:rsid w:val="4646349B"/>
    <w:rsid w:val="46984E5B"/>
    <w:rsid w:val="46D5EF2E"/>
    <w:rsid w:val="46DCB85C"/>
    <w:rsid w:val="47112BDC"/>
    <w:rsid w:val="47549AEA"/>
    <w:rsid w:val="47788296"/>
    <w:rsid w:val="47E65C87"/>
    <w:rsid w:val="47F41651"/>
    <w:rsid w:val="47FA143A"/>
    <w:rsid w:val="4814C062"/>
    <w:rsid w:val="481C4C55"/>
    <w:rsid w:val="48209805"/>
    <w:rsid w:val="4841680E"/>
    <w:rsid w:val="4865F36E"/>
    <w:rsid w:val="486AD6D3"/>
    <w:rsid w:val="487D0C89"/>
    <w:rsid w:val="48965F38"/>
    <w:rsid w:val="4906799E"/>
    <w:rsid w:val="492B9F4C"/>
    <w:rsid w:val="492E8C90"/>
    <w:rsid w:val="493808E2"/>
    <w:rsid w:val="494AD0A3"/>
    <w:rsid w:val="4A2DB351"/>
    <w:rsid w:val="4A4E4130"/>
    <w:rsid w:val="4A769BB7"/>
    <w:rsid w:val="4AF04D59"/>
    <w:rsid w:val="4B00C7F4"/>
    <w:rsid w:val="4B2363EA"/>
    <w:rsid w:val="4B37E2D5"/>
    <w:rsid w:val="4B787158"/>
    <w:rsid w:val="4B815AFD"/>
    <w:rsid w:val="4C1FE4AE"/>
    <w:rsid w:val="4CE460ED"/>
    <w:rsid w:val="4D2B382F"/>
    <w:rsid w:val="4D37F1EA"/>
    <w:rsid w:val="4D40E561"/>
    <w:rsid w:val="4D6939CD"/>
    <w:rsid w:val="4D76B723"/>
    <w:rsid w:val="4D96374F"/>
    <w:rsid w:val="4E86ECF8"/>
    <w:rsid w:val="4EDDBAFB"/>
    <w:rsid w:val="4F3168EE"/>
    <w:rsid w:val="4F34ED1A"/>
    <w:rsid w:val="4F426111"/>
    <w:rsid w:val="4F5F43C0"/>
    <w:rsid w:val="4F657AC3"/>
    <w:rsid w:val="4FD7B839"/>
    <w:rsid w:val="50087E0E"/>
    <w:rsid w:val="50523C6A"/>
    <w:rsid w:val="505FD384"/>
    <w:rsid w:val="50C00E84"/>
    <w:rsid w:val="50C10888"/>
    <w:rsid w:val="50C762A1"/>
    <w:rsid w:val="5102CDDB"/>
    <w:rsid w:val="512580C8"/>
    <w:rsid w:val="51273CC2"/>
    <w:rsid w:val="514B4E09"/>
    <w:rsid w:val="5168423A"/>
    <w:rsid w:val="516C33B1"/>
    <w:rsid w:val="518E19DC"/>
    <w:rsid w:val="51983514"/>
    <w:rsid w:val="51A7F134"/>
    <w:rsid w:val="51D055CA"/>
    <w:rsid w:val="51FD757D"/>
    <w:rsid w:val="5230A5DA"/>
    <w:rsid w:val="527569CE"/>
    <w:rsid w:val="52A64206"/>
    <w:rsid w:val="52AEE97D"/>
    <w:rsid w:val="52C9CA94"/>
    <w:rsid w:val="53024D2E"/>
    <w:rsid w:val="533CEE1F"/>
    <w:rsid w:val="537D86CC"/>
    <w:rsid w:val="538912E3"/>
    <w:rsid w:val="53C681EE"/>
    <w:rsid w:val="53F2FB48"/>
    <w:rsid w:val="541A0E3D"/>
    <w:rsid w:val="541ABB76"/>
    <w:rsid w:val="542D5713"/>
    <w:rsid w:val="5460DAE7"/>
    <w:rsid w:val="546A637F"/>
    <w:rsid w:val="5492CB72"/>
    <w:rsid w:val="54A3A178"/>
    <w:rsid w:val="54AE7C9B"/>
    <w:rsid w:val="54B98CA6"/>
    <w:rsid w:val="5540FFFE"/>
    <w:rsid w:val="55677C29"/>
    <w:rsid w:val="5579A9AC"/>
    <w:rsid w:val="55A6198E"/>
    <w:rsid w:val="55AAC1CA"/>
    <w:rsid w:val="55B52A16"/>
    <w:rsid w:val="55D1A0BD"/>
    <w:rsid w:val="560706B9"/>
    <w:rsid w:val="5607F745"/>
    <w:rsid w:val="5619D527"/>
    <w:rsid w:val="5666B531"/>
    <w:rsid w:val="5691E523"/>
    <w:rsid w:val="569F9EBD"/>
    <w:rsid w:val="56E35C24"/>
    <w:rsid w:val="56E3B4E6"/>
    <w:rsid w:val="56E9AF69"/>
    <w:rsid w:val="571E295A"/>
    <w:rsid w:val="573BBD4A"/>
    <w:rsid w:val="574940BD"/>
    <w:rsid w:val="57BBA1BA"/>
    <w:rsid w:val="57C90EED"/>
    <w:rsid w:val="58195E17"/>
    <w:rsid w:val="582A16BC"/>
    <w:rsid w:val="58464544"/>
    <w:rsid w:val="5871BAEC"/>
    <w:rsid w:val="58AFC294"/>
    <w:rsid w:val="58BE6C90"/>
    <w:rsid w:val="58C4BAEC"/>
    <w:rsid w:val="5908F88B"/>
    <w:rsid w:val="5910E9C6"/>
    <w:rsid w:val="5915E241"/>
    <w:rsid w:val="59263DD4"/>
    <w:rsid w:val="59586655"/>
    <w:rsid w:val="596E2428"/>
    <w:rsid w:val="5977A4B9"/>
    <w:rsid w:val="5988592F"/>
    <w:rsid w:val="59E4B118"/>
    <w:rsid w:val="59EB96C2"/>
    <w:rsid w:val="59F73959"/>
    <w:rsid w:val="5A044A50"/>
    <w:rsid w:val="5A0DE55C"/>
    <w:rsid w:val="5A15EE8D"/>
    <w:rsid w:val="5A19B799"/>
    <w:rsid w:val="5A681DC9"/>
    <w:rsid w:val="5A869863"/>
    <w:rsid w:val="5AA2837F"/>
    <w:rsid w:val="5AD3E084"/>
    <w:rsid w:val="5ADF11DE"/>
    <w:rsid w:val="5AE61875"/>
    <w:rsid w:val="5BC0F074"/>
    <w:rsid w:val="5BD8B710"/>
    <w:rsid w:val="5C13BDA3"/>
    <w:rsid w:val="5C32774D"/>
    <w:rsid w:val="5C6202D3"/>
    <w:rsid w:val="5C940201"/>
    <w:rsid w:val="5CB5721D"/>
    <w:rsid w:val="5CC3F505"/>
    <w:rsid w:val="5CEE2625"/>
    <w:rsid w:val="5CF0626B"/>
    <w:rsid w:val="5D66CA9C"/>
    <w:rsid w:val="5DD0A1C7"/>
    <w:rsid w:val="5E0265CB"/>
    <w:rsid w:val="5E16F592"/>
    <w:rsid w:val="5F007EF2"/>
    <w:rsid w:val="5F127A07"/>
    <w:rsid w:val="5F1A4EA7"/>
    <w:rsid w:val="5F524ED1"/>
    <w:rsid w:val="5F67441A"/>
    <w:rsid w:val="5F997B67"/>
    <w:rsid w:val="5FD4BA8C"/>
    <w:rsid w:val="5FD721D7"/>
    <w:rsid w:val="60144321"/>
    <w:rsid w:val="60438336"/>
    <w:rsid w:val="60701AE9"/>
    <w:rsid w:val="607AD504"/>
    <w:rsid w:val="6084EC2D"/>
    <w:rsid w:val="6088DD0C"/>
    <w:rsid w:val="60C4C7C5"/>
    <w:rsid w:val="60F28DD5"/>
    <w:rsid w:val="613BB728"/>
    <w:rsid w:val="61426543"/>
    <w:rsid w:val="615A8F90"/>
    <w:rsid w:val="61CAF61F"/>
    <w:rsid w:val="61FA87FD"/>
    <w:rsid w:val="6269D6CA"/>
    <w:rsid w:val="627B81B1"/>
    <w:rsid w:val="62CE4F0A"/>
    <w:rsid w:val="62D0FB66"/>
    <w:rsid w:val="62F1F37E"/>
    <w:rsid w:val="631B00AE"/>
    <w:rsid w:val="6327F775"/>
    <w:rsid w:val="6339C24E"/>
    <w:rsid w:val="63628753"/>
    <w:rsid w:val="637494EA"/>
    <w:rsid w:val="637EB80C"/>
    <w:rsid w:val="6395AACE"/>
    <w:rsid w:val="639AE5F2"/>
    <w:rsid w:val="63C17A85"/>
    <w:rsid w:val="63C9353A"/>
    <w:rsid w:val="63D2035B"/>
    <w:rsid w:val="63D95B5B"/>
    <w:rsid w:val="63FCE712"/>
    <w:rsid w:val="641A796A"/>
    <w:rsid w:val="642117E3"/>
    <w:rsid w:val="64282B00"/>
    <w:rsid w:val="6446331C"/>
    <w:rsid w:val="6452D8C1"/>
    <w:rsid w:val="6454B4AD"/>
    <w:rsid w:val="6474412D"/>
    <w:rsid w:val="647FEDC9"/>
    <w:rsid w:val="649BA4B7"/>
    <w:rsid w:val="64BB261A"/>
    <w:rsid w:val="64D02A1D"/>
    <w:rsid w:val="65035A7A"/>
    <w:rsid w:val="65182522"/>
    <w:rsid w:val="651DE39D"/>
    <w:rsid w:val="656F1D35"/>
    <w:rsid w:val="657D3516"/>
    <w:rsid w:val="65E4DAE4"/>
    <w:rsid w:val="66058B25"/>
    <w:rsid w:val="66170365"/>
    <w:rsid w:val="6629D1D3"/>
    <w:rsid w:val="6639473D"/>
    <w:rsid w:val="6655F77F"/>
    <w:rsid w:val="6659B189"/>
    <w:rsid w:val="668F4632"/>
    <w:rsid w:val="668FC8C1"/>
    <w:rsid w:val="66A14B52"/>
    <w:rsid w:val="66F070FC"/>
    <w:rsid w:val="672A76CA"/>
    <w:rsid w:val="676FA33F"/>
    <w:rsid w:val="67DE78F1"/>
    <w:rsid w:val="6800D5DC"/>
    <w:rsid w:val="68486CD5"/>
    <w:rsid w:val="6858AB8D"/>
    <w:rsid w:val="6869C4C9"/>
    <w:rsid w:val="68A39260"/>
    <w:rsid w:val="68ABF269"/>
    <w:rsid w:val="6928C884"/>
    <w:rsid w:val="692E511C"/>
    <w:rsid w:val="6990CDF7"/>
    <w:rsid w:val="69BAD621"/>
    <w:rsid w:val="69DE1618"/>
    <w:rsid w:val="69F250DF"/>
    <w:rsid w:val="6A28A5E2"/>
    <w:rsid w:val="6A34B818"/>
    <w:rsid w:val="6A3C72CD"/>
    <w:rsid w:val="6A484FD4"/>
    <w:rsid w:val="6A4C908B"/>
    <w:rsid w:val="6A5C1886"/>
    <w:rsid w:val="6AB97DBF"/>
    <w:rsid w:val="6AC0398D"/>
    <w:rsid w:val="6ADAAC85"/>
    <w:rsid w:val="6AE148AA"/>
    <w:rsid w:val="6B006B84"/>
    <w:rsid w:val="6B5341EB"/>
    <w:rsid w:val="6B5A2DF5"/>
    <w:rsid w:val="6B6CDA82"/>
    <w:rsid w:val="6B6F4EA2"/>
    <w:rsid w:val="6BC6A386"/>
    <w:rsid w:val="6BDE9C22"/>
    <w:rsid w:val="6C060CEB"/>
    <w:rsid w:val="6C2E3F27"/>
    <w:rsid w:val="6C39DE23"/>
    <w:rsid w:val="6CAFAB03"/>
    <w:rsid w:val="6CB75659"/>
    <w:rsid w:val="6CB99CCB"/>
    <w:rsid w:val="6CE65E26"/>
    <w:rsid w:val="6CF9795D"/>
    <w:rsid w:val="6D0E07B8"/>
    <w:rsid w:val="6D1821FA"/>
    <w:rsid w:val="6D467E95"/>
    <w:rsid w:val="6D488F6E"/>
    <w:rsid w:val="6D96893D"/>
    <w:rsid w:val="6D9918F3"/>
    <w:rsid w:val="6DB24BE8"/>
    <w:rsid w:val="6E0DFD37"/>
    <w:rsid w:val="6E3681E7"/>
    <w:rsid w:val="6E7E23A2"/>
    <w:rsid w:val="6ED1088C"/>
    <w:rsid w:val="6F2FFBBE"/>
    <w:rsid w:val="6F40EBB0"/>
    <w:rsid w:val="6F42A5D3"/>
    <w:rsid w:val="6F70B351"/>
    <w:rsid w:val="6FB3EA41"/>
    <w:rsid w:val="70001A13"/>
    <w:rsid w:val="702B5F4B"/>
    <w:rsid w:val="70BB4FD4"/>
    <w:rsid w:val="71459DF9"/>
    <w:rsid w:val="71B4B6E8"/>
    <w:rsid w:val="71E5A668"/>
    <w:rsid w:val="71F0F534"/>
    <w:rsid w:val="71FA6E67"/>
    <w:rsid w:val="7207B7C7"/>
    <w:rsid w:val="721958FC"/>
    <w:rsid w:val="7225E965"/>
    <w:rsid w:val="72681A82"/>
    <w:rsid w:val="727A1743"/>
    <w:rsid w:val="727CE574"/>
    <w:rsid w:val="7296F7E2"/>
    <w:rsid w:val="72CB61F1"/>
    <w:rsid w:val="72E018E6"/>
    <w:rsid w:val="72FC6C41"/>
    <w:rsid w:val="730426F6"/>
    <w:rsid w:val="73286DA4"/>
    <w:rsid w:val="7362C10F"/>
    <w:rsid w:val="736D6493"/>
    <w:rsid w:val="739CF1CB"/>
    <w:rsid w:val="73B41B6A"/>
    <w:rsid w:val="73F2591E"/>
    <w:rsid w:val="7405A25E"/>
    <w:rsid w:val="74244FF3"/>
    <w:rsid w:val="744D5BFE"/>
    <w:rsid w:val="7477C9CA"/>
    <w:rsid w:val="747952C9"/>
    <w:rsid w:val="747D4ED8"/>
    <w:rsid w:val="74CAC318"/>
    <w:rsid w:val="74DED1C0"/>
    <w:rsid w:val="74ED9108"/>
    <w:rsid w:val="751D83A0"/>
    <w:rsid w:val="752F420A"/>
    <w:rsid w:val="755C3F8C"/>
    <w:rsid w:val="760F9FA4"/>
    <w:rsid w:val="7660C192"/>
    <w:rsid w:val="769072DA"/>
    <w:rsid w:val="76942F25"/>
    <w:rsid w:val="776F6133"/>
    <w:rsid w:val="77791301"/>
    <w:rsid w:val="778BED2C"/>
    <w:rsid w:val="77BEB7D5"/>
    <w:rsid w:val="77ECCEFF"/>
    <w:rsid w:val="77EE0A46"/>
    <w:rsid w:val="77F5B77F"/>
    <w:rsid w:val="780FEB3A"/>
    <w:rsid w:val="78378645"/>
    <w:rsid w:val="783E4600"/>
    <w:rsid w:val="7894825E"/>
    <w:rsid w:val="78AC390D"/>
    <w:rsid w:val="78D00B63"/>
    <w:rsid w:val="78E62D26"/>
    <w:rsid w:val="78F4CBBE"/>
    <w:rsid w:val="79050A76"/>
    <w:rsid w:val="79620BA2"/>
    <w:rsid w:val="7976AD4E"/>
    <w:rsid w:val="79ACC961"/>
    <w:rsid w:val="79BF5921"/>
    <w:rsid w:val="79D03B35"/>
    <w:rsid w:val="79DA07D4"/>
    <w:rsid w:val="79EFCEB4"/>
    <w:rsid w:val="79FB81CA"/>
    <w:rsid w:val="7A09A274"/>
    <w:rsid w:val="7A49DFC3"/>
    <w:rsid w:val="7A9B56C4"/>
    <w:rsid w:val="7AB121B4"/>
    <w:rsid w:val="7AD94AE9"/>
    <w:rsid w:val="7B5692B9"/>
    <w:rsid w:val="7B8F18BC"/>
    <w:rsid w:val="7BB3923B"/>
    <w:rsid w:val="7BB9E097"/>
    <w:rsid w:val="7BBD48A7"/>
    <w:rsid w:val="7BC8CB12"/>
    <w:rsid w:val="7BCBD296"/>
    <w:rsid w:val="7C7853DB"/>
    <w:rsid w:val="7CB5EAE2"/>
    <w:rsid w:val="7CED3DA4"/>
    <w:rsid w:val="7CEFA61C"/>
    <w:rsid w:val="7CF72E00"/>
    <w:rsid w:val="7D0D5572"/>
    <w:rsid w:val="7D4B00D5"/>
    <w:rsid w:val="7D83AB94"/>
    <w:rsid w:val="7DB830FA"/>
    <w:rsid w:val="7DFFD445"/>
    <w:rsid w:val="7E4EC0A3"/>
    <w:rsid w:val="7EA0DF0F"/>
    <w:rsid w:val="7F21EA18"/>
    <w:rsid w:val="7F461F88"/>
    <w:rsid w:val="7F742397"/>
    <w:rsid w:val="7F764535"/>
    <w:rsid w:val="7FD4D1AC"/>
    <w:rsid w:val="7FE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1769"/>
  <w15:docId w15:val="{F74CF622-AAD0-4679-BF69-A033FF8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uiPriority w:val="99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uiPriority w:val="99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xxnormaltextrun">
    <w:name w:val="x_xnormaltextrun"/>
    <w:rsid w:val="002F0A0F"/>
  </w:style>
  <w:style w:type="character" w:styleId="SmartLink">
    <w:name w:val="Smart Link"/>
    <w:uiPriority w:val="99"/>
    <w:semiHidden/>
    <w:unhideWhenUsed/>
    <w:rsid w:val="0024267F"/>
    <w:rPr>
      <w:color w:val="0000FF"/>
      <w:u w:val="single"/>
      <w:shd w:val="clear" w:color="auto" w:fill="F3F2F1"/>
    </w:rPr>
  </w:style>
  <w:style w:type="paragraph" w:customStyle="1" w:styleId="xxparagraph">
    <w:name w:val="x_xparagraph"/>
    <w:basedOn w:val="Normal"/>
    <w:uiPriority w:val="99"/>
    <w:rsid w:val="00D46568"/>
    <w:pPr>
      <w:suppressAutoHyphens w:val="0"/>
      <w:spacing w:before="100" w:beforeAutospacing="1" w:after="100" w:afterAutospacing="1" w:line="240" w:lineRule="auto"/>
    </w:pPr>
    <w:rPr>
      <w:rFonts w:eastAsia="DengXian"/>
      <w:sz w:val="24"/>
      <w:szCs w:val="24"/>
      <w:lang w:eastAsia="zh-CN"/>
    </w:rPr>
  </w:style>
  <w:style w:type="character" w:customStyle="1" w:styleId="normaltextrun">
    <w:name w:val="normaltextrun"/>
    <w:rsid w:val="00DD0E29"/>
  </w:style>
  <w:style w:type="character" w:customStyle="1" w:styleId="eop">
    <w:name w:val="eop"/>
    <w:rsid w:val="00DD0E29"/>
  </w:style>
  <w:style w:type="paragraph" w:customStyle="1" w:styleId="paragraph">
    <w:name w:val="paragraph"/>
    <w:basedOn w:val="Normal"/>
    <w:rsid w:val="30252A8D"/>
    <w:pPr>
      <w:spacing w:beforeAutospacing="1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57284"/>
    <w:rPr>
      <w:color w:val="605E5C"/>
      <w:shd w:val="clear" w:color="auto" w:fill="E1DFDD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B2FD9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855F5"/>
    <w:rPr>
      <w:sz w:val="1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55F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A855F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5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855F5"/>
  </w:style>
  <w:style w:type="character" w:styleId="Mention">
    <w:name w:val="Mention"/>
    <w:basedOn w:val="DefaultParagraphFont"/>
    <w:uiPriority w:val="99"/>
    <w:unhideWhenUsed/>
    <w:rsid w:val="00A855F5"/>
    <w:rPr>
      <w:color w:val="2B579A"/>
      <w:shd w:val="clear" w:color="auto" w:fill="E1DFDD"/>
    </w:rPr>
  </w:style>
  <w:style w:type="character" w:customStyle="1" w:styleId="H1GChar">
    <w:name w:val="_ H_1_G Char"/>
    <w:link w:val="H1G"/>
    <w:rsid w:val="002A56D0"/>
    <w:rPr>
      <w:b/>
      <w:sz w:val="24"/>
      <w:lang w:eastAsia="en-US"/>
    </w:rPr>
  </w:style>
  <w:style w:type="character" w:customStyle="1" w:styleId="SingleTxtGCar">
    <w:name w:val="_ Single Txt_G Car"/>
    <w:rsid w:val="00C265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EEE27-827E-41E1-9C88-46DBB44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5D36-2F30-44AA-9DE9-5214C8650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65A17-77EF-42CE-939B-1357D8DD87E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C4112EF9-0CD4-4EAB-B964-E72433F83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Rosa Garcia Couto</cp:lastModifiedBy>
  <cp:revision>10</cp:revision>
  <cp:lastPrinted>2022-07-01T14:44:00Z</cp:lastPrinted>
  <dcterms:created xsi:type="dcterms:W3CDTF">2022-07-01T14:45:00Z</dcterms:created>
  <dcterms:modified xsi:type="dcterms:W3CDTF">2022-07-06T08:54:00Z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  <property fmtid="{D5CDD505-2E9C-101B-9397-08002B2CF9AE}" pid="8" name="ContentTypeId">
    <vt:lpwstr>0x0101003B8422D08C252547BB1CFA7F78E2CB83</vt:lpwstr>
  </property>
  <property fmtid="{D5CDD505-2E9C-101B-9397-08002B2CF9AE}" pid="9" name="Order">
    <vt:r8>3459000</vt:r8>
  </property>
  <property fmtid="{D5CDD505-2E9C-101B-9397-08002B2CF9AE}" pid="10" name="MediaServiceImageTags">
    <vt:lpwstr/>
  </property>
</Properties>
</file>