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AE47FC" w14:paraId="733BC40E" w14:textId="77777777" w:rsidTr="6AC337CF">
        <w:trPr>
          <w:cantSplit/>
          <w:trHeight w:hRule="exact" w:val="851"/>
        </w:trPr>
        <w:tc>
          <w:tcPr>
            <w:tcW w:w="9072" w:type="dxa"/>
            <w:tcBorders>
              <w:bottom w:val="single" w:sz="4" w:space="0" w:color="auto"/>
            </w:tcBorders>
            <w:vAlign w:val="bottom"/>
          </w:tcPr>
          <w:p w14:paraId="30457239" w14:textId="1D6D5A88" w:rsidR="00717408" w:rsidRPr="00AE47FC" w:rsidRDefault="00FA63B2" w:rsidP="00D660CB">
            <w:pPr>
              <w:jc w:val="right"/>
              <w:rPr>
                <w:b/>
                <w:sz w:val="40"/>
                <w:szCs w:val="40"/>
              </w:rPr>
            </w:pPr>
            <w:r w:rsidRPr="00AE47FC">
              <w:rPr>
                <w:b/>
                <w:sz w:val="40"/>
                <w:szCs w:val="40"/>
              </w:rPr>
              <w:t>UN/SCEGHS/</w:t>
            </w:r>
            <w:r w:rsidR="00260117" w:rsidRPr="00AE47FC">
              <w:rPr>
                <w:b/>
                <w:sz w:val="40"/>
                <w:szCs w:val="40"/>
              </w:rPr>
              <w:t>4</w:t>
            </w:r>
            <w:r w:rsidR="004108A7" w:rsidRPr="00AE47FC">
              <w:rPr>
                <w:b/>
                <w:sz w:val="40"/>
                <w:szCs w:val="40"/>
              </w:rPr>
              <w:t>2</w:t>
            </w:r>
            <w:r w:rsidRPr="00AE47FC">
              <w:rPr>
                <w:b/>
                <w:sz w:val="40"/>
                <w:szCs w:val="40"/>
              </w:rPr>
              <w:t>/INF.</w:t>
            </w:r>
            <w:r w:rsidR="00A561E1" w:rsidRPr="00AE47FC">
              <w:rPr>
                <w:b/>
                <w:sz w:val="40"/>
                <w:szCs w:val="40"/>
              </w:rPr>
              <w:t>2</w:t>
            </w:r>
            <w:r w:rsidR="00114FE6">
              <w:rPr>
                <w:b/>
                <w:sz w:val="40"/>
                <w:szCs w:val="40"/>
              </w:rPr>
              <w:t>1</w:t>
            </w:r>
          </w:p>
        </w:tc>
      </w:tr>
      <w:tr w:rsidR="00F25F49" w14:paraId="5B34FCC5" w14:textId="77777777" w:rsidTr="00433794">
        <w:tblPrEx>
          <w:tblBorders>
            <w:insideH w:val="single" w:sz="4" w:space="0" w:color="auto"/>
            <w:insideV w:val="single" w:sz="4" w:space="0" w:color="auto"/>
          </w:tblBorders>
        </w:tblPrEx>
        <w:trPr>
          <w:cantSplit/>
          <w:trHeight w:hRule="exact" w:val="3114"/>
        </w:trPr>
        <w:tc>
          <w:tcPr>
            <w:tcW w:w="9072" w:type="dxa"/>
            <w:tcBorders>
              <w:top w:val="single" w:sz="4" w:space="0" w:color="auto"/>
            </w:tcBorders>
          </w:tcPr>
          <w:p w14:paraId="35C68ED3" w14:textId="77777777" w:rsidR="00F25F49" w:rsidRPr="00951EBC" w:rsidRDefault="00F25F49" w:rsidP="00433794">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1D6203EE" w14:textId="77777777" w:rsidR="00F25F49" w:rsidRPr="00951EBC" w:rsidRDefault="00F25F49" w:rsidP="00433794">
            <w:pPr>
              <w:tabs>
                <w:tab w:val="left" w:pos="7380"/>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Pr="00951EBC">
              <w:tab/>
            </w:r>
            <w:r>
              <w:rPr>
                <w:b/>
                <w:bCs/>
              </w:rPr>
              <w:t>4 July</w:t>
            </w:r>
            <w:r w:rsidRPr="004108A7">
              <w:rPr>
                <w:b/>
                <w:bCs/>
              </w:rPr>
              <w:t xml:space="preserve"> 2022</w:t>
            </w:r>
          </w:p>
          <w:p w14:paraId="543D7BAE" w14:textId="77777777" w:rsidR="00F25F49" w:rsidRDefault="00F25F49" w:rsidP="00433794">
            <w:pPr>
              <w:spacing w:before="120"/>
              <w:rPr>
                <w:b/>
              </w:rPr>
            </w:pPr>
            <w:r>
              <w:rPr>
                <w:b/>
              </w:rPr>
              <w:t>Forty-second session</w:t>
            </w:r>
          </w:p>
          <w:p w14:paraId="55BEA138" w14:textId="77777777" w:rsidR="00F25F49" w:rsidRDefault="00F25F49" w:rsidP="00433794">
            <w:r>
              <w:t xml:space="preserve">Geneva, 6-8 July 2022 </w:t>
            </w:r>
          </w:p>
          <w:p w14:paraId="0D3BC779" w14:textId="77777777" w:rsidR="00F25F49" w:rsidRDefault="00F25F49" w:rsidP="00433794">
            <w:r w:rsidRPr="00FD3943">
              <w:t xml:space="preserve">Item </w:t>
            </w:r>
            <w:r>
              <w:t xml:space="preserve">5 </w:t>
            </w:r>
            <w:r w:rsidRPr="00FD3943">
              <w:t>of the provisional agenda</w:t>
            </w:r>
          </w:p>
          <w:p w14:paraId="49603689" w14:textId="77777777" w:rsidR="00F25F49" w:rsidRPr="008A5FC7" w:rsidRDefault="00F25F49" w:rsidP="00433794">
            <w:pPr>
              <w:rPr>
                <w:b/>
                <w:bCs/>
              </w:rPr>
            </w:pPr>
            <w:r w:rsidRPr="008A5FC7">
              <w:rPr>
                <w:b/>
                <w:bCs/>
              </w:rPr>
              <w:t xml:space="preserve">Capacity </w:t>
            </w:r>
            <w:r>
              <w:rPr>
                <w:b/>
                <w:bCs/>
              </w:rPr>
              <w:t>b</w:t>
            </w:r>
            <w:r w:rsidRPr="008A5FC7">
              <w:rPr>
                <w:b/>
                <w:bCs/>
              </w:rPr>
              <w:t>uilding</w:t>
            </w:r>
          </w:p>
          <w:p w14:paraId="0B190DD9" w14:textId="77777777" w:rsidR="00F25F49" w:rsidRPr="00607C4D" w:rsidRDefault="00F25F49" w:rsidP="00433794">
            <w:pPr>
              <w:spacing w:line="240" w:lineRule="exact"/>
              <w:rPr>
                <w:b/>
                <w:bCs/>
              </w:rPr>
            </w:pPr>
          </w:p>
        </w:tc>
      </w:tr>
    </w:tbl>
    <w:p w14:paraId="1AD20196" w14:textId="77777777" w:rsidR="00F25F49" w:rsidRPr="009B3F87" w:rsidRDefault="00F25F49" w:rsidP="00F25F49">
      <w:pPr>
        <w:pStyle w:val="HChG"/>
      </w:pPr>
      <w:r>
        <w:tab/>
      </w:r>
      <w:r>
        <w:tab/>
      </w:r>
      <w:proofErr w:type="spellStart"/>
      <w:r>
        <w:t>BlueGreen</w:t>
      </w:r>
      <w:proofErr w:type="spellEnd"/>
      <w:r>
        <w:t xml:space="preserve"> Alliance and </w:t>
      </w:r>
      <w:proofErr w:type="spellStart"/>
      <w:r>
        <w:t>Clearya</w:t>
      </w:r>
      <w:proofErr w:type="spellEnd"/>
      <w:r>
        <w:t xml:space="preserve"> True Health Hazard Project</w:t>
      </w:r>
    </w:p>
    <w:p w14:paraId="0593A02D" w14:textId="77777777" w:rsidR="00F25F49" w:rsidRDefault="00F25F49" w:rsidP="00F25F49">
      <w:pPr>
        <w:pStyle w:val="H1G"/>
      </w:pPr>
      <w:r>
        <w:tab/>
      </w:r>
      <w:r>
        <w:tab/>
        <w:t>Transmitted by the expert from the United States of America</w:t>
      </w:r>
    </w:p>
    <w:p w14:paraId="0B74992B" w14:textId="77777777" w:rsidR="00F25F49" w:rsidRPr="009B3F87" w:rsidRDefault="00F25F49" w:rsidP="00F25F49">
      <w:pPr>
        <w:pStyle w:val="HChG"/>
      </w:pPr>
      <w:r>
        <w:tab/>
      </w:r>
      <w:r>
        <w:tab/>
        <w:t>Introduction</w:t>
      </w:r>
    </w:p>
    <w:p w14:paraId="1324D0A7" w14:textId="64B81321" w:rsidR="00F25F49" w:rsidRPr="0082712B" w:rsidRDefault="00F25F49" w:rsidP="00F25F49">
      <w:pPr>
        <w:pStyle w:val="SingleTxtG"/>
      </w:pPr>
      <w:r w:rsidRPr="0082712B">
        <w:t>1.</w:t>
      </w:r>
      <w:r w:rsidRPr="0082712B">
        <w:tab/>
        <w:t xml:space="preserve">The purpose of this paper is to inform the sub-committee of a safety data sheet (SDS) analysis being conducted in the </w:t>
      </w:r>
      <w:r w:rsidR="003508FA">
        <w:t>United States of America</w:t>
      </w:r>
      <w:r w:rsidRPr="0082712B">
        <w:t xml:space="preserve"> by the </w:t>
      </w:r>
      <w:proofErr w:type="spellStart"/>
      <w:r w:rsidRPr="0082712B">
        <w:t>BlueGreen</w:t>
      </w:r>
      <w:proofErr w:type="spellEnd"/>
      <w:r w:rsidRPr="0082712B">
        <w:t xml:space="preserve"> Alliance and </w:t>
      </w:r>
      <w:proofErr w:type="spellStart"/>
      <w:r w:rsidRPr="0082712B">
        <w:t>Clearya</w:t>
      </w:r>
      <w:proofErr w:type="spellEnd"/>
      <w:r w:rsidRPr="0082712B">
        <w:t xml:space="preserve"> True Health Hazard Project.</w:t>
      </w:r>
    </w:p>
    <w:p w14:paraId="06655BD5" w14:textId="62F3D6A8" w:rsidR="00F25F49" w:rsidRPr="0082712B" w:rsidRDefault="00F25F49" w:rsidP="00F25F49">
      <w:pPr>
        <w:pStyle w:val="SingleTxtG"/>
      </w:pPr>
      <w:r w:rsidRPr="0082712B">
        <w:t>2.</w:t>
      </w:r>
      <w:r w:rsidRPr="0082712B">
        <w:tab/>
        <w:t xml:space="preserve">An overview of the initiative including next steps and contact information is provided in </w:t>
      </w:r>
      <w:r w:rsidR="0040322B">
        <w:t>the a</w:t>
      </w:r>
      <w:r w:rsidRPr="0082712B">
        <w:t>nnex</w:t>
      </w:r>
      <w:r w:rsidR="0040322B">
        <w:t xml:space="preserve"> to this document</w:t>
      </w:r>
      <w:r w:rsidRPr="0082712B">
        <w:t xml:space="preserve">. </w:t>
      </w:r>
    </w:p>
    <w:p w14:paraId="7980A097" w14:textId="77777777" w:rsidR="00F25F49" w:rsidRDefault="00F25F49" w:rsidP="00F25F49">
      <w:pPr>
        <w:suppressAutoHyphens w:val="0"/>
        <w:spacing w:line="240" w:lineRule="auto"/>
        <w:rPr>
          <w:shd w:val="clear" w:color="auto" w:fill="FFFFFF"/>
        </w:rPr>
      </w:pPr>
      <w:r>
        <w:rPr>
          <w:shd w:val="clear" w:color="auto" w:fill="FFFFFF"/>
        </w:rPr>
        <w:br w:type="page"/>
      </w:r>
    </w:p>
    <w:p w14:paraId="569DB31F" w14:textId="01740CA0" w:rsidR="00F25F49" w:rsidRPr="001141AA" w:rsidRDefault="00F25F49" w:rsidP="00F25F49">
      <w:pPr>
        <w:pStyle w:val="HChG"/>
      </w:pPr>
      <w:r w:rsidRPr="001141AA">
        <w:t>Annex</w:t>
      </w:r>
    </w:p>
    <w:p w14:paraId="7AED863F" w14:textId="77777777" w:rsidR="00F25F49" w:rsidRPr="006724D3" w:rsidRDefault="00F25F49" w:rsidP="00F25F49">
      <w:pPr>
        <w:pStyle w:val="HChG"/>
      </w:pPr>
      <w:r>
        <w:rPr>
          <w:shd w:val="clear" w:color="auto" w:fill="FFFFFF"/>
        </w:rPr>
        <w:tab/>
      </w:r>
      <w:r>
        <w:rPr>
          <w:shd w:val="clear" w:color="auto" w:fill="FFFFFF"/>
        </w:rPr>
        <w:tab/>
      </w:r>
      <w:proofErr w:type="spellStart"/>
      <w:r w:rsidRPr="006724D3">
        <w:rPr>
          <w:shd w:val="clear" w:color="auto" w:fill="FFFFFF"/>
        </w:rPr>
        <w:t>BlueGreen</w:t>
      </w:r>
      <w:proofErr w:type="spellEnd"/>
      <w:r w:rsidRPr="006724D3">
        <w:rPr>
          <w:shd w:val="clear" w:color="auto" w:fill="FFFFFF"/>
        </w:rPr>
        <w:t xml:space="preserve"> Alliance and </w:t>
      </w:r>
      <w:proofErr w:type="spellStart"/>
      <w:r w:rsidRPr="006724D3">
        <w:rPr>
          <w:shd w:val="clear" w:color="auto" w:fill="FFFFFF"/>
        </w:rPr>
        <w:t>Clearya</w:t>
      </w:r>
      <w:proofErr w:type="spellEnd"/>
    </w:p>
    <w:p w14:paraId="054424DD" w14:textId="77777777" w:rsidR="00F25F49" w:rsidRPr="006724D3" w:rsidRDefault="00F25F49" w:rsidP="00F25F49">
      <w:pPr>
        <w:pStyle w:val="H23G"/>
      </w:pPr>
      <w:r>
        <w:rPr>
          <w:shd w:val="clear" w:color="auto" w:fill="FFFFFF"/>
        </w:rPr>
        <w:tab/>
      </w:r>
      <w:r>
        <w:rPr>
          <w:shd w:val="clear" w:color="auto" w:fill="FFFFFF"/>
        </w:rPr>
        <w:tab/>
      </w:r>
      <w:r w:rsidRPr="006724D3">
        <w:rPr>
          <w:shd w:val="clear" w:color="auto" w:fill="FFFFFF"/>
        </w:rPr>
        <w:t>True Health Hazard Project </w:t>
      </w:r>
    </w:p>
    <w:p w14:paraId="2246DD12" w14:textId="04C2C5B7" w:rsidR="00F25F49" w:rsidRPr="006724D3" w:rsidRDefault="00F25F49" w:rsidP="00F25F49">
      <w:pPr>
        <w:pStyle w:val="SingleTxtG"/>
      </w:pPr>
      <w:r>
        <w:rPr>
          <w:shd w:val="clear" w:color="auto" w:fill="FFFFFF"/>
        </w:rPr>
        <w:t>1.</w:t>
      </w:r>
      <w:r>
        <w:rPr>
          <w:shd w:val="clear" w:color="auto" w:fill="FFFFFF"/>
        </w:rPr>
        <w:tab/>
      </w:r>
      <w:r w:rsidRPr="006724D3">
        <w:rPr>
          <w:shd w:val="clear" w:color="auto" w:fill="FFFFFF"/>
        </w:rPr>
        <w:t>The Globally Harmonized System of Classification and Label</w:t>
      </w:r>
      <w:r w:rsidR="003508FA">
        <w:rPr>
          <w:shd w:val="clear" w:color="auto" w:fill="FFFFFF"/>
        </w:rPr>
        <w:t>l</w:t>
      </w:r>
      <w:r w:rsidRPr="006724D3">
        <w:rPr>
          <w:shd w:val="clear" w:color="auto" w:fill="FFFFFF"/>
        </w:rPr>
        <w:t>ing of Chemicals (GHS) and its “right to know and right to understand” fundamentally depends upon accurate and complete chemical health hazard information on safety data sheets (SDS). But personal experience and the peer reviewed literature suggest that SDSs often leave out the warnings that are needed to keep workers and communities safe:</w:t>
      </w:r>
    </w:p>
    <w:p w14:paraId="139BCA84" w14:textId="3F27A019" w:rsidR="00F25F49" w:rsidRPr="006724D3" w:rsidRDefault="00F25F49" w:rsidP="00F25F49">
      <w:pPr>
        <w:pStyle w:val="Bullet1G"/>
        <w:numPr>
          <w:ilvl w:val="0"/>
          <w:numId w:val="0"/>
        </w:numPr>
        <w:tabs>
          <w:tab w:val="left" w:pos="1701"/>
        </w:tabs>
        <w:ind w:left="1701" w:hanging="170"/>
      </w:pPr>
      <w:r w:rsidRPr="006724D3">
        <w:t>•</w:t>
      </w:r>
      <w:r w:rsidRPr="006724D3">
        <w:tab/>
        <w:t xml:space="preserve">Eighty-nine percent of the {150} SDSs provided identifiable chemical names. Thirty-seven percent were found to have accurate health effects data (with chronic health information the most inaccurate). </w:t>
      </w:r>
    </w:p>
    <w:p w14:paraId="5AB4EEA9" w14:textId="77777777" w:rsidR="00F25F49" w:rsidRPr="00304EA2" w:rsidRDefault="00F25F49" w:rsidP="00F25F49">
      <w:pPr>
        <w:pStyle w:val="SingleTxtG"/>
        <w:ind w:left="1701"/>
        <w:rPr>
          <w:i/>
          <w:iCs/>
        </w:rPr>
      </w:pPr>
      <w:r w:rsidRPr="00304EA2">
        <w:rPr>
          <w:i/>
          <w:iCs/>
        </w:rPr>
        <w:t xml:space="preserve">Paul W. </w:t>
      </w:r>
      <w:proofErr w:type="spellStart"/>
      <w:r w:rsidRPr="00304EA2">
        <w:rPr>
          <w:i/>
          <w:iCs/>
        </w:rPr>
        <w:t>Kolp</w:t>
      </w:r>
      <w:proofErr w:type="spellEnd"/>
      <w:r w:rsidRPr="00304EA2">
        <w:rPr>
          <w:i/>
          <w:iCs/>
        </w:rPr>
        <w:t xml:space="preserve">, Phillip L. Williams &amp; Rupert C. </w:t>
      </w:r>
      <w:proofErr w:type="spellStart"/>
      <w:r w:rsidRPr="00304EA2">
        <w:rPr>
          <w:i/>
          <w:iCs/>
        </w:rPr>
        <w:t>Burtan</w:t>
      </w:r>
      <w:proofErr w:type="spellEnd"/>
      <w:r w:rsidRPr="00304EA2">
        <w:rPr>
          <w:i/>
          <w:iCs/>
        </w:rPr>
        <w:t xml:space="preserve"> (1995) Assessment of the Accuracy of Material Safety Data Sheets, American Industrial Hygiene Association Journal, 56:2, 178-183, DOI: </w:t>
      </w:r>
      <w:hyperlink r:id="rId11" w:history="1">
        <w:r w:rsidRPr="00304EA2">
          <w:rPr>
            <w:i/>
            <w:iCs/>
            <w:u w:val="single"/>
          </w:rPr>
          <w:t>10.1080/15428119591017213</w:t>
        </w:r>
      </w:hyperlink>
    </w:p>
    <w:p w14:paraId="6A34B8E3" w14:textId="77777777" w:rsidR="00F25F49" w:rsidRDefault="00F25F49" w:rsidP="00F25F49">
      <w:pPr>
        <w:pStyle w:val="Bullet1G"/>
        <w:numPr>
          <w:ilvl w:val="0"/>
          <w:numId w:val="0"/>
        </w:numPr>
        <w:tabs>
          <w:tab w:val="left" w:pos="1701"/>
        </w:tabs>
        <w:ind w:left="1701" w:hanging="170"/>
      </w:pPr>
      <w:r>
        <w:t>•</w:t>
      </w:r>
      <w:r>
        <w:tab/>
      </w:r>
      <w:r w:rsidRPr="006724D3">
        <w:t xml:space="preserve">A total of 67 unique SDSs for nanomaterials were obtained from 67 manufacturers and ranked using the </w:t>
      </w:r>
      <w:proofErr w:type="spellStart"/>
      <w:r w:rsidRPr="006724D3">
        <w:t>Kimlisch</w:t>
      </w:r>
      <w:proofErr w:type="spellEnd"/>
      <w:r w:rsidRPr="006724D3">
        <w:t xml:space="preserve"> et al. criteria. The results of the evaluation were 28.4% (19) reliable without restrictions (excellent), 35.8% (24) reliable with restrictions (good), and 35.8% (24) unreliable. The lowest ranked categories were Section 11, Toxicological information.  </w:t>
      </w:r>
    </w:p>
    <w:p w14:paraId="03A5C119" w14:textId="77777777" w:rsidR="00F25F49" w:rsidRPr="006724D3" w:rsidRDefault="00F25F49" w:rsidP="00F25F49">
      <w:pPr>
        <w:pStyle w:val="Bullet1G"/>
        <w:numPr>
          <w:ilvl w:val="0"/>
          <w:numId w:val="0"/>
        </w:numPr>
        <w:ind w:left="1701"/>
      </w:pPr>
      <w:r w:rsidRPr="006724D3">
        <w:rPr>
          <w:i/>
          <w:iCs/>
        </w:rPr>
        <w:t xml:space="preserve">Laura, H., Adrienne, E., &amp; </w:t>
      </w:r>
      <w:proofErr w:type="spellStart"/>
      <w:r w:rsidRPr="006724D3">
        <w:rPr>
          <w:i/>
          <w:iCs/>
        </w:rPr>
        <w:t>Herbers</w:t>
      </w:r>
      <w:proofErr w:type="spellEnd"/>
      <w:r w:rsidRPr="006724D3">
        <w:rPr>
          <w:i/>
          <w:iCs/>
        </w:rPr>
        <w:t xml:space="preserve">, R. (2019). An evaluation of engineered nanomaterial safety data sheets for safety and health information post implementation of the revised hazard communication standard. Journal of chemical health &amp; safety, 26(2), 12–18. </w:t>
      </w:r>
      <w:hyperlink r:id="rId12" w:history="1">
        <w:r w:rsidRPr="006724D3">
          <w:rPr>
            <w:i/>
            <w:iCs/>
            <w:u w:val="single"/>
          </w:rPr>
          <w:t>https://doi.org/10.1016/j.jchas.2018.10.002</w:t>
        </w:r>
      </w:hyperlink>
    </w:p>
    <w:p w14:paraId="08ED8D63" w14:textId="77777777" w:rsidR="00F25F49" w:rsidRPr="00014745" w:rsidRDefault="00F25F49" w:rsidP="00F25F49">
      <w:pPr>
        <w:pStyle w:val="Bullet1G"/>
        <w:numPr>
          <w:ilvl w:val="0"/>
          <w:numId w:val="0"/>
        </w:numPr>
        <w:tabs>
          <w:tab w:val="left" w:pos="1701"/>
        </w:tabs>
        <w:ind w:left="1701" w:hanging="170"/>
      </w:pPr>
      <w:r w:rsidRPr="00014745">
        <w:t>•</w:t>
      </w:r>
      <w:r w:rsidRPr="00014745">
        <w:tab/>
        <w:t xml:space="preserve">An evaluation of 42 chemical substances found that all reviewed SDSs were categorized as incomplete using the </w:t>
      </w:r>
      <w:hyperlink r:id="rId13" w:history="1">
        <w:r w:rsidRPr="00014745">
          <w:rPr>
            <w:u w:val="single"/>
          </w:rPr>
          <w:t>Indonesia</w:t>
        </w:r>
      </w:hyperlink>
      <w:r w:rsidRPr="00014745">
        <w:rPr>
          <w:u w:val="single"/>
        </w:rPr>
        <w:t>’s</w:t>
      </w:r>
      <w:r w:rsidRPr="00014745">
        <w:t xml:space="preserve"> GHS completeness check, 21 SDSs were found to be accurate according to ECHA-</w:t>
      </w:r>
      <w:proofErr w:type="spellStart"/>
      <w:r w:rsidRPr="00014745">
        <w:t>Infocard</w:t>
      </w:r>
      <w:proofErr w:type="spellEnd"/>
      <w:r w:rsidRPr="00014745">
        <w:t>, and only 4 SDSs were found to be accurate according to the National Institute of Technology and Evaluation of Japan’s Chemical Risk Information Platform. </w:t>
      </w:r>
    </w:p>
    <w:p w14:paraId="1C55D660" w14:textId="77777777" w:rsidR="00F25F49" w:rsidRDefault="00F25F49" w:rsidP="00F25F49">
      <w:pPr>
        <w:pStyle w:val="Bullet1G"/>
        <w:numPr>
          <w:ilvl w:val="0"/>
          <w:numId w:val="0"/>
        </w:numPr>
        <w:ind w:left="1701"/>
        <w:rPr>
          <w:i/>
          <w:iCs/>
        </w:rPr>
      </w:pPr>
      <w:proofErr w:type="spellStart"/>
      <w:r w:rsidRPr="00014745">
        <w:rPr>
          <w:i/>
          <w:iCs/>
        </w:rPr>
        <w:t>Hidayat</w:t>
      </w:r>
      <w:proofErr w:type="spellEnd"/>
      <w:r w:rsidRPr="00014745">
        <w:rPr>
          <w:i/>
          <w:iCs/>
        </w:rPr>
        <w:t xml:space="preserve">, D.,  </w:t>
      </w:r>
      <w:proofErr w:type="spellStart"/>
      <w:r w:rsidRPr="00014745">
        <w:rPr>
          <w:i/>
          <w:iCs/>
        </w:rPr>
        <w:t>Andella</w:t>
      </w:r>
      <w:proofErr w:type="spellEnd"/>
      <w:r w:rsidRPr="00014745">
        <w:rPr>
          <w:i/>
          <w:iCs/>
        </w:rPr>
        <w:t xml:space="preserve">, C., &amp; </w:t>
      </w:r>
      <w:proofErr w:type="spellStart"/>
      <w:r w:rsidRPr="00014745">
        <w:rPr>
          <w:i/>
          <w:iCs/>
        </w:rPr>
        <w:t>Tejamaya</w:t>
      </w:r>
      <w:proofErr w:type="spellEnd"/>
      <w:r w:rsidRPr="00014745">
        <w:rPr>
          <w:i/>
          <w:iCs/>
        </w:rPr>
        <w:t xml:space="preserve">, M. (2021) Evaluation of the completeness and     accuracy of 42 safety data sheets (SDSs) of chemical substances, 2019, </w:t>
      </w:r>
      <w:proofErr w:type="spellStart"/>
      <w:r w:rsidRPr="00014745">
        <w:rPr>
          <w:i/>
          <w:iCs/>
        </w:rPr>
        <w:t>Gaceta</w:t>
      </w:r>
      <w:proofErr w:type="spellEnd"/>
      <w:r w:rsidRPr="00014745">
        <w:rPr>
          <w:i/>
          <w:iCs/>
        </w:rPr>
        <w:t xml:space="preserve"> Sanitaria, Volume 35, Supplement 2, 2021, </w:t>
      </w:r>
      <w:hyperlink r:id="rId14" w:history="1">
        <w:r w:rsidRPr="001A080D">
          <w:rPr>
            <w:rStyle w:val="Hyperlink"/>
            <w:i/>
            <w:iCs/>
          </w:rPr>
          <w:t>https://doi.org/10.1016/j.gaceta.2021.07.026</w:t>
        </w:r>
      </w:hyperlink>
    </w:p>
    <w:p w14:paraId="240DD853" w14:textId="77777777" w:rsidR="00F25F49" w:rsidRPr="00014745" w:rsidRDefault="00F25F49" w:rsidP="00F25F49">
      <w:pPr>
        <w:pStyle w:val="SingleTxtG"/>
        <w:rPr>
          <w:shd w:val="clear" w:color="auto" w:fill="FFFFFF"/>
        </w:rPr>
      </w:pPr>
      <w:r>
        <w:rPr>
          <w:shd w:val="clear" w:color="auto" w:fill="FFFFFF"/>
        </w:rPr>
        <w:t>2.</w:t>
      </w:r>
      <w:r>
        <w:rPr>
          <w:shd w:val="clear" w:color="auto" w:fill="FFFFFF"/>
        </w:rPr>
        <w:tab/>
      </w:r>
      <w:r w:rsidRPr="00014745">
        <w:rPr>
          <w:shd w:val="clear" w:color="auto" w:fill="FFFFFF"/>
        </w:rPr>
        <w:t>The largest of these studies reviewed 150 SDSs. In the True Health Hazard Project, we are designing a program that will automatically review the data on safety data sheets and identify missing health hazard information. By fully identifying and broadly communicating the current problem of missing health hazard information on SDSs, we aim to improve their accuracy and the resulting quality of hazard communication.</w:t>
      </w:r>
    </w:p>
    <w:p w14:paraId="4230AB83" w14:textId="77777777" w:rsidR="00F25F49" w:rsidRPr="00014745" w:rsidRDefault="00F25F49" w:rsidP="00F25F49">
      <w:pPr>
        <w:pStyle w:val="H23G"/>
      </w:pPr>
      <w:r>
        <w:tab/>
      </w:r>
      <w:r>
        <w:tab/>
      </w:r>
      <w:r w:rsidRPr="00014745">
        <w:t>Putting together the first pilot program</w:t>
      </w:r>
    </w:p>
    <w:p w14:paraId="6030A5BE" w14:textId="77777777" w:rsidR="00F25F49" w:rsidRPr="00014745" w:rsidRDefault="00F25F49" w:rsidP="00F25F49">
      <w:pPr>
        <w:pStyle w:val="SingleTxtG"/>
        <w:rPr>
          <w:shd w:val="clear" w:color="auto" w:fill="FFFFFF"/>
        </w:rPr>
      </w:pPr>
      <w:r>
        <w:rPr>
          <w:shd w:val="clear" w:color="auto" w:fill="FFFFFF"/>
        </w:rPr>
        <w:t>3.</w:t>
      </w:r>
      <w:r>
        <w:rPr>
          <w:shd w:val="clear" w:color="auto" w:fill="FFFFFF"/>
        </w:rPr>
        <w:tab/>
      </w:r>
      <w:r w:rsidRPr="00014745">
        <w:rPr>
          <w:shd w:val="clear" w:color="auto" w:fill="FFFFFF"/>
        </w:rPr>
        <w:t>We began by comparing chemical hazard lists to select 100 chemicals that have been assigned the same hazard classification by different authoritative bodies.  The list was then narrowed to 36 by limiting the chemicals to those with the same classification by three or more authoritative bodies and community engagement with various stakeholders including researchers and practicing occupational health specialists with expertise in GHS and SDSs. Chemicals were excluded if they were not considered currently relevant or impactful to workers or communities. Exclusion criteria also included production volume and risk and hazard profiles. </w:t>
      </w:r>
    </w:p>
    <w:p w14:paraId="45534C1B" w14:textId="77777777" w:rsidR="00F25F49" w:rsidRPr="006724D3" w:rsidRDefault="00F25F49" w:rsidP="00F25F49">
      <w:pPr>
        <w:pStyle w:val="H23G"/>
      </w:pPr>
      <w:r>
        <w:tab/>
      </w:r>
      <w:r>
        <w:tab/>
      </w:r>
      <w:r w:rsidRPr="00014745">
        <w:t>SDS selection criteria</w:t>
      </w:r>
    </w:p>
    <w:p w14:paraId="279B78BC" w14:textId="2806619F" w:rsidR="00F25F49" w:rsidRPr="00014745" w:rsidRDefault="00BD2811" w:rsidP="00F25F49">
      <w:pPr>
        <w:pStyle w:val="SingleTxtG"/>
        <w:rPr>
          <w:shd w:val="clear" w:color="auto" w:fill="FFFFFF"/>
        </w:rPr>
      </w:pPr>
      <w:r>
        <w:rPr>
          <w:shd w:val="clear" w:color="auto" w:fill="FFFFFF"/>
        </w:rPr>
        <w:t>4.</w:t>
      </w:r>
      <w:r>
        <w:rPr>
          <w:shd w:val="clear" w:color="auto" w:fill="FFFFFF"/>
        </w:rPr>
        <w:tab/>
      </w:r>
      <w:r w:rsidR="00F25F49" w:rsidRPr="00014745">
        <w:rPr>
          <w:shd w:val="clear" w:color="auto" w:fill="FFFFFF"/>
        </w:rPr>
        <w:t xml:space="preserve">For our preliminary analysis we selected 10 of the 36 chemicals whose production volume is the highest. We obtained 100 SDS PDFs from an SDS aggregator service: 10 SDSs for each of those 10 chemicals. The chosen SDSs were authored by more than 50 vendors, written in English and from various countries, with the biggest number being from the US. We then removed SDSs that were not created or revised in the last three years and were left with 81 SDSs to </w:t>
      </w:r>
      <w:proofErr w:type="spellStart"/>
      <w:r w:rsidR="00F25F49" w:rsidRPr="00014745">
        <w:rPr>
          <w:shd w:val="clear" w:color="auto" w:fill="FFFFFF"/>
        </w:rPr>
        <w:t>analyze</w:t>
      </w:r>
      <w:proofErr w:type="spellEnd"/>
      <w:r w:rsidR="00F25F49" w:rsidRPr="00014745">
        <w:rPr>
          <w:shd w:val="clear" w:color="auto" w:fill="FFFFFF"/>
        </w:rPr>
        <w:t xml:space="preserve">. SDS content was extracted from its PDF format using </w:t>
      </w:r>
      <w:proofErr w:type="spellStart"/>
      <w:r w:rsidR="00F25F49" w:rsidRPr="00014745">
        <w:rPr>
          <w:shd w:val="clear" w:color="auto" w:fill="FFFFFF"/>
        </w:rPr>
        <w:t>ChemParser</w:t>
      </w:r>
      <w:proofErr w:type="spellEnd"/>
      <w:r w:rsidR="00F25F49" w:rsidRPr="00014745">
        <w:rPr>
          <w:shd w:val="clear" w:color="auto" w:fill="FFFFFF"/>
        </w:rPr>
        <w:t>.</w:t>
      </w:r>
    </w:p>
    <w:p w14:paraId="12737E5F" w14:textId="77777777" w:rsidR="00F25F49" w:rsidRPr="006724D3" w:rsidRDefault="00F25F49" w:rsidP="00F25F49">
      <w:pPr>
        <w:pStyle w:val="H23G"/>
      </w:pPr>
      <w:r>
        <w:tab/>
      </w:r>
      <w:r>
        <w:tab/>
      </w:r>
      <w:r w:rsidRPr="00014745">
        <w:t>Analysis</w:t>
      </w:r>
    </w:p>
    <w:p w14:paraId="73C3AD38" w14:textId="1EEC6AEE" w:rsidR="00F25F49" w:rsidRPr="00014745" w:rsidRDefault="00BD2811" w:rsidP="00F25F49">
      <w:pPr>
        <w:pStyle w:val="SingleTxtG"/>
        <w:rPr>
          <w:shd w:val="clear" w:color="auto" w:fill="FFFFFF"/>
        </w:rPr>
      </w:pPr>
      <w:r>
        <w:rPr>
          <w:shd w:val="clear" w:color="auto" w:fill="FFFFFF"/>
        </w:rPr>
        <w:t>5.</w:t>
      </w:r>
      <w:r>
        <w:rPr>
          <w:shd w:val="clear" w:color="auto" w:fill="FFFFFF"/>
        </w:rPr>
        <w:tab/>
      </w:r>
      <w:r w:rsidR="00F25F49" w:rsidRPr="00014745">
        <w:rPr>
          <w:shd w:val="clear" w:color="auto" w:fill="FFFFFF"/>
        </w:rPr>
        <w:t xml:space="preserve">A high-throughput analysis software was developed by </w:t>
      </w:r>
      <w:hyperlink r:id="rId15" w:history="1">
        <w:proofErr w:type="spellStart"/>
        <w:r w:rsidR="00F25F49" w:rsidRPr="00014745">
          <w:rPr>
            <w:shd w:val="clear" w:color="auto" w:fill="FFFFFF"/>
          </w:rPr>
          <w:t>Clearya</w:t>
        </w:r>
        <w:proofErr w:type="spellEnd"/>
      </w:hyperlink>
      <w:r w:rsidR="00F25F49" w:rsidRPr="00014745">
        <w:rPr>
          <w:shd w:val="clear" w:color="auto" w:fill="FFFFFF"/>
        </w:rPr>
        <w:t xml:space="preserve"> to automatically evaluate the accuracy of SDSs. Our analysis identifies omissions and inaccuracies of hazard classification reported in the SDS, compared to the consensus classification that was defined by multiple authoritative bodies as described above.</w:t>
      </w:r>
    </w:p>
    <w:p w14:paraId="34D92BB7" w14:textId="77777777" w:rsidR="00F25F49" w:rsidRPr="006724D3" w:rsidRDefault="00F25F49" w:rsidP="00F25F49">
      <w:pPr>
        <w:pStyle w:val="H23G"/>
      </w:pPr>
      <w:r>
        <w:tab/>
      </w:r>
      <w:r>
        <w:tab/>
      </w:r>
      <w:r w:rsidRPr="00014745">
        <w:t>Findings</w:t>
      </w:r>
    </w:p>
    <w:p w14:paraId="0A6ED464" w14:textId="10C6391F" w:rsidR="00F25F49" w:rsidRPr="006724D3" w:rsidRDefault="00BD2811" w:rsidP="00F25F49">
      <w:pPr>
        <w:pStyle w:val="SingleTxtG"/>
      </w:pPr>
      <w:r>
        <w:t>6.</w:t>
      </w:r>
      <w:r>
        <w:tab/>
      </w:r>
      <w:r w:rsidR="00F25F49" w:rsidRPr="006724D3">
        <w:t xml:space="preserve">Our preliminary results show that hazard errors in SDSs are common: 33.3% of the SDSs included inaccurate chemical hazard warnings. For the 6 carcinogenic substances (53 SDSs), 9.4% of SDSs failed to properly report the correct hazard. For the mutagenic substances, 8.8% of the 34 SDSs failed to report the correct hazard. As for reproductive toxicity and specific target organ toxicity hazards, the findings are even more concerning: out of 57 and 28 SDSs respectively, 35.1% and 32.14% of the SDSs (respectively) contained inaccuracies. One example of these errors is an SDS for vinyl chloride, a known human carcinogen, in which this substance is defined as a chemical that only causes skin, eye and respiratory irritation, without mentioning carcinogenicity at all. Another example is an SDS for benzene, which should report hazards of mutagenicity, carcinogenicity, reproductive toxicity, and </w:t>
      </w:r>
      <w:r w:rsidR="00F25F49" w:rsidRPr="006724D3">
        <w:rPr>
          <w:shd w:val="clear" w:color="auto" w:fill="FFFFFF"/>
        </w:rPr>
        <w:t>specific target organ toxicity, but only reports skin and eye irritation, harmful if swallowed, in contact with skin, or if inhaled, and fails to mention the rest.</w:t>
      </w:r>
    </w:p>
    <w:p w14:paraId="58D6A9B0" w14:textId="77777777" w:rsidR="00F25F49" w:rsidRPr="006724D3" w:rsidRDefault="00F25F49" w:rsidP="00F25F49">
      <w:pPr>
        <w:pStyle w:val="H23G"/>
      </w:pPr>
      <w:r>
        <w:tab/>
      </w:r>
      <w:r>
        <w:tab/>
      </w:r>
      <w:r w:rsidRPr="00014745">
        <w:t>Next steps</w:t>
      </w:r>
    </w:p>
    <w:p w14:paraId="3E38A8F8" w14:textId="75C54DBB" w:rsidR="00F25F49" w:rsidRPr="006724D3" w:rsidRDefault="00BD2811" w:rsidP="00F25F49">
      <w:pPr>
        <w:pStyle w:val="SingleTxtG"/>
      </w:pPr>
      <w:r>
        <w:t>7.</w:t>
      </w:r>
      <w:r>
        <w:tab/>
      </w:r>
      <w:r w:rsidR="00F25F49" w:rsidRPr="006724D3">
        <w:t>This project has three stages:</w:t>
      </w:r>
    </w:p>
    <w:p w14:paraId="1EB6F861" w14:textId="77777777" w:rsidR="00F25F49" w:rsidRPr="006724D3" w:rsidRDefault="00F25F49" w:rsidP="00F25F49">
      <w:pPr>
        <w:pStyle w:val="Bullet1G"/>
      </w:pPr>
      <w:r>
        <w:t xml:space="preserve">Stage </w:t>
      </w:r>
      <w:r w:rsidRPr="006724D3">
        <w:t>1</w:t>
      </w:r>
      <w:r>
        <w:t xml:space="preserve">: </w:t>
      </w:r>
      <w:r w:rsidRPr="006724D3">
        <w:t xml:space="preserve">Pilot:  </w:t>
      </w:r>
    </w:p>
    <w:p w14:paraId="6C63633F" w14:textId="77777777" w:rsidR="00F25F49" w:rsidRPr="006724D3" w:rsidRDefault="00F25F49" w:rsidP="00F25F49">
      <w:pPr>
        <w:pStyle w:val="Bullet2G"/>
      </w:pPr>
      <w:r w:rsidRPr="006724D3">
        <w:t>Develop the initial analysis software and use it for a preliminary analysis of the first 100 SDSs (Done).</w:t>
      </w:r>
    </w:p>
    <w:p w14:paraId="3BE36910" w14:textId="77777777" w:rsidR="00F25F49" w:rsidRDefault="00F25F49" w:rsidP="00F25F49">
      <w:pPr>
        <w:pStyle w:val="Bullet2G"/>
      </w:pPr>
      <w:r w:rsidRPr="006724D3">
        <w:t>Expand the analysis to 1,000 SDSs containing all of the 36 selected chemicals. </w:t>
      </w:r>
    </w:p>
    <w:p w14:paraId="1E426A59" w14:textId="77777777" w:rsidR="00F25F49" w:rsidRDefault="00F25F49" w:rsidP="00F25F49">
      <w:pPr>
        <w:pStyle w:val="Bullet1G"/>
      </w:pPr>
      <w:r>
        <w:t xml:space="preserve">Stage 2: </w:t>
      </w:r>
      <w:r w:rsidRPr="006724D3">
        <w:t>Large scale analysis: perform an extensive analysis for up to 100,000 SDSs containing a broader set of chemicals of concern.</w:t>
      </w:r>
    </w:p>
    <w:p w14:paraId="74F6A282" w14:textId="77777777" w:rsidR="00F25F49" w:rsidRPr="006724D3" w:rsidRDefault="00F25F49" w:rsidP="00F25F49">
      <w:pPr>
        <w:pStyle w:val="Bullet1G"/>
      </w:pPr>
      <w:r>
        <w:t xml:space="preserve">Stage </w:t>
      </w:r>
      <w:r w:rsidRPr="006724D3">
        <w:t>3</w:t>
      </w:r>
      <w:r>
        <w:t xml:space="preserve">: </w:t>
      </w:r>
      <w:r w:rsidRPr="006724D3">
        <w:t>Online tool for workers: in the final stage we plan to develop a tool that enables workers to easily verify the accuracy of the SDSs in their workplace to ensure their own safety.</w:t>
      </w:r>
    </w:p>
    <w:p w14:paraId="34C54EB0" w14:textId="7BA7D201" w:rsidR="00F25F49" w:rsidRPr="006724D3" w:rsidRDefault="00F25F49" w:rsidP="00F25F49">
      <w:pPr>
        <w:pStyle w:val="H23G"/>
      </w:pPr>
      <w:r>
        <w:tab/>
      </w:r>
      <w:r>
        <w:tab/>
      </w:r>
      <w:r w:rsidRPr="006115F3">
        <w:t>Contact</w:t>
      </w:r>
    </w:p>
    <w:p w14:paraId="10687A5A" w14:textId="77777777" w:rsidR="00F25F49" w:rsidRPr="006724D3" w:rsidRDefault="00F25F49" w:rsidP="00F25F49">
      <w:pPr>
        <w:ind w:left="1134"/>
      </w:pPr>
      <w:proofErr w:type="spellStart"/>
      <w:r w:rsidRPr="006724D3">
        <w:t>BlueGreen</w:t>
      </w:r>
      <w:proofErr w:type="spellEnd"/>
      <w:r w:rsidRPr="006724D3">
        <w:t xml:space="preserve"> Alliance: </w:t>
      </w:r>
      <w:hyperlink r:id="rId16" w:history="1">
        <w:r w:rsidRPr="006724D3">
          <w:rPr>
            <w:u w:val="single"/>
          </w:rPr>
          <w:t>cbrody@bluegreenalliance.org</w:t>
        </w:r>
      </w:hyperlink>
      <w:r w:rsidRPr="006724D3">
        <w:t xml:space="preserve">, </w:t>
      </w:r>
      <w:hyperlink r:id="rId17" w:history="1">
        <w:r w:rsidRPr="006724D3">
          <w:rPr>
            <w:rStyle w:val="Hyperlink"/>
          </w:rPr>
          <w:t>eavila@bluegreenalliance.org</w:t>
        </w:r>
      </w:hyperlink>
    </w:p>
    <w:p w14:paraId="132A7BF4" w14:textId="77777777" w:rsidR="00F25F49" w:rsidRDefault="00F25F49" w:rsidP="00F25F49">
      <w:pPr>
        <w:ind w:left="1134"/>
      </w:pPr>
      <w:proofErr w:type="spellStart"/>
      <w:r w:rsidRPr="006724D3">
        <w:t>Clearya</w:t>
      </w:r>
      <w:proofErr w:type="spellEnd"/>
      <w:r w:rsidRPr="006724D3">
        <w:t xml:space="preserve">: </w:t>
      </w:r>
      <w:hyperlink r:id="rId18" w:history="1">
        <w:r w:rsidRPr="006724D3">
          <w:rPr>
            <w:u w:val="single"/>
          </w:rPr>
          <w:t>hello@clearya.com</w:t>
        </w:r>
      </w:hyperlink>
      <w:r w:rsidRPr="006724D3">
        <w:t xml:space="preserve"> </w:t>
      </w:r>
    </w:p>
    <w:p w14:paraId="5FE20E63" w14:textId="77777777" w:rsidR="00F25F49" w:rsidRPr="006115F3" w:rsidRDefault="00F25F49" w:rsidP="00F25F49">
      <w:pPr>
        <w:spacing w:before="240"/>
        <w:jc w:val="center"/>
        <w:rPr>
          <w:u w:val="single"/>
        </w:rPr>
      </w:pPr>
      <w:r>
        <w:rPr>
          <w:u w:val="single"/>
        </w:rPr>
        <w:tab/>
      </w:r>
      <w:r>
        <w:rPr>
          <w:u w:val="single"/>
        </w:rPr>
        <w:tab/>
      </w:r>
      <w:r>
        <w:rPr>
          <w:u w:val="single"/>
        </w:rPr>
        <w:tab/>
      </w:r>
    </w:p>
    <w:sectPr w:rsidR="00F25F49" w:rsidRPr="006115F3" w:rsidSect="005A17A8">
      <w:headerReference w:type="even" r:id="rId19"/>
      <w:headerReference w:type="default" r:id="rId20"/>
      <w:footerReference w:type="even" r:id="rId21"/>
      <w:footerReference w:type="default" r:id="rId22"/>
      <w:headerReference w:type="first" r:id="rId2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5B0E" w14:textId="77777777" w:rsidR="00433794" w:rsidRDefault="00433794" w:rsidP="00760F29">
      <w:pPr>
        <w:spacing w:line="240" w:lineRule="auto"/>
      </w:pPr>
      <w:r>
        <w:separator/>
      </w:r>
    </w:p>
  </w:endnote>
  <w:endnote w:type="continuationSeparator" w:id="0">
    <w:p w14:paraId="121D03BD" w14:textId="77777777" w:rsidR="00433794" w:rsidRDefault="00433794" w:rsidP="00760F29">
      <w:pPr>
        <w:spacing w:line="240" w:lineRule="auto"/>
      </w:pPr>
      <w:r>
        <w:continuationSeparator/>
      </w:r>
    </w:p>
  </w:endnote>
  <w:endnote w:type="continuationNotice" w:id="1">
    <w:p w14:paraId="711AD68A" w14:textId="77777777" w:rsidR="00433794" w:rsidRDefault="004337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BF83" w14:textId="294D4385"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B71A90">
      <w:rPr>
        <w:b/>
        <w:noProof/>
        <w:sz w:val="18"/>
      </w:rPr>
      <w:t>34</w:t>
    </w:r>
    <w:r w:rsidRPr="00AA3D2B">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43E6CB9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B71A90">
          <w:rPr>
            <w:b/>
            <w:noProof/>
            <w:sz w:val="18"/>
          </w:rPr>
          <w:t>35</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43F3" w14:textId="77777777" w:rsidR="00433794" w:rsidRDefault="00433794" w:rsidP="00760F29">
      <w:pPr>
        <w:spacing w:line="240" w:lineRule="auto"/>
      </w:pPr>
      <w:r>
        <w:separator/>
      </w:r>
    </w:p>
  </w:footnote>
  <w:footnote w:type="continuationSeparator" w:id="0">
    <w:p w14:paraId="57B8E84B" w14:textId="77777777" w:rsidR="00433794" w:rsidRDefault="00433794" w:rsidP="00760F29">
      <w:pPr>
        <w:spacing w:line="240" w:lineRule="auto"/>
      </w:pPr>
      <w:r>
        <w:continuationSeparator/>
      </w:r>
    </w:p>
  </w:footnote>
  <w:footnote w:type="continuationNotice" w:id="1">
    <w:p w14:paraId="02D013BC" w14:textId="77777777" w:rsidR="00433794" w:rsidRDefault="004337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0A1" w14:textId="0020033C" w:rsidR="00574027" w:rsidRPr="00CE031D" w:rsidRDefault="00574027" w:rsidP="00AA3D2B">
    <w:pPr>
      <w:pStyle w:val="Header"/>
      <w:rPr>
        <w:szCs w:val="18"/>
      </w:rPr>
    </w:pPr>
    <w:r w:rsidRPr="00404499">
      <w:rPr>
        <w:szCs w:val="18"/>
      </w:rPr>
      <w:t>UN/SCE</w:t>
    </w:r>
    <w:r w:rsidR="00F47212" w:rsidRPr="00404499">
      <w:rPr>
        <w:szCs w:val="18"/>
      </w:rPr>
      <w:t>GHS</w:t>
    </w:r>
    <w:r w:rsidRPr="00404499">
      <w:rPr>
        <w:szCs w:val="18"/>
      </w:rPr>
      <w:t>/4</w:t>
    </w:r>
    <w:r w:rsidR="00404499" w:rsidRPr="00404499">
      <w:rPr>
        <w:szCs w:val="18"/>
      </w:rPr>
      <w:t>2</w:t>
    </w:r>
    <w:r w:rsidRPr="00404499">
      <w:rPr>
        <w:szCs w:val="18"/>
      </w:rPr>
      <w:t>/INF.</w:t>
    </w:r>
    <w:r w:rsidR="00404499" w:rsidRPr="00404499">
      <w:rPr>
        <w:szCs w:val="18"/>
      </w:rPr>
      <w:t>2</w:t>
    </w:r>
    <w:r w:rsidR="00D64CA8">
      <w:rPr>
        <w:szCs w:val="18"/>
      </w:rPr>
      <w:t>1</w:t>
    </w:r>
  </w:p>
  <w:p w14:paraId="018D7C53" w14:textId="77777777" w:rsidR="00574027" w:rsidRPr="0062617C" w:rsidRDefault="00574027" w:rsidP="0062617C">
    <w:pPr>
      <w:pStyle w:val="Header"/>
      <w:pBdr>
        <w:bottom w:val="none" w:sz="0" w:space="0" w:color="auto"/>
      </w:pBdr>
    </w:pPr>
    <w:r>
      <w:rPr>
        <w:noProof/>
        <w:lang w:val="en-CA" w:eastAsia="en-CA"/>
      </w:rPr>
      <mc:AlternateContent>
        <mc:Choice Requires="wps">
          <w:drawing>
            <wp:anchor distT="0" distB="0" distL="114300" distR="114300" simplePos="0" relativeHeight="251658241" behindDoc="0" locked="0" layoutInCell="1" allowOverlap="1" wp14:anchorId="69A23957" wp14:editId="6F8EFBA6">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26" type="#_x0000_t202" style="position:absolute;margin-left:778pt;margin-top:.6pt;width:17pt;height:48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" stroked="f">
              <v:textbox style="layout-flow:vertical" inset="0,0,0,0">
                <w:txbxContent>
                  <w:p w14:paraId="7536DE3E" w14:textId="77777777" w:rsidR="00574027" w:rsidRDefault="00574027" w:rsidP="0062617C">
                    <w:pPr>
                      <w:pStyle w:val="Header"/>
                    </w:pPr>
                    <w:r>
                      <w:t>UN/SCETDG/49/</w:t>
                    </w:r>
                    <w:proofErr w:type="spellStart"/>
                    <w:r>
                      <w:t>INF.xx</w:t>
                    </w:r>
                    <w:proofErr w:type="spellEnd"/>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A7F" w14:textId="24E75719" w:rsidR="00574027" w:rsidRPr="00CE031D" w:rsidRDefault="00574027" w:rsidP="00AA3D2B">
    <w:pPr>
      <w:pStyle w:val="Header"/>
      <w:jc w:val="right"/>
      <w:rPr>
        <w:szCs w:val="18"/>
      </w:rPr>
    </w:pPr>
    <w:r w:rsidRPr="00CE031D">
      <w:rPr>
        <w:szCs w:val="18"/>
      </w:rPr>
      <w:t>UN/SCE</w:t>
    </w:r>
    <w:r w:rsidR="00D660CB">
      <w:rPr>
        <w:szCs w:val="18"/>
      </w:rPr>
      <w:t>GHS</w:t>
    </w:r>
    <w:r w:rsidRPr="00CE031D">
      <w:rPr>
        <w:szCs w:val="18"/>
      </w:rPr>
      <w:t>/</w:t>
    </w:r>
    <w:r w:rsidR="00404499">
      <w:rPr>
        <w:szCs w:val="18"/>
      </w:rPr>
      <w:t>42</w:t>
    </w:r>
    <w:r w:rsidRPr="00CE031D">
      <w:rPr>
        <w:szCs w:val="18"/>
      </w:rPr>
      <w:t>/INF.</w:t>
    </w:r>
    <w:r w:rsidR="00404499">
      <w:rPr>
        <w:szCs w:val="18"/>
      </w:rPr>
      <w:t>2</w:t>
    </w:r>
    <w:r w:rsidR="00114FE6">
      <w:rPr>
        <w:szCs w:val="18"/>
      </w:rPr>
      <w:t>1</w:t>
    </w:r>
  </w:p>
  <w:p w14:paraId="2A0AEDCB" w14:textId="77777777" w:rsidR="00574027" w:rsidRPr="00CE031D" w:rsidRDefault="00574027" w:rsidP="0062617C">
    <w:pPr>
      <w:pStyle w:val="Header"/>
      <w:pBdr>
        <w:bottom w:val="none" w:sz="0" w:space="0" w:color="auto"/>
      </w:pBdr>
    </w:pPr>
    <w:r>
      <w:rPr>
        <w:noProof/>
        <w:lang w:val="en-CA" w:eastAsia="en-CA"/>
      </w:rPr>
      <mc:AlternateContent>
        <mc:Choice Requires="wps">
          <w:drawing>
            <wp:anchor distT="0" distB="0" distL="114300" distR="114300" simplePos="0" relativeHeight="251658240" behindDoc="0" locked="0" layoutInCell="1" allowOverlap="1" wp14:anchorId="7C83A48F" wp14:editId="5B5913C7">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27" type="#_x0000_t202" style="position:absolute;margin-left:766pt;margin-top:5.1pt;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" stroked="f">
              <v:textbox style="layout-flow:vertical" inset="0,0,0,0">
                <w:txbxContent>
                  <w:p w14:paraId="799A0A0B" w14:textId="77777777" w:rsidR="00574027" w:rsidRDefault="00574027" w:rsidP="0062617C">
                    <w:pPr>
                      <w:pStyle w:val="Header"/>
                      <w:jc w:val="right"/>
                    </w:pPr>
                    <w:r>
                      <w:t>UN/SCETDG/49/</w:t>
                    </w:r>
                    <w:proofErr w:type="spellStart"/>
                    <w:r>
                      <w:t>INF.xx</w:t>
                    </w:r>
                    <w:proofErr w:type="spellEnd"/>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ED69" w14:textId="77777777" w:rsidR="00114FE6" w:rsidRDefault="00114FE6" w:rsidP="00114FE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EB40C4"/>
    <w:multiLevelType w:val="hybridMultilevel"/>
    <w:tmpl w:val="B032E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CA2D1B"/>
    <w:multiLevelType w:val="hybridMultilevel"/>
    <w:tmpl w:val="41189F04"/>
    <w:lvl w:ilvl="0" w:tplc="9008FA9E">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311180"/>
    <w:multiLevelType w:val="hybridMultilevel"/>
    <w:tmpl w:val="FF3C2DE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4" w15:restartNumberingAfterBreak="0">
    <w:nsid w:val="2F7B36A3"/>
    <w:multiLevelType w:val="hybridMultilevel"/>
    <w:tmpl w:val="5426AE36"/>
    <w:lvl w:ilvl="0" w:tplc="D1728C4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34D3E54"/>
    <w:multiLevelType w:val="hybridMultilevel"/>
    <w:tmpl w:val="C92AD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204D4E"/>
    <w:multiLevelType w:val="hybridMultilevel"/>
    <w:tmpl w:val="E1728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510B16"/>
    <w:multiLevelType w:val="hybridMultilevel"/>
    <w:tmpl w:val="284648F6"/>
    <w:lvl w:ilvl="0" w:tplc="558C6B5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5042851">
    <w:abstractNumId w:val="7"/>
  </w:num>
  <w:num w:numId="2" w16cid:durableId="2075623230">
    <w:abstractNumId w:val="9"/>
  </w:num>
  <w:num w:numId="3" w16cid:durableId="1228298829">
    <w:abstractNumId w:val="3"/>
  </w:num>
  <w:num w:numId="4" w16cid:durableId="2110199642">
    <w:abstractNumId w:val="5"/>
  </w:num>
  <w:num w:numId="5" w16cid:durableId="2062513835">
    <w:abstractNumId w:val="10"/>
  </w:num>
  <w:num w:numId="6" w16cid:durableId="1144004461">
    <w:abstractNumId w:val="0"/>
  </w:num>
  <w:num w:numId="7" w16cid:durableId="1549143242">
    <w:abstractNumId w:val="2"/>
  </w:num>
  <w:num w:numId="8" w16cid:durableId="1476332954">
    <w:abstractNumId w:val="4"/>
  </w:num>
  <w:num w:numId="9" w16cid:durableId="166212040">
    <w:abstractNumId w:val="8"/>
  </w:num>
  <w:num w:numId="10" w16cid:durableId="2116250126">
    <w:abstractNumId w:val="6"/>
  </w:num>
  <w:num w:numId="11" w16cid:durableId="1871450428">
    <w:abstractNumId w:val="1"/>
  </w:num>
  <w:num w:numId="12" w16cid:durableId="13941544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214BC"/>
    <w:rsid w:val="0003079A"/>
    <w:rsid w:val="0005060F"/>
    <w:rsid w:val="0006039D"/>
    <w:rsid w:val="000A5496"/>
    <w:rsid w:val="000B6ACF"/>
    <w:rsid w:val="000C317A"/>
    <w:rsid w:val="000F2AF2"/>
    <w:rsid w:val="000F35CE"/>
    <w:rsid w:val="00114FE6"/>
    <w:rsid w:val="00137207"/>
    <w:rsid w:val="001546B4"/>
    <w:rsid w:val="00155D31"/>
    <w:rsid w:val="0015748B"/>
    <w:rsid w:val="001629EE"/>
    <w:rsid w:val="00166D2F"/>
    <w:rsid w:val="00195ECE"/>
    <w:rsid w:val="001B057F"/>
    <w:rsid w:val="001C1C89"/>
    <w:rsid w:val="001C2CAE"/>
    <w:rsid w:val="001C5FE4"/>
    <w:rsid w:val="001D023F"/>
    <w:rsid w:val="001D1094"/>
    <w:rsid w:val="00223F9F"/>
    <w:rsid w:val="00225747"/>
    <w:rsid w:val="00226CEA"/>
    <w:rsid w:val="00236385"/>
    <w:rsid w:val="00240D2A"/>
    <w:rsid w:val="00256575"/>
    <w:rsid w:val="00260117"/>
    <w:rsid w:val="00260594"/>
    <w:rsid w:val="0028150B"/>
    <w:rsid w:val="00283A35"/>
    <w:rsid w:val="002A4EA5"/>
    <w:rsid w:val="002F2355"/>
    <w:rsid w:val="003212AF"/>
    <w:rsid w:val="00321D12"/>
    <w:rsid w:val="00325DB9"/>
    <w:rsid w:val="00332FFC"/>
    <w:rsid w:val="0034277C"/>
    <w:rsid w:val="003508FA"/>
    <w:rsid w:val="00371089"/>
    <w:rsid w:val="003830AB"/>
    <w:rsid w:val="00385F48"/>
    <w:rsid w:val="003A2170"/>
    <w:rsid w:val="003A2A96"/>
    <w:rsid w:val="003A3245"/>
    <w:rsid w:val="003B2653"/>
    <w:rsid w:val="003C10B9"/>
    <w:rsid w:val="003C425A"/>
    <w:rsid w:val="003D76B2"/>
    <w:rsid w:val="003E64B9"/>
    <w:rsid w:val="003F2D6B"/>
    <w:rsid w:val="0040322B"/>
    <w:rsid w:val="00404499"/>
    <w:rsid w:val="00406A6B"/>
    <w:rsid w:val="004108A7"/>
    <w:rsid w:val="00426E66"/>
    <w:rsid w:val="00433794"/>
    <w:rsid w:val="0044453B"/>
    <w:rsid w:val="004B5A77"/>
    <w:rsid w:val="004C7D63"/>
    <w:rsid w:val="004D1647"/>
    <w:rsid w:val="004D39E3"/>
    <w:rsid w:val="004D49E4"/>
    <w:rsid w:val="004E7435"/>
    <w:rsid w:val="004F68C4"/>
    <w:rsid w:val="00512E3F"/>
    <w:rsid w:val="005214E7"/>
    <w:rsid w:val="00522D72"/>
    <w:rsid w:val="00574027"/>
    <w:rsid w:val="00586E89"/>
    <w:rsid w:val="00592369"/>
    <w:rsid w:val="005A17A8"/>
    <w:rsid w:val="005C0B65"/>
    <w:rsid w:val="005E79BB"/>
    <w:rsid w:val="005F5DF8"/>
    <w:rsid w:val="005F67C6"/>
    <w:rsid w:val="005F7AE9"/>
    <w:rsid w:val="0060242B"/>
    <w:rsid w:val="0062617C"/>
    <w:rsid w:val="00630265"/>
    <w:rsid w:val="00633F54"/>
    <w:rsid w:val="006410D7"/>
    <w:rsid w:val="00647878"/>
    <w:rsid w:val="00665888"/>
    <w:rsid w:val="00680D64"/>
    <w:rsid w:val="00686B73"/>
    <w:rsid w:val="006A2C7D"/>
    <w:rsid w:val="006A3BB3"/>
    <w:rsid w:val="006D3E76"/>
    <w:rsid w:val="0071548A"/>
    <w:rsid w:val="00715E34"/>
    <w:rsid w:val="00717408"/>
    <w:rsid w:val="00736D39"/>
    <w:rsid w:val="00744359"/>
    <w:rsid w:val="00760F29"/>
    <w:rsid w:val="00773656"/>
    <w:rsid w:val="007A5031"/>
    <w:rsid w:val="007C1E4D"/>
    <w:rsid w:val="007C61DB"/>
    <w:rsid w:val="007D47BB"/>
    <w:rsid w:val="007E0B86"/>
    <w:rsid w:val="007E5C82"/>
    <w:rsid w:val="007F1D3F"/>
    <w:rsid w:val="00807652"/>
    <w:rsid w:val="00822F3B"/>
    <w:rsid w:val="00855443"/>
    <w:rsid w:val="0088327C"/>
    <w:rsid w:val="00886F05"/>
    <w:rsid w:val="008B5D0C"/>
    <w:rsid w:val="008D12AE"/>
    <w:rsid w:val="008D54D0"/>
    <w:rsid w:val="00912AD7"/>
    <w:rsid w:val="00930F93"/>
    <w:rsid w:val="00945112"/>
    <w:rsid w:val="0094551F"/>
    <w:rsid w:val="00947D3A"/>
    <w:rsid w:val="009855D0"/>
    <w:rsid w:val="00997B5C"/>
    <w:rsid w:val="009A19BF"/>
    <w:rsid w:val="009A3243"/>
    <w:rsid w:val="009B11B2"/>
    <w:rsid w:val="009E1F11"/>
    <w:rsid w:val="009E245E"/>
    <w:rsid w:val="009E42E4"/>
    <w:rsid w:val="00A21E6E"/>
    <w:rsid w:val="00A23B4B"/>
    <w:rsid w:val="00A55BFD"/>
    <w:rsid w:val="00A561E1"/>
    <w:rsid w:val="00A57ACB"/>
    <w:rsid w:val="00A83A4A"/>
    <w:rsid w:val="00A91B52"/>
    <w:rsid w:val="00AA3D2B"/>
    <w:rsid w:val="00AA6BD9"/>
    <w:rsid w:val="00AE36E4"/>
    <w:rsid w:val="00AE47FC"/>
    <w:rsid w:val="00B03897"/>
    <w:rsid w:val="00B35F03"/>
    <w:rsid w:val="00B43169"/>
    <w:rsid w:val="00B64854"/>
    <w:rsid w:val="00B65951"/>
    <w:rsid w:val="00B71A90"/>
    <w:rsid w:val="00B77E3D"/>
    <w:rsid w:val="00B85035"/>
    <w:rsid w:val="00BD2811"/>
    <w:rsid w:val="00BF0E50"/>
    <w:rsid w:val="00C13576"/>
    <w:rsid w:val="00C13F89"/>
    <w:rsid w:val="00C21DFE"/>
    <w:rsid w:val="00C267A6"/>
    <w:rsid w:val="00C43483"/>
    <w:rsid w:val="00C60AE5"/>
    <w:rsid w:val="00C644F0"/>
    <w:rsid w:val="00C64CCA"/>
    <w:rsid w:val="00C65283"/>
    <w:rsid w:val="00C73BAC"/>
    <w:rsid w:val="00CA28D8"/>
    <w:rsid w:val="00CA3BB9"/>
    <w:rsid w:val="00CA5128"/>
    <w:rsid w:val="00CB41F9"/>
    <w:rsid w:val="00CE031D"/>
    <w:rsid w:val="00CE3548"/>
    <w:rsid w:val="00D101D2"/>
    <w:rsid w:val="00D64CA8"/>
    <w:rsid w:val="00D660CB"/>
    <w:rsid w:val="00D8061B"/>
    <w:rsid w:val="00D841B8"/>
    <w:rsid w:val="00DB2322"/>
    <w:rsid w:val="00DB521F"/>
    <w:rsid w:val="00DD2545"/>
    <w:rsid w:val="00DD396E"/>
    <w:rsid w:val="00DD4D43"/>
    <w:rsid w:val="00DD61A3"/>
    <w:rsid w:val="00DE4CF1"/>
    <w:rsid w:val="00DE770D"/>
    <w:rsid w:val="00E15AE8"/>
    <w:rsid w:val="00E1727E"/>
    <w:rsid w:val="00E36F95"/>
    <w:rsid w:val="00E570AC"/>
    <w:rsid w:val="00E7454A"/>
    <w:rsid w:val="00E97BCE"/>
    <w:rsid w:val="00EA3F81"/>
    <w:rsid w:val="00EA5B52"/>
    <w:rsid w:val="00EB26DB"/>
    <w:rsid w:val="00ED68B9"/>
    <w:rsid w:val="00EE0E70"/>
    <w:rsid w:val="00F21F84"/>
    <w:rsid w:val="00F22714"/>
    <w:rsid w:val="00F25F49"/>
    <w:rsid w:val="00F27F2C"/>
    <w:rsid w:val="00F4010B"/>
    <w:rsid w:val="00F41B6B"/>
    <w:rsid w:val="00F47212"/>
    <w:rsid w:val="00F84D75"/>
    <w:rsid w:val="00FA63B2"/>
    <w:rsid w:val="00FC36EF"/>
    <w:rsid w:val="00FE179E"/>
    <w:rsid w:val="00FF5C0E"/>
    <w:rsid w:val="6AC337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DCCC7"/>
  <w15:docId w15:val="{6B3AA34F-9A28-4202-9810-8D608B89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uiPriority w:val="99"/>
    <w:qFormat/>
    <w:rsid w:val="00C65283"/>
    <w:pPr>
      <w:spacing w:line="240" w:lineRule="auto"/>
      <w:outlineLvl w:val="6"/>
    </w:pPr>
  </w:style>
  <w:style w:type="paragraph" w:styleId="Heading8">
    <w:name w:val="heading 8"/>
    <w:basedOn w:val="Normal"/>
    <w:next w:val="Normal"/>
    <w:link w:val="Heading8Char"/>
    <w:uiPriority w:val="99"/>
    <w:qFormat/>
    <w:rsid w:val="00C65283"/>
    <w:pPr>
      <w:spacing w:line="240" w:lineRule="auto"/>
      <w:outlineLvl w:val="7"/>
    </w:pPr>
  </w:style>
  <w:style w:type="paragraph" w:styleId="Heading9">
    <w:name w:val="heading 9"/>
    <w:basedOn w:val="Normal"/>
    <w:next w:val="Normal"/>
    <w:link w:val="Heading9Char"/>
    <w:uiPriority w:val="99"/>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uiPriority w:val="99"/>
    <w:rsid w:val="00C65283"/>
  </w:style>
  <w:style w:type="character" w:customStyle="1" w:styleId="Heading8Char">
    <w:name w:val="Heading 8 Char"/>
    <w:basedOn w:val="DefaultParagraphFont"/>
    <w:link w:val="Heading8"/>
    <w:uiPriority w:val="99"/>
    <w:rsid w:val="00C65283"/>
  </w:style>
  <w:style w:type="character" w:customStyle="1" w:styleId="Heading9Char">
    <w:name w:val="Heading 9 Char"/>
    <w:basedOn w:val="DefaultParagraphFont"/>
    <w:link w:val="Heading9"/>
    <w:uiPriority w:val="99"/>
    <w:rsid w:val="00C65283"/>
  </w:style>
  <w:style w:type="paragraph" w:customStyle="1" w:styleId="HMG">
    <w:name w:val="_ H __M_G"/>
    <w:basedOn w:val="Normal"/>
    <w:next w:val="Normal"/>
    <w:uiPriority w:val="99"/>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uiPriority w:val="99"/>
    <w:rsid w:val="00930F93"/>
    <w:pPr>
      <w:keepNext/>
      <w:keepLines/>
      <w:spacing w:before="240" w:after="240" w:line="580" w:lineRule="exact"/>
      <w:ind w:left="1134" w:right="1134"/>
    </w:pPr>
    <w:rPr>
      <w:b/>
      <w:sz w:val="56"/>
    </w:rPr>
  </w:style>
  <w:style w:type="paragraph" w:customStyle="1" w:styleId="SMG">
    <w:name w:val="__S_M_G"/>
    <w:basedOn w:val="Normal"/>
    <w:next w:val="Normal"/>
    <w:uiPriority w:val="99"/>
    <w:rsid w:val="00930F93"/>
    <w:pPr>
      <w:keepNext/>
      <w:keepLines/>
      <w:spacing w:before="240" w:after="240" w:line="420" w:lineRule="exact"/>
      <w:ind w:left="1134" w:right="1134"/>
    </w:pPr>
    <w:rPr>
      <w:b/>
      <w:sz w:val="40"/>
    </w:rPr>
  </w:style>
  <w:style w:type="paragraph" w:customStyle="1" w:styleId="SSG">
    <w:name w:val="__S_S_G"/>
    <w:basedOn w:val="Normal"/>
    <w:next w:val="Normal"/>
    <w:uiPriority w:val="99"/>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uiPriority w:val="99"/>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Pub"/>
    <w:basedOn w:val="DefaultParagraphFont"/>
    <w:qForma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uiPriority w:val="99"/>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0F29"/>
    <w:rPr>
      <w:rFonts w:ascii="Tahoma" w:eastAsia="Times New Roman" w:hAnsi="Tahoma" w:cs="Tahoma"/>
      <w:sz w:val="16"/>
      <w:szCs w:val="16"/>
      <w:lang w:eastAsia="en-US"/>
    </w:rPr>
  </w:style>
  <w:style w:type="character" w:customStyle="1" w:styleId="H1GChar">
    <w:name w:val="_ H_1_G Char"/>
    <w:link w:val="H1G"/>
    <w:uiPriority w:val="99"/>
    <w:rsid w:val="00E97BCE"/>
    <w:rPr>
      <w:rFonts w:eastAsia="Times New Roman"/>
      <w:b/>
      <w:sz w:val="24"/>
      <w:lang w:eastAsia="en-US"/>
    </w:rPr>
  </w:style>
  <w:style w:type="paragraph" w:customStyle="1" w:styleId="Default">
    <w:name w:val="Default"/>
    <w:uiPriority w:val="99"/>
    <w:rsid w:val="00256575"/>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56575"/>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56575"/>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56575"/>
    <w:pPr>
      <w:suppressAutoHyphens w:val="0"/>
      <w:spacing w:line="240" w:lineRule="auto"/>
    </w:pPr>
    <w:rPr>
      <w:sz w:val="22"/>
      <w:szCs w:val="24"/>
    </w:rPr>
  </w:style>
  <w:style w:type="paragraph" w:customStyle="1" w:styleId="Num-DocParagraph">
    <w:name w:val="Num-Doc Paragraph"/>
    <w:basedOn w:val="BodyText"/>
    <w:uiPriority w:val="99"/>
    <w:rsid w:val="00256575"/>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56575"/>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256575"/>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56575"/>
    <w:rPr>
      <w:rFonts w:eastAsia="Times New Roman"/>
      <w:sz w:val="22"/>
      <w:lang w:eastAsia="en-US"/>
    </w:rPr>
  </w:style>
  <w:style w:type="paragraph" w:customStyle="1" w:styleId="StyleGHSHeading410pt">
    <w:name w:val="Style GHSHeading4 + 10 pt"/>
    <w:basedOn w:val="GHSHeading4"/>
    <w:uiPriority w:val="99"/>
    <w:rsid w:val="00256575"/>
    <w:pPr>
      <w:spacing w:after="240"/>
    </w:pPr>
    <w:rPr>
      <w:sz w:val="20"/>
    </w:rPr>
  </w:style>
  <w:style w:type="paragraph" w:styleId="BodyText">
    <w:name w:val="Body Text"/>
    <w:basedOn w:val="Normal"/>
    <w:link w:val="BodyTextChar"/>
    <w:uiPriority w:val="99"/>
    <w:unhideWhenUsed/>
    <w:rsid w:val="00256575"/>
    <w:pPr>
      <w:spacing w:after="120"/>
    </w:pPr>
  </w:style>
  <w:style w:type="character" w:customStyle="1" w:styleId="BodyTextChar">
    <w:name w:val="Body Text Char"/>
    <w:basedOn w:val="DefaultParagraphFont"/>
    <w:link w:val="BodyText"/>
    <w:uiPriority w:val="99"/>
    <w:rsid w:val="00256575"/>
    <w:rPr>
      <w:rFonts w:eastAsia="Times New Roman"/>
      <w:lang w:eastAsia="en-US"/>
    </w:rPr>
  </w:style>
  <w:style w:type="character" w:styleId="CommentReference">
    <w:name w:val="annotation reference"/>
    <w:basedOn w:val="DefaultParagraphFont"/>
    <w:uiPriority w:val="99"/>
    <w:unhideWhenUsed/>
    <w:rsid w:val="00256575"/>
    <w:rPr>
      <w:sz w:val="16"/>
      <w:szCs w:val="16"/>
    </w:rPr>
  </w:style>
  <w:style w:type="paragraph" w:styleId="CommentText">
    <w:name w:val="annotation text"/>
    <w:basedOn w:val="Normal"/>
    <w:link w:val="CommentTextChar"/>
    <w:uiPriority w:val="99"/>
    <w:unhideWhenUsed/>
    <w:rsid w:val="00256575"/>
    <w:pPr>
      <w:spacing w:line="240" w:lineRule="auto"/>
    </w:pPr>
  </w:style>
  <w:style w:type="character" w:customStyle="1" w:styleId="CommentTextChar">
    <w:name w:val="Comment Text Char"/>
    <w:basedOn w:val="DefaultParagraphFont"/>
    <w:link w:val="CommentText"/>
    <w:uiPriority w:val="99"/>
    <w:rsid w:val="0025657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56575"/>
    <w:rPr>
      <w:b/>
      <w:bCs/>
    </w:rPr>
  </w:style>
  <w:style w:type="character" w:customStyle="1" w:styleId="CommentSubjectChar">
    <w:name w:val="Comment Subject Char"/>
    <w:basedOn w:val="CommentTextChar"/>
    <w:link w:val="CommentSubject"/>
    <w:uiPriority w:val="99"/>
    <w:semiHidden/>
    <w:rsid w:val="00256575"/>
    <w:rPr>
      <w:rFonts w:eastAsia="Times New Roman"/>
      <w:b/>
      <w:bCs/>
      <w:lang w:eastAsia="en-US"/>
    </w:rPr>
  </w:style>
  <w:style w:type="character" w:customStyle="1" w:styleId="SingleTxtGCar">
    <w:name w:val="_ Single Txt_G Car"/>
    <w:rsid w:val="00256575"/>
    <w:rPr>
      <w:lang w:eastAsia="en-US"/>
    </w:rPr>
  </w:style>
  <w:style w:type="paragraph" w:styleId="Index1">
    <w:name w:val="index 1"/>
    <w:basedOn w:val="Normal"/>
    <w:next w:val="Normal"/>
    <w:autoRedefine/>
    <w:uiPriority w:val="99"/>
    <w:unhideWhenUsed/>
    <w:rsid w:val="00256575"/>
    <w:pPr>
      <w:spacing w:line="240" w:lineRule="auto"/>
      <w:ind w:left="200" w:hanging="200"/>
    </w:pPr>
  </w:style>
  <w:style w:type="paragraph" w:styleId="IndexHeading">
    <w:name w:val="index heading"/>
    <w:basedOn w:val="Normal"/>
    <w:next w:val="Index1"/>
    <w:uiPriority w:val="99"/>
    <w:unhideWhenUsed/>
    <w:rsid w:val="00256575"/>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256575"/>
    <w:pPr>
      <w:spacing w:after="240"/>
    </w:pPr>
    <w:rPr>
      <w:color w:val="auto"/>
      <w:sz w:val="20"/>
    </w:rPr>
  </w:style>
  <w:style w:type="character" w:customStyle="1" w:styleId="Funotenzeichen2">
    <w:name w:val="Fußnotenzeichen2"/>
    <w:rsid w:val="00256575"/>
    <w:rPr>
      <w:vertAlign w:val="superscript"/>
    </w:rPr>
  </w:style>
  <w:style w:type="paragraph" w:styleId="ListParagraph">
    <w:name w:val="List Paragraph"/>
    <w:basedOn w:val="Normal"/>
    <w:link w:val="ListParagraphChar"/>
    <w:uiPriority w:val="34"/>
    <w:qFormat/>
    <w:rsid w:val="00256575"/>
    <w:pPr>
      <w:suppressAutoHyphens w:val="0"/>
      <w:spacing w:line="240" w:lineRule="auto"/>
      <w:ind w:left="720"/>
      <w:jc w:val="both"/>
    </w:pPr>
    <w:rPr>
      <w:sz w:val="24"/>
      <w:szCs w:val="24"/>
      <w:lang w:val="en-US"/>
    </w:rPr>
  </w:style>
  <w:style w:type="character" w:customStyle="1" w:styleId="SingleTxtGChar1">
    <w:name w:val="_ Single Txt_G Char1"/>
    <w:locked/>
    <w:rsid w:val="00256575"/>
    <w:rPr>
      <w:rFonts w:eastAsia="Times New Roman"/>
    </w:rPr>
  </w:style>
  <w:style w:type="paragraph" w:styleId="ListNumber5">
    <w:name w:val="List Number 5"/>
    <w:basedOn w:val="Normal"/>
    <w:uiPriority w:val="99"/>
    <w:rsid w:val="00256575"/>
    <w:pPr>
      <w:tabs>
        <w:tab w:val="num" w:pos="1492"/>
      </w:tabs>
      <w:ind w:left="1492" w:hanging="360"/>
    </w:pPr>
  </w:style>
  <w:style w:type="character" w:customStyle="1" w:styleId="ListParagraphChar">
    <w:name w:val="List Paragraph Char"/>
    <w:basedOn w:val="DefaultParagraphFont"/>
    <w:link w:val="ListParagraph"/>
    <w:uiPriority w:val="34"/>
    <w:locked/>
    <w:rsid w:val="00256575"/>
    <w:rPr>
      <w:rFonts w:eastAsia="Times New Roman"/>
      <w:sz w:val="24"/>
      <w:szCs w:val="24"/>
      <w:lang w:val="en-US" w:eastAsia="en-US"/>
    </w:rPr>
  </w:style>
  <w:style w:type="paragraph" w:customStyle="1" w:styleId="ParNoG">
    <w:name w:val="_ParNo_G"/>
    <w:basedOn w:val="SingleTxtG"/>
    <w:uiPriority w:val="99"/>
    <w:qFormat/>
    <w:rsid w:val="00256575"/>
    <w:pPr>
      <w:numPr>
        <w:numId w:val="6"/>
      </w:numPr>
      <w:tabs>
        <w:tab w:val="clear" w:pos="1701"/>
        <w:tab w:val="num" w:pos="360"/>
      </w:tabs>
      <w:suppressAutoHyphens w:val="0"/>
    </w:pPr>
    <w:rPr>
      <w:lang w:eastAsia="zh-CN"/>
    </w:rPr>
  </w:style>
  <w:style w:type="numbering" w:styleId="111111">
    <w:name w:val="Outline List 2"/>
    <w:basedOn w:val="NoList"/>
    <w:semiHidden/>
    <w:rsid w:val="00256575"/>
    <w:pPr>
      <w:numPr>
        <w:numId w:val="4"/>
      </w:numPr>
    </w:pPr>
  </w:style>
  <w:style w:type="numbering" w:styleId="1ai">
    <w:name w:val="Outline List 1"/>
    <w:basedOn w:val="NoList"/>
    <w:semiHidden/>
    <w:rsid w:val="00256575"/>
    <w:pPr>
      <w:numPr>
        <w:numId w:val="5"/>
      </w:numPr>
    </w:pPr>
  </w:style>
  <w:style w:type="character" w:customStyle="1" w:styleId="StyleBold">
    <w:name w:val="Style Bold"/>
    <w:rsid w:val="00256575"/>
    <w:rPr>
      <w:rFonts w:ascii="Times New Roman" w:hAnsi="Times New Roman" w:cs="Times New Roman" w:hint="default"/>
      <w:b/>
      <w:bCs/>
    </w:rPr>
  </w:style>
  <w:style w:type="character" w:customStyle="1" w:styleId="StyleItalic">
    <w:name w:val="Style Italic"/>
    <w:rsid w:val="00256575"/>
    <w:rPr>
      <w:rFonts w:ascii="Times New Roman" w:hAnsi="Times New Roman"/>
      <w:i/>
      <w:iCs/>
    </w:rPr>
  </w:style>
  <w:style w:type="paragraph" w:styleId="BodyTextIndent">
    <w:name w:val="Body Text Indent"/>
    <w:basedOn w:val="Normal"/>
    <w:link w:val="BodyTextIndentChar"/>
    <w:uiPriority w:val="99"/>
    <w:unhideWhenUsed/>
    <w:rsid w:val="00256575"/>
    <w:pPr>
      <w:spacing w:after="120"/>
      <w:ind w:left="283"/>
    </w:pPr>
  </w:style>
  <w:style w:type="character" w:customStyle="1" w:styleId="BodyTextIndentChar">
    <w:name w:val="Body Text Indent Char"/>
    <w:basedOn w:val="DefaultParagraphFont"/>
    <w:link w:val="BodyTextIndent"/>
    <w:uiPriority w:val="99"/>
    <w:rsid w:val="00256575"/>
    <w:rPr>
      <w:rFonts w:eastAsia="Times New Roman"/>
      <w:lang w:eastAsia="en-US"/>
    </w:rPr>
  </w:style>
  <w:style w:type="paragraph" w:styleId="BodyText3">
    <w:name w:val="Body Text 3"/>
    <w:basedOn w:val="Normal"/>
    <w:link w:val="BodyText3Char"/>
    <w:uiPriority w:val="99"/>
    <w:rsid w:val="00256575"/>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uiPriority w:val="99"/>
    <w:rsid w:val="00256575"/>
    <w:rPr>
      <w:rFonts w:eastAsia="Times New Roman"/>
      <w:color w:val="000000"/>
      <w:sz w:val="22"/>
      <w:lang w:eastAsia="fr-FR"/>
    </w:rPr>
  </w:style>
  <w:style w:type="paragraph" w:styleId="BodyText2">
    <w:name w:val="Body Text 2"/>
    <w:basedOn w:val="Normal"/>
    <w:link w:val="BodyText2Char"/>
    <w:uiPriority w:val="99"/>
    <w:rsid w:val="00256575"/>
    <w:pPr>
      <w:suppressAutoHyphens w:val="0"/>
      <w:autoSpaceDE w:val="0"/>
      <w:autoSpaceDN w:val="0"/>
      <w:adjustRightInd w:val="0"/>
      <w:spacing w:after="120" w:line="480" w:lineRule="auto"/>
    </w:pPr>
    <w:rPr>
      <w:rFonts w:ascii="CG Times" w:hAnsi="CG Times"/>
      <w:lang w:val="fr-FR" w:eastAsia="fr-FR"/>
    </w:rPr>
  </w:style>
  <w:style w:type="character" w:customStyle="1" w:styleId="BodyText2Char">
    <w:name w:val="Body Text 2 Char"/>
    <w:basedOn w:val="DefaultParagraphFont"/>
    <w:link w:val="BodyText2"/>
    <w:uiPriority w:val="99"/>
    <w:rsid w:val="00256575"/>
    <w:rPr>
      <w:rFonts w:ascii="CG Times" w:eastAsia="Times New Roman" w:hAnsi="CG Times"/>
      <w:lang w:val="fr-FR" w:eastAsia="fr-FR"/>
    </w:rPr>
  </w:style>
  <w:style w:type="paragraph" w:styleId="BodyTextIndent2">
    <w:name w:val="Body Text Indent 2"/>
    <w:basedOn w:val="Normal"/>
    <w:link w:val="BodyTextIndent2Char"/>
    <w:uiPriority w:val="99"/>
    <w:rsid w:val="00256575"/>
    <w:pPr>
      <w:tabs>
        <w:tab w:val="left" w:pos="-722"/>
        <w:tab w:val="left" w:pos="718"/>
        <w:tab w:val="left" w:pos="1438"/>
        <w:tab w:val="left" w:pos="1701"/>
        <w:tab w:val="left" w:pos="2268"/>
        <w:tab w:val="left" w:pos="2719"/>
        <w:tab w:val="left" w:pos="2835"/>
        <w:tab w:val="left" w:pos="3402"/>
        <w:tab w:val="left" w:leader="dot" w:pos="8729"/>
        <w:tab w:val="center" w:pos="9409"/>
      </w:tabs>
      <w:suppressAutoHyphens w:val="0"/>
      <w:spacing w:line="240" w:lineRule="auto"/>
      <w:ind w:left="2154" w:hanging="1436"/>
      <w:jc w:val="both"/>
    </w:pPr>
    <w:rPr>
      <w:color w:val="000000"/>
      <w:sz w:val="22"/>
      <w:szCs w:val="24"/>
    </w:rPr>
  </w:style>
  <w:style w:type="character" w:customStyle="1" w:styleId="BodyTextIndent2Char">
    <w:name w:val="Body Text Indent 2 Char"/>
    <w:basedOn w:val="DefaultParagraphFont"/>
    <w:link w:val="BodyTextIndent2"/>
    <w:uiPriority w:val="99"/>
    <w:rsid w:val="00256575"/>
    <w:rPr>
      <w:rFonts w:eastAsia="Times New Roman"/>
      <w:color w:val="000000"/>
      <w:sz w:val="22"/>
      <w:szCs w:val="24"/>
      <w:lang w:eastAsia="en-US"/>
    </w:rPr>
  </w:style>
  <w:style w:type="paragraph" w:styleId="BodyTextIndent3">
    <w:name w:val="Body Text Indent 3"/>
    <w:basedOn w:val="Normal"/>
    <w:link w:val="BodyTextIndent3Char"/>
    <w:uiPriority w:val="99"/>
    <w:rsid w:val="00256575"/>
    <w:pPr>
      <w:suppressAutoHyphens w:val="0"/>
      <w:spacing w:line="240" w:lineRule="auto"/>
      <w:ind w:left="550"/>
      <w:jc w:val="both"/>
    </w:pPr>
    <w:rPr>
      <w:sz w:val="22"/>
      <w:szCs w:val="24"/>
    </w:rPr>
  </w:style>
  <w:style w:type="character" w:customStyle="1" w:styleId="BodyTextIndent3Char">
    <w:name w:val="Body Text Indent 3 Char"/>
    <w:basedOn w:val="DefaultParagraphFont"/>
    <w:link w:val="BodyTextIndent3"/>
    <w:uiPriority w:val="99"/>
    <w:rsid w:val="00256575"/>
    <w:rPr>
      <w:rFonts w:eastAsia="Times New Roman"/>
      <w:sz w:val="22"/>
      <w:szCs w:val="24"/>
      <w:lang w:eastAsia="en-US"/>
    </w:rPr>
  </w:style>
  <w:style w:type="paragraph" w:customStyle="1" w:styleId="GHSHeading1">
    <w:name w:val="GHSHeading1"/>
    <w:basedOn w:val="Normal"/>
    <w:link w:val="GHSHeading1Char"/>
    <w:rsid w:val="00256575"/>
    <w:pPr>
      <w:tabs>
        <w:tab w:val="left" w:pos="1134"/>
        <w:tab w:val="left" w:pos="1425"/>
        <w:tab w:val="left" w:pos="1701"/>
        <w:tab w:val="left" w:pos="2268"/>
        <w:tab w:val="left" w:pos="2835"/>
        <w:tab w:val="left" w:pos="3402"/>
      </w:tabs>
      <w:suppressAutoHyphens w:val="0"/>
      <w:autoSpaceDE w:val="0"/>
      <w:autoSpaceDN w:val="0"/>
      <w:adjustRightInd w:val="0"/>
      <w:spacing w:line="240" w:lineRule="auto"/>
      <w:jc w:val="center"/>
    </w:pPr>
    <w:rPr>
      <w:b/>
      <w:bCs/>
      <w:color w:val="000000"/>
      <w:sz w:val="56"/>
      <w:szCs w:val="56"/>
      <w:lang w:eastAsia="fr-FR"/>
    </w:rPr>
  </w:style>
  <w:style w:type="paragraph" w:styleId="BlockText">
    <w:name w:val="Block Text"/>
    <w:basedOn w:val="Normal"/>
    <w:uiPriority w:val="99"/>
    <w:rsid w:val="00256575"/>
    <w:pPr>
      <w:suppressAutoHyphens w:val="0"/>
      <w:spacing w:line="240" w:lineRule="auto"/>
      <w:ind w:left="1440" w:right="720"/>
    </w:pPr>
    <w:rPr>
      <w:sz w:val="22"/>
    </w:rPr>
  </w:style>
  <w:style w:type="paragraph" w:customStyle="1" w:styleId="DefaultText">
    <w:name w:val="Default Text"/>
    <w:basedOn w:val="Normal"/>
    <w:uiPriority w:val="99"/>
    <w:rsid w:val="00256575"/>
    <w:pPr>
      <w:tabs>
        <w:tab w:val="left" w:pos="0"/>
      </w:tabs>
      <w:suppressAutoHyphens w:val="0"/>
      <w:spacing w:line="240" w:lineRule="auto"/>
    </w:pPr>
    <w:rPr>
      <w:sz w:val="22"/>
    </w:rPr>
  </w:style>
  <w:style w:type="paragraph" w:customStyle="1" w:styleId="NumDocPara">
    <w:name w:val="Num©Doc Para"/>
    <w:basedOn w:val="Normal"/>
    <w:uiPriority w:val="99"/>
    <w:rsid w:val="0025657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customStyle="1" w:styleId="Style0">
    <w:name w:val="Style0"/>
    <w:uiPriority w:val="99"/>
    <w:rsid w:val="00256575"/>
    <w:rPr>
      <w:rFonts w:ascii="Arial" w:eastAsia="Times New Roman" w:hAnsi="Arial"/>
      <w:snapToGrid w:val="0"/>
      <w:sz w:val="24"/>
      <w:lang w:eastAsia="en-US"/>
    </w:rPr>
  </w:style>
  <w:style w:type="paragraph" w:customStyle="1" w:styleId="Level1">
    <w:name w:val="Level 1"/>
    <w:basedOn w:val="Normal"/>
    <w:uiPriority w:val="99"/>
    <w:rsid w:val="00256575"/>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suppressAutoHyphens w:val="0"/>
      <w:spacing w:line="240" w:lineRule="auto"/>
      <w:ind w:left="1080" w:hanging="720"/>
    </w:pPr>
    <w:rPr>
      <w:snapToGrid w:val="0"/>
      <w:sz w:val="24"/>
    </w:rPr>
  </w:style>
  <w:style w:type="paragraph" w:customStyle="1" w:styleId="Textedebulles">
    <w:name w:val="Texte de bulles"/>
    <w:basedOn w:val="Normal"/>
    <w:uiPriority w:val="99"/>
    <w:semiHidden/>
    <w:rsid w:val="00256575"/>
    <w:pPr>
      <w:suppressAutoHyphens w:val="0"/>
      <w:spacing w:line="240" w:lineRule="auto"/>
    </w:pPr>
    <w:rPr>
      <w:rFonts w:ascii="Tahoma" w:hAnsi="Tahoma" w:cs="Tahoma"/>
      <w:sz w:val="16"/>
      <w:szCs w:val="16"/>
    </w:rPr>
  </w:style>
  <w:style w:type="character" w:customStyle="1" w:styleId="NormalcentrCar">
    <w:name w:val="Normal centré Car"/>
    <w:rsid w:val="00256575"/>
    <w:rPr>
      <w:sz w:val="22"/>
      <w:lang w:val="en-GB" w:eastAsia="en-US" w:bidi="ar-SA"/>
    </w:rPr>
  </w:style>
  <w:style w:type="paragraph" w:customStyle="1" w:styleId="GHSHeading2">
    <w:name w:val="GHSHeading2"/>
    <w:basedOn w:val="Normal"/>
    <w:uiPriority w:val="99"/>
    <w:rsid w:val="00256575"/>
    <w:pPr>
      <w:suppressAutoHyphens w:val="0"/>
      <w:autoSpaceDE w:val="0"/>
      <w:autoSpaceDN w:val="0"/>
      <w:adjustRightInd w:val="0"/>
      <w:spacing w:after="240" w:line="240" w:lineRule="auto"/>
      <w:jc w:val="center"/>
    </w:pPr>
    <w:rPr>
      <w:b/>
      <w:bCs/>
      <w:color w:val="000000"/>
      <w:szCs w:val="28"/>
      <w:lang w:eastAsia="fr-FR"/>
    </w:rPr>
  </w:style>
  <w:style w:type="paragraph" w:customStyle="1" w:styleId="GHSFootnotetext">
    <w:name w:val="GHSFootnotetext"/>
    <w:basedOn w:val="Normal"/>
    <w:link w:val="GHSFootnotetextChar"/>
    <w:rsid w:val="00256575"/>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6">
    <w:name w:val="GHSHeading6"/>
    <w:basedOn w:val="Normal"/>
    <w:uiPriority w:val="99"/>
    <w:rsid w:val="00256575"/>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color w:val="000000"/>
      <w:sz w:val="22"/>
      <w:szCs w:val="22"/>
      <w:lang w:eastAsia="fr-FR"/>
    </w:rPr>
  </w:style>
  <w:style w:type="character" w:styleId="Strong">
    <w:name w:val="Strong"/>
    <w:qFormat/>
    <w:rsid w:val="00256575"/>
    <w:rPr>
      <w:b/>
      <w:bCs/>
    </w:rPr>
  </w:style>
  <w:style w:type="paragraph" w:styleId="ListBullet">
    <w:name w:val="List Bullet"/>
    <w:basedOn w:val="Normal"/>
    <w:autoRedefine/>
    <w:uiPriority w:val="99"/>
    <w:rsid w:val="00256575"/>
    <w:pPr>
      <w:tabs>
        <w:tab w:val="num" w:pos="360"/>
      </w:tabs>
      <w:suppressAutoHyphens w:val="0"/>
      <w:spacing w:line="240" w:lineRule="auto"/>
      <w:ind w:left="360" w:hanging="360"/>
    </w:pPr>
    <w:rPr>
      <w:sz w:val="24"/>
      <w:szCs w:val="24"/>
    </w:rPr>
  </w:style>
  <w:style w:type="paragraph" w:styleId="ListBullet2">
    <w:name w:val="List Bullet 2"/>
    <w:basedOn w:val="Normal"/>
    <w:autoRedefine/>
    <w:uiPriority w:val="99"/>
    <w:rsid w:val="00256575"/>
    <w:pPr>
      <w:tabs>
        <w:tab w:val="num" w:pos="643"/>
      </w:tabs>
      <w:suppressAutoHyphens w:val="0"/>
      <w:spacing w:line="240" w:lineRule="auto"/>
      <w:ind w:left="643" w:hanging="360"/>
    </w:pPr>
    <w:rPr>
      <w:sz w:val="24"/>
      <w:szCs w:val="24"/>
    </w:rPr>
  </w:style>
  <w:style w:type="paragraph" w:styleId="ListBullet3">
    <w:name w:val="List Bullet 3"/>
    <w:basedOn w:val="Normal"/>
    <w:autoRedefine/>
    <w:uiPriority w:val="99"/>
    <w:rsid w:val="00256575"/>
    <w:pPr>
      <w:tabs>
        <w:tab w:val="num" w:pos="926"/>
      </w:tabs>
      <w:suppressAutoHyphens w:val="0"/>
      <w:spacing w:line="240" w:lineRule="auto"/>
      <w:ind w:left="926" w:hanging="360"/>
    </w:pPr>
    <w:rPr>
      <w:sz w:val="24"/>
      <w:szCs w:val="24"/>
    </w:rPr>
  </w:style>
  <w:style w:type="paragraph" w:styleId="ListBullet4">
    <w:name w:val="List Bullet 4"/>
    <w:basedOn w:val="Normal"/>
    <w:autoRedefine/>
    <w:uiPriority w:val="99"/>
    <w:rsid w:val="00256575"/>
    <w:pPr>
      <w:tabs>
        <w:tab w:val="num" w:pos="1209"/>
      </w:tabs>
      <w:suppressAutoHyphens w:val="0"/>
      <w:spacing w:line="240" w:lineRule="auto"/>
      <w:ind w:left="1209" w:hanging="360"/>
    </w:pPr>
    <w:rPr>
      <w:sz w:val="24"/>
      <w:szCs w:val="24"/>
    </w:rPr>
  </w:style>
  <w:style w:type="paragraph" w:styleId="ListBullet5">
    <w:name w:val="List Bullet 5"/>
    <w:basedOn w:val="Normal"/>
    <w:autoRedefine/>
    <w:uiPriority w:val="99"/>
    <w:rsid w:val="00256575"/>
    <w:pPr>
      <w:tabs>
        <w:tab w:val="num" w:pos="1492"/>
      </w:tabs>
      <w:suppressAutoHyphens w:val="0"/>
      <w:spacing w:line="240" w:lineRule="auto"/>
      <w:ind w:left="1492" w:hanging="360"/>
    </w:pPr>
    <w:rPr>
      <w:sz w:val="24"/>
      <w:szCs w:val="24"/>
    </w:rPr>
  </w:style>
  <w:style w:type="paragraph" w:styleId="ListNumber">
    <w:name w:val="List Number"/>
    <w:basedOn w:val="Normal"/>
    <w:uiPriority w:val="99"/>
    <w:rsid w:val="00256575"/>
    <w:pPr>
      <w:tabs>
        <w:tab w:val="num" w:pos="360"/>
      </w:tabs>
      <w:suppressAutoHyphens w:val="0"/>
      <w:spacing w:line="240" w:lineRule="auto"/>
      <w:ind w:left="360" w:hanging="360"/>
    </w:pPr>
    <w:rPr>
      <w:sz w:val="24"/>
      <w:szCs w:val="24"/>
    </w:rPr>
  </w:style>
  <w:style w:type="paragraph" w:styleId="ListNumber2">
    <w:name w:val="List Number 2"/>
    <w:basedOn w:val="Normal"/>
    <w:uiPriority w:val="99"/>
    <w:rsid w:val="00256575"/>
    <w:pPr>
      <w:tabs>
        <w:tab w:val="num" w:pos="643"/>
      </w:tabs>
      <w:suppressAutoHyphens w:val="0"/>
      <w:spacing w:line="240" w:lineRule="auto"/>
      <w:ind w:left="643" w:hanging="360"/>
    </w:pPr>
    <w:rPr>
      <w:sz w:val="24"/>
      <w:szCs w:val="24"/>
    </w:rPr>
  </w:style>
  <w:style w:type="paragraph" w:styleId="ListNumber3">
    <w:name w:val="List Number 3"/>
    <w:basedOn w:val="Normal"/>
    <w:uiPriority w:val="99"/>
    <w:rsid w:val="00256575"/>
    <w:pPr>
      <w:tabs>
        <w:tab w:val="num" w:pos="926"/>
      </w:tabs>
      <w:suppressAutoHyphens w:val="0"/>
      <w:spacing w:line="240" w:lineRule="auto"/>
      <w:ind w:left="926" w:hanging="360"/>
    </w:pPr>
    <w:rPr>
      <w:sz w:val="24"/>
      <w:szCs w:val="24"/>
    </w:rPr>
  </w:style>
  <w:style w:type="paragraph" w:styleId="ListNumber4">
    <w:name w:val="List Number 4"/>
    <w:basedOn w:val="Normal"/>
    <w:uiPriority w:val="99"/>
    <w:rsid w:val="00256575"/>
    <w:pPr>
      <w:tabs>
        <w:tab w:val="num" w:pos="1209"/>
      </w:tabs>
      <w:suppressAutoHyphens w:val="0"/>
      <w:spacing w:line="240" w:lineRule="auto"/>
      <w:ind w:left="1209" w:hanging="360"/>
    </w:pPr>
    <w:rPr>
      <w:sz w:val="24"/>
      <w:szCs w:val="24"/>
    </w:rPr>
  </w:style>
  <w:style w:type="paragraph" w:styleId="PlainText">
    <w:name w:val="Plain Text"/>
    <w:basedOn w:val="Normal"/>
    <w:link w:val="PlainTextChar"/>
    <w:uiPriority w:val="99"/>
    <w:rsid w:val="00256575"/>
    <w:pPr>
      <w:suppressAutoHyphens w:val="0"/>
      <w:spacing w:line="240" w:lineRule="auto"/>
    </w:pPr>
    <w:rPr>
      <w:rFonts w:ascii="Courier New" w:hAnsi="Courier New" w:cs="Courier New"/>
    </w:rPr>
  </w:style>
  <w:style w:type="character" w:customStyle="1" w:styleId="PlainTextChar">
    <w:name w:val="Plain Text Char"/>
    <w:basedOn w:val="DefaultParagraphFont"/>
    <w:link w:val="PlainText"/>
    <w:uiPriority w:val="99"/>
    <w:rsid w:val="00256575"/>
    <w:rPr>
      <w:rFonts w:ascii="Courier New" w:eastAsia="Times New Roman" w:hAnsi="Courier New" w:cs="Courier New"/>
      <w:lang w:eastAsia="en-US"/>
    </w:rPr>
  </w:style>
  <w:style w:type="paragraph" w:styleId="NormalWeb">
    <w:name w:val="Normal (Web)"/>
    <w:basedOn w:val="Normal"/>
    <w:uiPriority w:val="99"/>
    <w:rsid w:val="00256575"/>
    <w:pPr>
      <w:suppressAutoHyphens w:val="0"/>
      <w:spacing w:before="100" w:beforeAutospacing="1" w:after="119" w:line="240" w:lineRule="auto"/>
    </w:pPr>
    <w:rPr>
      <w:rFonts w:ascii="Arial Unicode MS" w:eastAsia="Arial Unicode MS" w:hAnsi="Arial Unicode MS" w:cs="Arial Unicode MS"/>
      <w:sz w:val="24"/>
      <w:szCs w:val="24"/>
    </w:rPr>
  </w:style>
  <w:style w:type="character" w:styleId="Emphasis">
    <w:name w:val="Emphasis"/>
    <w:uiPriority w:val="20"/>
    <w:qFormat/>
    <w:rsid w:val="00256575"/>
    <w:rPr>
      <w:i/>
      <w:iCs/>
    </w:rPr>
  </w:style>
  <w:style w:type="paragraph" w:styleId="Revision">
    <w:name w:val="Revision"/>
    <w:hidden/>
    <w:uiPriority w:val="99"/>
    <w:semiHidden/>
    <w:rsid w:val="00256575"/>
    <w:rPr>
      <w:rFonts w:eastAsia="Times New Roman"/>
      <w:sz w:val="22"/>
      <w:szCs w:val="24"/>
      <w:lang w:eastAsia="en-US"/>
    </w:rPr>
  </w:style>
  <w:style w:type="paragraph" w:styleId="Subtitle">
    <w:name w:val="Subtitle"/>
    <w:basedOn w:val="Normal"/>
    <w:link w:val="SubtitleChar"/>
    <w:uiPriority w:val="99"/>
    <w:qFormat/>
    <w:rsid w:val="00256575"/>
    <w:pPr>
      <w:widowControl w:val="0"/>
      <w:suppressAutoHyphens w:val="0"/>
      <w:autoSpaceDE w:val="0"/>
      <w:autoSpaceDN w:val="0"/>
      <w:adjustRightInd w:val="0"/>
      <w:spacing w:line="240" w:lineRule="auto"/>
    </w:pPr>
    <w:rPr>
      <w:b/>
      <w:sz w:val="24"/>
      <w:lang w:val="en-US"/>
    </w:rPr>
  </w:style>
  <w:style w:type="character" w:customStyle="1" w:styleId="SubtitleChar">
    <w:name w:val="Subtitle Char"/>
    <w:basedOn w:val="DefaultParagraphFont"/>
    <w:link w:val="Subtitle"/>
    <w:uiPriority w:val="99"/>
    <w:rsid w:val="00256575"/>
    <w:rPr>
      <w:rFonts w:eastAsia="Times New Roman"/>
      <w:b/>
      <w:sz w:val="24"/>
      <w:lang w:val="en-US" w:eastAsia="en-US"/>
    </w:rPr>
  </w:style>
  <w:style w:type="paragraph" w:styleId="EnvelopeReturn">
    <w:name w:val="envelope return"/>
    <w:basedOn w:val="Normal"/>
    <w:uiPriority w:val="99"/>
    <w:rsid w:val="00256575"/>
    <w:pPr>
      <w:suppressAutoHyphens w:val="0"/>
      <w:spacing w:line="240" w:lineRule="auto"/>
    </w:pPr>
    <w:rPr>
      <w:rFonts w:ascii="Arial" w:hAnsi="Arial" w:cs="Arial"/>
    </w:rPr>
  </w:style>
  <w:style w:type="paragraph" w:styleId="HTMLAddress">
    <w:name w:val="HTML Address"/>
    <w:basedOn w:val="Normal"/>
    <w:link w:val="HTMLAddressChar"/>
    <w:rsid w:val="00256575"/>
    <w:pPr>
      <w:suppressAutoHyphens w:val="0"/>
      <w:spacing w:line="240" w:lineRule="auto"/>
    </w:pPr>
    <w:rPr>
      <w:i/>
      <w:iCs/>
      <w:sz w:val="22"/>
      <w:szCs w:val="24"/>
    </w:rPr>
  </w:style>
  <w:style w:type="character" w:customStyle="1" w:styleId="HTMLAddressChar">
    <w:name w:val="HTML Address Char"/>
    <w:basedOn w:val="DefaultParagraphFont"/>
    <w:link w:val="HTMLAddress"/>
    <w:rsid w:val="00256575"/>
    <w:rPr>
      <w:rFonts w:eastAsia="Times New Roman"/>
      <w:i/>
      <w:iCs/>
      <w:sz w:val="22"/>
      <w:szCs w:val="24"/>
      <w:lang w:eastAsia="en-US"/>
    </w:rPr>
  </w:style>
  <w:style w:type="paragraph" w:styleId="NormalIndent">
    <w:name w:val="Normal Indent"/>
    <w:basedOn w:val="Normal"/>
    <w:uiPriority w:val="99"/>
    <w:rsid w:val="00256575"/>
    <w:pPr>
      <w:suppressAutoHyphens w:val="0"/>
      <w:spacing w:line="240" w:lineRule="auto"/>
      <w:ind w:left="720"/>
    </w:pPr>
    <w:rPr>
      <w:sz w:val="22"/>
      <w:szCs w:val="24"/>
    </w:rPr>
  </w:style>
  <w:style w:type="paragraph" w:styleId="TOC1">
    <w:name w:val="toc 1"/>
    <w:basedOn w:val="Normal"/>
    <w:next w:val="Normal"/>
    <w:autoRedefine/>
    <w:uiPriority w:val="99"/>
    <w:rsid w:val="00256575"/>
    <w:pPr>
      <w:tabs>
        <w:tab w:val="left" w:pos="1134"/>
        <w:tab w:val="left" w:pos="1418"/>
        <w:tab w:val="left" w:pos="1701"/>
        <w:tab w:val="left" w:pos="1985"/>
        <w:tab w:val="left" w:pos="2268"/>
        <w:tab w:val="left" w:pos="2552"/>
        <w:tab w:val="left" w:pos="3119"/>
        <w:tab w:val="left" w:pos="3402"/>
        <w:tab w:val="left" w:pos="3686"/>
        <w:tab w:val="left" w:pos="3969"/>
      </w:tabs>
      <w:suppressAutoHyphens w:val="0"/>
      <w:spacing w:line="240" w:lineRule="auto"/>
    </w:pPr>
    <w:rPr>
      <w:b/>
      <w:i/>
      <w:iCs/>
      <w:sz w:val="22"/>
      <w:szCs w:val="24"/>
    </w:rPr>
  </w:style>
  <w:style w:type="paragraph" w:styleId="DocumentMap">
    <w:name w:val="Document Map"/>
    <w:basedOn w:val="Normal"/>
    <w:link w:val="DocumentMapChar"/>
    <w:uiPriority w:val="99"/>
    <w:rsid w:val="00256575"/>
    <w:pPr>
      <w:shd w:val="clear" w:color="auto" w:fill="000080"/>
      <w:suppressAutoHyphens w:val="0"/>
      <w:spacing w:line="240" w:lineRule="auto"/>
    </w:pPr>
    <w:rPr>
      <w:rFonts w:ascii="Tahoma" w:hAnsi="Tahoma" w:cs="Tahoma"/>
      <w:sz w:val="22"/>
      <w:szCs w:val="24"/>
    </w:rPr>
  </w:style>
  <w:style w:type="character" w:customStyle="1" w:styleId="DocumentMapChar">
    <w:name w:val="Document Map Char"/>
    <w:basedOn w:val="DefaultParagraphFont"/>
    <w:link w:val="DocumentMap"/>
    <w:uiPriority w:val="99"/>
    <w:rsid w:val="00256575"/>
    <w:rPr>
      <w:rFonts w:ascii="Tahoma" w:eastAsia="Times New Roman" w:hAnsi="Tahoma" w:cs="Tahoma"/>
      <w:sz w:val="22"/>
      <w:szCs w:val="24"/>
      <w:shd w:val="clear" w:color="auto" w:fill="000080"/>
      <w:lang w:eastAsia="en-US"/>
    </w:rPr>
  </w:style>
  <w:style w:type="character" w:customStyle="1" w:styleId="GHSFootnotetextChar">
    <w:name w:val="GHSFootnotetext Char"/>
    <w:link w:val="GHSFootnotetext"/>
    <w:rsid w:val="00256575"/>
    <w:rPr>
      <w:rFonts w:eastAsia="Times New Roman"/>
      <w:i/>
      <w:iCs/>
      <w:lang w:val="fr-FR" w:eastAsia="fr-FR"/>
    </w:rPr>
  </w:style>
  <w:style w:type="paragraph" w:styleId="Title">
    <w:name w:val="Title"/>
    <w:basedOn w:val="Normal"/>
    <w:link w:val="TitleChar"/>
    <w:uiPriority w:val="99"/>
    <w:qFormat/>
    <w:rsid w:val="00256575"/>
    <w:pPr>
      <w:tabs>
        <w:tab w:val="left" w:pos="1134"/>
        <w:tab w:val="left" w:pos="1701"/>
        <w:tab w:val="left" w:pos="2268"/>
        <w:tab w:val="left" w:pos="2835"/>
        <w:tab w:val="left" w:pos="3402"/>
        <w:tab w:val="left" w:pos="3969"/>
      </w:tabs>
      <w:suppressAutoHyphens w:val="0"/>
      <w:spacing w:line="240" w:lineRule="auto"/>
      <w:jc w:val="center"/>
    </w:pPr>
    <w:rPr>
      <w:b/>
      <w:bCs/>
      <w:sz w:val="28"/>
      <w:szCs w:val="28"/>
    </w:rPr>
  </w:style>
  <w:style w:type="character" w:customStyle="1" w:styleId="TitleChar">
    <w:name w:val="Title Char"/>
    <w:basedOn w:val="DefaultParagraphFont"/>
    <w:link w:val="Title"/>
    <w:uiPriority w:val="99"/>
    <w:rsid w:val="00256575"/>
    <w:rPr>
      <w:rFonts w:eastAsia="Times New Roman"/>
      <w:b/>
      <w:bCs/>
      <w:sz w:val="28"/>
      <w:szCs w:val="28"/>
      <w:lang w:eastAsia="en-US"/>
    </w:rPr>
  </w:style>
  <w:style w:type="paragraph" w:styleId="Caption">
    <w:name w:val="caption"/>
    <w:basedOn w:val="Normal"/>
    <w:next w:val="Normal"/>
    <w:uiPriority w:val="99"/>
    <w:qFormat/>
    <w:rsid w:val="00256575"/>
    <w:pPr>
      <w:suppressAutoHyphens w:val="0"/>
      <w:spacing w:before="120" w:line="216" w:lineRule="auto"/>
      <w:jc w:val="center"/>
    </w:pPr>
    <w:rPr>
      <w:sz w:val="22"/>
      <w:szCs w:val="24"/>
    </w:rPr>
  </w:style>
  <w:style w:type="paragraph" w:customStyle="1" w:styleId="Annotation">
    <w:name w:val="Annotation"/>
    <w:basedOn w:val="BodyText"/>
    <w:uiPriority w:val="99"/>
    <w:rsid w:val="00256575"/>
    <w:pPr>
      <w:suppressAutoHyphens w:val="0"/>
      <w:spacing w:after="240" w:line="240" w:lineRule="auto"/>
    </w:pPr>
    <w:rPr>
      <w:b/>
      <w:bCs/>
      <w:i/>
      <w:iCs/>
      <w:sz w:val="22"/>
      <w:szCs w:val="24"/>
    </w:rPr>
  </w:style>
  <w:style w:type="paragraph" w:customStyle="1" w:styleId="GHSpageNumber">
    <w:name w:val="GHSpageNumber"/>
    <w:basedOn w:val="Normal"/>
    <w:uiPriority w:val="99"/>
    <w:rsid w:val="00256575"/>
    <w:pPr>
      <w:suppressAutoHyphens w:val="0"/>
      <w:spacing w:line="240" w:lineRule="auto"/>
      <w:jc w:val="center"/>
    </w:pPr>
    <w:rPr>
      <w:szCs w:val="22"/>
    </w:rPr>
  </w:style>
  <w:style w:type="paragraph" w:customStyle="1" w:styleId="TableText">
    <w:name w:val="Table Text"/>
    <w:basedOn w:val="Normal"/>
    <w:uiPriority w:val="99"/>
    <w:rsid w:val="00256575"/>
    <w:pPr>
      <w:tabs>
        <w:tab w:val="left" w:pos="0"/>
      </w:tabs>
      <w:suppressAutoHyphens w:val="0"/>
      <w:spacing w:line="240" w:lineRule="auto"/>
    </w:pPr>
  </w:style>
  <w:style w:type="paragraph" w:customStyle="1" w:styleId="BlockQuotation">
    <w:name w:val="Block Quotation"/>
    <w:basedOn w:val="Normal"/>
    <w:uiPriority w:val="99"/>
    <w:rsid w:val="00256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left="720" w:right="2448"/>
    </w:pPr>
    <w:rPr>
      <w:lang w:val="en-US"/>
    </w:rPr>
  </w:style>
  <w:style w:type="paragraph" w:customStyle="1" w:styleId="ParaBlock">
    <w:name w:val="ParaBlock"/>
    <w:basedOn w:val="Normal"/>
    <w:uiPriority w:val="99"/>
    <w:rsid w:val="00256575"/>
    <w:pPr>
      <w:tabs>
        <w:tab w:val="left" w:pos="851"/>
        <w:tab w:val="left" w:pos="1191"/>
        <w:tab w:val="left" w:pos="1531"/>
      </w:tabs>
      <w:suppressAutoHyphens w:val="0"/>
      <w:spacing w:after="240" w:line="240" w:lineRule="auto"/>
      <w:jc w:val="both"/>
    </w:pPr>
    <w:rPr>
      <w:rFonts w:ascii="Times" w:hAnsi="Times"/>
      <w:sz w:val="22"/>
    </w:rPr>
  </w:style>
  <w:style w:type="paragraph" w:customStyle="1" w:styleId="HeadingA">
    <w:name w:val="Heading A"/>
    <w:basedOn w:val="Heading1"/>
    <w:next w:val="Normal"/>
    <w:uiPriority w:val="99"/>
    <w:rsid w:val="00256575"/>
    <w:pPr>
      <w:keepNext/>
      <w:tabs>
        <w:tab w:val="left" w:pos="1134"/>
      </w:tabs>
      <w:suppressAutoHyphens w:val="0"/>
      <w:spacing w:after="240"/>
      <w:ind w:left="0"/>
      <w:outlineLvl w:val="9"/>
    </w:pPr>
    <w:rPr>
      <w:b/>
      <w:kern w:val="28"/>
      <w:sz w:val="40"/>
      <w:szCs w:val="24"/>
      <w:lang w:val="da-DK"/>
    </w:rPr>
  </w:style>
  <w:style w:type="paragraph" w:styleId="TOC2">
    <w:name w:val="toc 2"/>
    <w:basedOn w:val="Normal"/>
    <w:next w:val="Normal"/>
    <w:autoRedefine/>
    <w:uiPriority w:val="99"/>
    <w:rsid w:val="00256575"/>
    <w:pPr>
      <w:tabs>
        <w:tab w:val="right" w:leader="dot" w:pos="9458"/>
      </w:tabs>
      <w:suppressAutoHyphens w:val="0"/>
      <w:spacing w:line="240" w:lineRule="auto"/>
      <w:ind w:left="238"/>
    </w:pPr>
    <w:rPr>
      <w:smallCaps/>
      <w:noProof/>
      <w:sz w:val="22"/>
    </w:rPr>
  </w:style>
  <w:style w:type="paragraph" w:customStyle="1" w:styleId="EndnotesHeading">
    <w:name w:val="Endnotes Heading"/>
    <w:basedOn w:val="Normal"/>
    <w:next w:val="BodyText"/>
    <w:uiPriority w:val="99"/>
    <w:rsid w:val="00256575"/>
    <w:pPr>
      <w:keepNext/>
      <w:tabs>
        <w:tab w:val="left" w:pos="850"/>
        <w:tab w:val="left" w:pos="1191"/>
        <w:tab w:val="left" w:pos="1531"/>
      </w:tabs>
      <w:suppressAutoHyphens w:val="0"/>
      <w:spacing w:before="1200" w:after="480" w:line="240" w:lineRule="auto"/>
      <w:jc w:val="center"/>
    </w:pPr>
    <w:rPr>
      <w:rFonts w:ascii="Times" w:hAnsi="Times"/>
      <w:b/>
      <w:caps/>
      <w:sz w:val="22"/>
    </w:rPr>
  </w:style>
  <w:style w:type="character" w:customStyle="1" w:styleId="Hypertext">
    <w:name w:val="Hypertext"/>
    <w:rsid w:val="00256575"/>
    <w:rPr>
      <w:color w:val="0000FF"/>
      <w:u w:val="single"/>
    </w:rPr>
  </w:style>
  <w:style w:type="paragraph" w:customStyle="1" w:styleId="XP">
    <w:name w:val="XP"/>
    <w:uiPriority w:val="99"/>
    <w:rsid w:val="00256575"/>
    <w:pPr>
      <w:widowControl w:val="0"/>
      <w:spacing w:before="120" w:after="120" w:line="280" w:lineRule="exact"/>
      <w:jc w:val="both"/>
    </w:pPr>
    <w:rPr>
      <w:rFonts w:ascii="Arial" w:eastAsia="Times New Roman" w:hAnsi="Arial"/>
      <w:lang w:val="nl-NL" w:eastAsia="en-US"/>
    </w:rPr>
  </w:style>
  <w:style w:type="paragraph" w:customStyle="1" w:styleId="IT">
    <w:name w:val="IT"/>
    <w:uiPriority w:val="99"/>
    <w:rsid w:val="00256575"/>
    <w:pPr>
      <w:tabs>
        <w:tab w:val="left" w:pos="170"/>
      </w:tabs>
      <w:spacing w:line="280" w:lineRule="exact"/>
      <w:jc w:val="both"/>
    </w:pPr>
    <w:rPr>
      <w:rFonts w:ascii="Arial" w:eastAsia="Times New Roman" w:hAnsi="Arial"/>
      <w:lang w:val="nl-NL" w:eastAsia="en-US"/>
    </w:rPr>
  </w:style>
  <w:style w:type="paragraph" w:customStyle="1" w:styleId="LT">
    <w:name w:val="LT"/>
    <w:basedOn w:val="IT"/>
    <w:next w:val="XP"/>
    <w:uiPriority w:val="99"/>
    <w:rsid w:val="00256575"/>
    <w:pPr>
      <w:spacing w:after="120"/>
    </w:pPr>
  </w:style>
  <w:style w:type="paragraph" w:customStyle="1" w:styleId="GHStext">
    <w:name w:val="GHS_text"/>
    <w:basedOn w:val="Normal"/>
    <w:link w:val="GHStextChar"/>
    <w:qFormat/>
    <w:rsid w:val="00256575"/>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256575"/>
    <w:rPr>
      <w:rFonts w:eastAsia="SimSun"/>
      <w:snapToGrid w:val="0"/>
      <w:color w:val="000000"/>
      <w:szCs w:val="22"/>
      <w:lang w:val="es-ES" w:eastAsia="en-US"/>
    </w:rPr>
  </w:style>
  <w:style w:type="paragraph" w:customStyle="1" w:styleId="Table4">
    <w:name w:val="Table4"/>
    <w:basedOn w:val="Normal"/>
    <w:autoRedefine/>
    <w:uiPriority w:val="99"/>
    <w:rsid w:val="00256575"/>
    <w:pPr>
      <w:keepNext/>
      <w:keepLines/>
      <w:suppressAutoHyphens w:val="0"/>
      <w:spacing w:line="240" w:lineRule="auto"/>
    </w:pPr>
    <w:rPr>
      <w:rFonts w:eastAsia="SimSun"/>
      <w:b/>
      <w:bCs/>
      <w:sz w:val="18"/>
      <w:szCs w:val="18"/>
    </w:rPr>
  </w:style>
  <w:style w:type="paragraph" w:customStyle="1" w:styleId="TNR11">
    <w:name w:val="TNR11"/>
    <w:uiPriority w:val="99"/>
    <w:rsid w:val="00256575"/>
    <w:pPr>
      <w:spacing w:before="240"/>
      <w:ind w:firstLine="1276"/>
      <w:jc w:val="both"/>
    </w:pPr>
    <w:rPr>
      <w:rFonts w:eastAsia="Times New Roman"/>
      <w:noProof/>
      <w:sz w:val="22"/>
      <w:lang w:eastAsia="en-US"/>
    </w:rPr>
  </w:style>
  <w:style w:type="paragraph" w:customStyle="1" w:styleId="Tabb">
    <w:name w:val="TabÜb"/>
    <w:basedOn w:val="Normal"/>
    <w:next w:val="Normal"/>
    <w:uiPriority w:val="99"/>
    <w:rsid w:val="00256575"/>
    <w:pPr>
      <w:widowControl w:val="0"/>
      <w:tabs>
        <w:tab w:val="left" w:pos="360"/>
      </w:tabs>
      <w:suppressAutoHyphens w:val="0"/>
      <w:spacing w:before="120" w:after="120" w:line="240" w:lineRule="auto"/>
      <w:jc w:val="center"/>
    </w:pPr>
    <w:rPr>
      <w:rFonts w:ascii="Tahoma" w:hAnsi="Tahoma"/>
      <w:b/>
      <w:sz w:val="18"/>
    </w:rPr>
  </w:style>
  <w:style w:type="paragraph" w:customStyle="1" w:styleId="Beschriftung1">
    <w:name w:val="Beschriftung1"/>
    <w:basedOn w:val="Caption"/>
    <w:uiPriority w:val="99"/>
    <w:rsid w:val="00256575"/>
    <w:pPr>
      <w:tabs>
        <w:tab w:val="left" w:pos="360"/>
        <w:tab w:val="left" w:pos="2760"/>
        <w:tab w:val="left" w:pos="5640"/>
        <w:tab w:val="left" w:pos="13320"/>
      </w:tabs>
      <w:spacing w:before="0" w:line="240" w:lineRule="auto"/>
      <w:jc w:val="left"/>
    </w:pPr>
    <w:rPr>
      <w:rFonts w:ascii="Tahoma" w:hAnsi="Tahoma"/>
      <w:b/>
      <w:sz w:val="18"/>
      <w:szCs w:val="20"/>
      <w:lang w:val="en-US"/>
    </w:rPr>
  </w:style>
  <w:style w:type="character" w:customStyle="1" w:styleId="StyleBold1">
    <w:name w:val="Style Bold1"/>
    <w:semiHidden/>
    <w:rsid w:val="00256575"/>
    <w:rPr>
      <w:rFonts w:ascii="Times New Roman" w:hAnsi="Times New Roman"/>
      <w:b/>
      <w:bCs/>
    </w:rPr>
  </w:style>
  <w:style w:type="character" w:customStyle="1" w:styleId="StyleBoldStrikethrough">
    <w:name w:val="Style Bold Strikethrough"/>
    <w:semiHidden/>
    <w:rsid w:val="00256575"/>
    <w:rPr>
      <w:rFonts w:ascii="Times New Roman" w:hAnsi="Times New Roman"/>
      <w:b/>
      <w:bCs/>
      <w:strike/>
      <w:dstrike w:val="0"/>
    </w:rPr>
  </w:style>
  <w:style w:type="character" w:customStyle="1" w:styleId="StyleBold2">
    <w:name w:val="Style Bold2"/>
    <w:semiHidden/>
    <w:rsid w:val="00256575"/>
    <w:rPr>
      <w:rFonts w:ascii="Times New Roman" w:hAnsi="Times New Roman"/>
      <w:b/>
      <w:bCs/>
    </w:rPr>
  </w:style>
  <w:style w:type="paragraph" w:customStyle="1" w:styleId="GHSPartHeading">
    <w:name w:val="GHS Part Heading"/>
    <w:basedOn w:val="GHSHeading1"/>
    <w:link w:val="GHSPartHeadingChar"/>
    <w:qFormat/>
    <w:rsid w:val="00256575"/>
    <w:pPr>
      <w:tabs>
        <w:tab w:val="clear" w:pos="1134"/>
        <w:tab w:val="clear" w:pos="1425"/>
        <w:tab w:val="clear" w:pos="1701"/>
        <w:tab w:val="clear" w:pos="2268"/>
        <w:tab w:val="clear" w:pos="2835"/>
        <w:tab w:val="clear" w:pos="3402"/>
      </w:tabs>
    </w:pPr>
    <w:rPr>
      <w:sz w:val="52"/>
      <w:szCs w:val="52"/>
    </w:rPr>
  </w:style>
  <w:style w:type="character" w:customStyle="1" w:styleId="GHSHeading1Char">
    <w:name w:val="GHSHeading1 Char"/>
    <w:link w:val="GHSHeading1"/>
    <w:rsid w:val="00256575"/>
    <w:rPr>
      <w:rFonts w:eastAsia="Times New Roman"/>
      <w:b/>
      <w:bCs/>
      <w:color w:val="000000"/>
      <w:sz w:val="56"/>
      <w:szCs w:val="56"/>
      <w:lang w:eastAsia="fr-FR"/>
    </w:rPr>
  </w:style>
  <w:style w:type="character" w:customStyle="1" w:styleId="GHSPartHeadingChar">
    <w:name w:val="GHS Part Heading Char"/>
    <w:link w:val="GHSPartHeading"/>
    <w:rsid w:val="00256575"/>
    <w:rPr>
      <w:rFonts w:eastAsia="Times New Roman"/>
      <w:b/>
      <w:bCs/>
      <w:color w:val="000000"/>
      <w:sz w:val="52"/>
      <w:szCs w:val="52"/>
      <w:lang w:eastAsia="fr-FR"/>
    </w:rPr>
  </w:style>
  <w:style w:type="table" w:styleId="TableTheme">
    <w:name w:val="Table Theme"/>
    <w:basedOn w:val="TableNormal"/>
    <w:semiHidden/>
    <w:rsid w:val="00256575"/>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256575"/>
    <w:pPr>
      <w:suppressAutoHyphens w:val="0"/>
      <w:spacing w:line="240" w:lineRule="auto"/>
      <w:jc w:val="both"/>
    </w:pPr>
    <w:rPr>
      <w:sz w:val="22"/>
      <w:szCs w:val="24"/>
    </w:rPr>
  </w:style>
  <w:style w:type="character" w:customStyle="1" w:styleId="DateChar">
    <w:name w:val="Date Char"/>
    <w:basedOn w:val="DefaultParagraphFont"/>
    <w:link w:val="Date"/>
    <w:uiPriority w:val="99"/>
    <w:rsid w:val="00256575"/>
    <w:rPr>
      <w:rFonts w:eastAsia="Times New Roman"/>
      <w:sz w:val="22"/>
      <w:szCs w:val="24"/>
      <w:lang w:eastAsia="en-US"/>
    </w:rPr>
  </w:style>
  <w:style w:type="paragraph" w:styleId="List">
    <w:name w:val="List"/>
    <w:basedOn w:val="Normal"/>
    <w:uiPriority w:val="99"/>
    <w:semiHidden/>
    <w:unhideWhenUsed/>
    <w:rsid w:val="00256575"/>
    <w:pPr>
      <w:suppressAutoHyphens w:val="0"/>
      <w:spacing w:line="240" w:lineRule="auto"/>
      <w:ind w:left="283" w:hanging="283"/>
      <w:contextualSpacing/>
      <w:jc w:val="both"/>
    </w:pPr>
    <w:rPr>
      <w:sz w:val="22"/>
      <w:szCs w:val="24"/>
    </w:rPr>
  </w:style>
  <w:style w:type="character" w:customStyle="1" w:styleId="H23GChar">
    <w:name w:val="_ H_2/3_G Char"/>
    <w:link w:val="H23G"/>
    <w:locked/>
    <w:rsid w:val="00256575"/>
    <w:rPr>
      <w:rFonts w:eastAsia="Times New Roman"/>
      <w:b/>
      <w:lang w:eastAsia="en-US"/>
    </w:rPr>
  </w:style>
  <w:style w:type="table" w:customStyle="1" w:styleId="Tabellrutnt1">
    <w:name w:val="Tabellrutnät1"/>
    <w:basedOn w:val="TableNormal"/>
    <w:uiPriority w:val="39"/>
    <w:rsid w:val="00256575"/>
    <w:pPr>
      <w:spacing w:line="254"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Continue4">
    <w:name w:val="List Continue 4"/>
    <w:basedOn w:val="Normal"/>
    <w:uiPriority w:val="99"/>
    <w:semiHidden/>
    <w:unhideWhenUsed/>
    <w:rsid w:val="00256575"/>
    <w:pPr>
      <w:suppressAutoHyphens w:val="0"/>
      <w:spacing w:after="120" w:line="240" w:lineRule="auto"/>
      <w:ind w:left="1132"/>
      <w:contextualSpacing/>
      <w:jc w:val="both"/>
    </w:pPr>
    <w:rPr>
      <w:sz w:val="22"/>
      <w:szCs w:val="24"/>
    </w:rPr>
  </w:style>
  <w:style w:type="paragraph" w:customStyle="1" w:styleId="StyleStyleGHSHeading410ptBefore12pt">
    <w:name w:val="Style Style GHSHeading4 + 10 pt + Before:  12 pt"/>
    <w:basedOn w:val="StyleGHSHeading410pt"/>
    <w:uiPriority w:val="99"/>
    <w:rsid w:val="00256575"/>
    <w:pPr>
      <w:spacing w:before="240"/>
    </w:pPr>
  </w:style>
  <w:style w:type="paragraph" w:customStyle="1" w:styleId="StyleSingleTxtGBefore0cmAfter-0cm">
    <w:name w:val="Style _ Single Txt_G + Before:  0 cm After:  -0 cm"/>
    <w:basedOn w:val="SingleTxtG"/>
    <w:uiPriority w:val="99"/>
    <w:rsid w:val="00256575"/>
    <w:pPr>
      <w:suppressAutoHyphens w:val="0"/>
      <w:spacing w:after="240" w:line="240" w:lineRule="auto"/>
      <w:ind w:left="0" w:right="0"/>
    </w:pPr>
    <w:rPr>
      <w:sz w:val="22"/>
      <w:szCs w:val="24"/>
    </w:rPr>
  </w:style>
  <w:style w:type="paragraph" w:customStyle="1" w:styleId="GHSindent1">
    <w:name w:val="GHSindent_1"/>
    <w:basedOn w:val="GHSBodyText"/>
    <w:link w:val="GHSindent1Char"/>
    <w:qFormat/>
    <w:rsid w:val="00256575"/>
  </w:style>
  <w:style w:type="paragraph" w:customStyle="1" w:styleId="StyleGHSBodyTextBefore025cmFirstline0cm">
    <w:name w:val="Style GHSBody Text + Before:  0.25 cm First line:  0 cm"/>
    <w:basedOn w:val="GHSBodyText"/>
    <w:uiPriority w:val="99"/>
    <w:rsid w:val="00256575"/>
    <w:pPr>
      <w:ind w:left="142"/>
    </w:pPr>
    <w:rPr>
      <w:sz w:val="20"/>
    </w:rPr>
  </w:style>
  <w:style w:type="character" w:customStyle="1" w:styleId="GHSindent1Char">
    <w:name w:val="GHSindent_1 Char"/>
    <w:basedOn w:val="GHSBodyTextChar"/>
    <w:link w:val="GHSindent1"/>
    <w:rsid w:val="00256575"/>
    <w:rPr>
      <w:rFonts w:eastAsia="Times New Roman"/>
      <w:sz w:val="22"/>
      <w:lang w:eastAsia="en-US"/>
    </w:rPr>
  </w:style>
  <w:style w:type="paragraph" w:customStyle="1" w:styleId="GHSsubparas1">
    <w:name w:val="GHSsubparas1"/>
    <w:basedOn w:val="Normal"/>
    <w:uiPriority w:val="99"/>
    <w:rsid w:val="00256575"/>
    <w:pPr>
      <w:suppressAutoHyphens w:val="0"/>
      <w:spacing w:after="240" w:line="240" w:lineRule="auto"/>
      <w:ind w:left="1973" w:hanging="561"/>
      <w:jc w:val="both"/>
    </w:pPr>
    <w:rPr>
      <w:bCs/>
      <w:color w:val="000000"/>
      <w:szCs w:val="24"/>
    </w:rPr>
  </w:style>
  <w:style w:type="paragraph" w:customStyle="1" w:styleId="GHSSubparas10">
    <w:name w:val="GHS Subparas1"/>
    <w:basedOn w:val="Normal"/>
    <w:uiPriority w:val="99"/>
    <w:qFormat/>
    <w:rsid w:val="00256575"/>
    <w:pPr>
      <w:suppressAutoHyphens w:val="0"/>
      <w:spacing w:after="240" w:line="240" w:lineRule="auto"/>
      <w:ind w:left="1973" w:hanging="561"/>
      <w:jc w:val="both"/>
    </w:pPr>
    <w:rPr>
      <w:bCs/>
      <w:color w:val="000000"/>
      <w:szCs w:val="24"/>
    </w:rPr>
  </w:style>
  <w:style w:type="paragraph" w:customStyle="1" w:styleId="GHSSub2">
    <w:name w:val="GHS Sub2"/>
    <w:basedOn w:val="Normal"/>
    <w:uiPriority w:val="99"/>
    <w:qFormat/>
    <w:rsid w:val="00256575"/>
    <w:pPr>
      <w:suppressAutoHyphens w:val="0"/>
      <w:spacing w:after="240" w:line="240" w:lineRule="auto"/>
      <w:ind w:left="2552" w:hanging="567"/>
      <w:jc w:val="both"/>
    </w:pPr>
    <w:rPr>
      <w:szCs w:val="22"/>
    </w:rPr>
  </w:style>
  <w:style w:type="paragraph" w:customStyle="1" w:styleId="GHS1stline">
    <w:name w:val="GHS_1st line"/>
    <w:basedOn w:val="GHSBodyText"/>
    <w:uiPriority w:val="99"/>
    <w:qFormat/>
    <w:rsid w:val="00256575"/>
    <w:pPr>
      <w:ind w:firstLine="1418"/>
    </w:pPr>
    <w:rPr>
      <w:sz w:val="20"/>
    </w:rPr>
  </w:style>
  <w:style w:type="character" w:styleId="PlaceholderText">
    <w:name w:val="Placeholder Text"/>
    <w:basedOn w:val="DefaultParagraphFont"/>
    <w:uiPriority w:val="99"/>
    <w:semiHidden/>
    <w:rsid w:val="00256575"/>
    <w:rPr>
      <w:color w:val="808080"/>
    </w:rPr>
  </w:style>
  <w:style w:type="character" w:customStyle="1" w:styleId="UnresolvedMention1">
    <w:name w:val="Unresolved Mention1"/>
    <w:basedOn w:val="DefaultParagraphFont"/>
    <w:uiPriority w:val="99"/>
    <w:semiHidden/>
    <w:unhideWhenUsed/>
    <w:rsid w:val="00256575"/>
    <w:rPr>
      <w:color w:val="605E5C"/>
      <w:shd w:val="clear" w:color="auto" w:fill="E1DFDD"/>
    </w:rPr>
  </w:style>
  <w:style w:type="paragraph" w:styleId="NoSpacing">
    <w:name w:val="No Spacing"/>
    <w:uiPriority w:val="1"/>
    <w:qFormat/>
    <w:rsid w:val="00256575"/>
    <w:pPr>
      <w:suppressAutoHyphens/>
    </w:pPr>
    <w:rPr>
      <w:rFonts w:eastAsia="Times New Roman"/>
      <w:lang w:eastAsia="en-US"/>
    </w:rPr>
  </w:style>
  <w:style w:type="character" w:customStyle="1" w:styleId="Heading2Char1">
    <w:name w:val="Heading 2 Char1"/>
    <w:aliases w:val="GHS Chapter Heading Char1"/>
    <w:basedOn w:val="DefaultParagraphFont"/>
    <w:semiHidden/>
    <w:rsid w:val="00256575"/>
    <w:rPr>
      <w:rFonts w:asciiTheme="majorHAnsi" w:eastAsiaTheme="majorEastAsia" w:hAnsiTheme="majorHAnsi" w:cstheme="majorBidi"/>
      <w:color w:val="365F91" w:themeColor="accent1" w:themeShade="BF"/>
      <w:sz w:val="26"/>
      <w:szCs w:val="26"/>
      <w:lang w:eastAsia="en-US"/>
    </w:rPr>
  </w:style>
  <w:style w:type="paragraph" w:customStyle="1" w:styleId="msonormal0">
    <w:name w:val="msonormal"/>
    <w:basedOn w:val="Normal"/>
    <w:uiPriority w:val="99"/>
    <w:rsid w:val="00256575"/>
    <w:pPr>
      <w:suppressAutoHyphens w:val="0"/>
      <w:spacing w:before="100" w:beforeAutospacing="1" w:after="119" w:line="240" w:lineRule="auto"/>
    </w:pPr>
    <w:rPr>
      <w:rFonts w:ascii="Arial Unicode MS" w:eastAsia="Arial Unicode MS" w:hAnsi="Arial Unicode MS" w:cs="Arial Unicode MS"/>
      <w:sz w:val="24"/>
      <w:szCs w:val="24"/>
    </w:rPr>
  </w:style>
  <w:style w:type="character" w:customStyle="1" w:styleId="FootnoteTextChar1">
    <w:name w:val="Footnote Text Char1"/>
    <w:aliases w:val="5_G Char1"/>
    <w:basedOn w:val="DefaultParagraphFont"/>
    <w:uiPriority w:val="99"/>
    <w:semiHidden/>
    <w:rsid w:val="00256575"/>
    <w:rPr>
      <w:rFonts w:eastAsia="Times New Roman"/>
      <w:lang w:eastAsia="en-US"/>
    </w:rPr>
  </w:style>
  <w:style w:type="character" w:customStyle="1" w:styleId="HeaderChar1">
    <w:name w:val="Header Char1"/>
    <w:aliases w:val="6_G Char1"/>
    <w:basedOn w:val="DefaultParagraphFont"/>
    <w:uiPriority w:val="99"/>
    <w:semiHidden/>
    <w:rsid w:val="00256575"/>
    <w:rPr>
      <w:rFonts w:eastAsia="Times New Roman"/>
      <w:lang w:eastAsia="en-US"/>
    </w:rPr>
  </w:style>
  <w:style w:type="character" w:customStyle="1" w:styleId="FooterChar1">
    <w:name w:val="Footer Char1"/>
    <w:aliases w:val="3_G Char1"/>
    <w:basedOn w:val="DefaultParagraphFont"/>
    <w:uiPriority w:val="99"/>
    <w:semiHidden/>
    <w:rsid w:val="00256575"/>
    <w:rPr>
      <w:rFonts w:eastAsia="Times New Roman"/>
      <w:lang w:eastAsia="en-US"/>
    </w:rPr>
  </w:style>
  <w:style w:type="character" w:customStyle="1" w:styleId="EndnoteTextChar1">
    <w:name w:val="Endnote Text Char1"/>
    <w:aliases w:val="2_G Char1"/>
    <w:basedOn w:val="DefaultParagraphFont"/>
    <w:semiHidden/>
    <w:rsid w:val="00256575"/>
    <w:rPr>
      <w:rFonts w:eastAsia="Times New Roman"/>
      <w:lang w:eastAsia="en-US"/>
    </w:rPr>
  </w:style>
  <w:style w:type="paragraph" w:customStyle="1" w:styleId="CM4">
    <w:name w:val="CM4"/>
    <w:basedOn w:val="Default"/>
    <w:next w:val="Default"/>
    <w:uiPriority w:val="99"/>
    <w:rsid w:val="00256575"/>
    <w:pPr>
      <w:widowControl w:val="0"/>
    </w:pPr>
    <w:rPr>
      <w:color w:val="auto"/>
      <w:lang w:val="en-GB" w:eastAsia="en-GB"/>
    </w:rPr>
  </w:style>
  <w:style w:type="character" w:customStyle="1" w:styleId="UnresolvedMention10">
    <w:name w:val="Unresolved Mention1"/>
    <w:basedOn w:val="DefaultParagraphFont"/>
    <w:uiPriority w:val="99"/>
    <w:semiHidden/>
    <w:rsid w:val="00256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0405">
      <w:bodyDiv w:val="1"/>
      <w:marLeft w:val="0"/>
      <w:marRight w:val="0"/>
      <w:marTop w:val="0"/>
      <w:marBottom w:val="0"/>
      <w:divBdr>
        <w:top w:val="none" w:sz="0" w:space="0" w:color="auto"/>
        <w:left w:val="none" w:sz="0" w:space="0" w:color="auto"/>
        <w:bottom w:val="none" w:sz="0" w:space="0" w:color="auto"/>
        <w:right w:val="none" w:sz="0" w:space="0" w:color="auto"/>
      </w:divBdr>
    </w:div>
    <w:div w:id="1596401576">
      <w:bodyDiv w:val="1"/>
      <w:marLeft w:val="0"/>
      <w:marRight w:val="0"/>
      <w:marTop w:val="0"/>
      <w:marBottom w:val="0"/>
      <w:divBdr>
        <w:top w:val="none" w:sz="0" w:space="0" w:color="auto"/>
        <w:left w:val="none" w:sz="0" w:space="0" w:color="auto"/>
        <w:bottom w:val="none" w:sz="0" w:space="0" w:color="auto"/>
        <w:right w:val="none" w:sz="0" w:space="0" w:color="auto"/>
      </w:divBdr>
    </w:div>
    <w:div w:id="1613172643">
      <w:bodyDiv w:val="1"/>
      <w:marLeft w:val="0"/>
      <w:marRight w:val="0"/>
      <w:marTop w:val="0"/>
      <w:marBottom w:val="0"/>
      <w:divBdr>
        <w:top w:val="none" w:sz="0" w:space="0" w:color="auto"/>
        <w:left w:val="none" w:sz="0" w:space="0" w:color="auto"/>
        <w:bottom w:val="none" w:sz="0" w:space="0" w:color="auto"/>
        <w:right w:val="none" w:sz="0" w:space="0" w:color="auto"/>
      </w:divBdr>
    </w:div>
    <w:div w:id="17270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direct.com/topics/social-sciences/indonesian-language" TargetMode="External"/><Relationship Id="rId18" Type="http://schemas.openxmlformats.org/officeDocument/2006/relationships/hyperlink" Target="mailto:hello@clearya.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am04.safelinks.protection.outlook.com/?url=https%3A%2F%2Fdoi.org%2F10.1016%2Fj.jchas.2018.10.002&amp;data=04%7C01%7Cporris%40uic.edu%7C230df77a5878419cb79f08d9c49dfcce%7Ce202cd477a564baa99e3e3b71a7c77dd%7C0%7C0%7C637757005101589002%7CUnknown%7CTWFpbGZsb3d8eyJWIjoiMC4wLjAwMDAiLCJQIjoiV2luMzIiLCJBTiI6Ik1haWwiLCJXVCI6Mn0%3D%7C3000&amp;sdata=9TMG0uhwINpMaCbmViOWmOCQGy7Htdvo3d6TgJmnYac%3D&amp;reserved=0" TargetMode="External"/><Relationship Id="rId17" Type="http://schemas.openxmlformats.org/officeDocument/2006/relationships/hyperlink" Target="http://eavila@bluegreenallianc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brody@bluegreenallianc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doi.org%2F10.1080%2F15428119591017213&amp;data=04%7C01%7Cporris%40uic.edu%7C230df77a5878419cb79f08d9c49dfcce%7Ce202cd477a564baa99e3e3b71a7c77dd%7C0%7C0%7C637757005101589002%7CUnknown%7CTWFpbGZsb3d8eyJWIjoiMC4wLjAwMDAiLCJQIjoiV2luMzIiLCJBTiI6Ik1haWwiLCJXVCI6Mn0%3D%7C3000&amp;sdata=Zd9EJ%2FZdCZlDWOVxX5AU8eq3tixUoE1cbg8raEtIrqY%3D&amp;reserved=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learya.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gaceta.2021.07.02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4827-B916-4770-BBAA-9950193F0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880BFFFF-B348-4BAE-8EE1-37181531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1186</Words>
  <Characters>6766</Characters>
  <Application>Microsoft Office Word</Application>
  <DocSecurity>4</DocSecurity>
  <Lines>56</Lines>
  <Paragraphs>15</Paragraphs>
  <ScaleCrop>false</ScaleCrop>
  <Company>ECE-ISU</Company>
  <LinksUpToDate>false</LinksUpToDate>
  <CharactersWithSpaces>7937</CharactersWithSpaces>
  <SharedDoc>false</SharedDoc>
  <HLinks>
    <vt:vector size="48" baseType="variant">
      <vt:variant>
        <vt:i4>1179702</vt:i4>
      </vt:variant>
      <vt:variant>
        <vt:i4>21</vt:i4>
      </vt:variant>
      <vt:variant>
        <vt:i4>0</vt:i4>
      </vt:variant>
      <vt:variant>
        <vt:i4>5</vt:i4>
      </vt:variant>
      <vt:variant>
        <vt:lpwstr>mailto:hello@clearya.com</vt:lpwstr>
      </vt:variant>
      <vt:variant>
        <vt:lpwstr/>
      </vt:variant>
      <vt:variant>
        <vt:i4>5832826</vt:i4>
      </vt:variant>
      <vt:variant>
        <vt:i4>18</vt:i4>
      </vt:variant>
      <vt:variant>
        <vt:i4>0</vt:i4>
      </vt:variant>
      <vt:variant>
        <vt:i4>5</vt:i4>
      </vt:variant>
      <vt:variant>
        <vt:lpwstr>http://eavila@bluegreenalliance.org</vt:lpwstr>
      </vt:variant>
      <vt:variant>
        <vt:lpwstr/>
      </vt:variant>
      <vt:variant>
        <vt:i4>1703972</vt:i4>
      </vt:variant>
      <vt:variant>
        <vt:i4>15</vt:i4>
      </vt:variant>
      <vt:variant>
        <vt:i4>0</vt:i4>
      </vt:variant>
      <vt:variant>
        <vt:i4>5</vt:i4>
      </vt:variant>
      <vt:variant>
        <vt:lpwstr>mailto:cbrody@bluegreenalliance.org</vt:lpwstr>
      </vt:variant>
      <vt:variant>
        <vt:lpwstr/>
      </vt:variant>
      <vt:variant>
        <vt:i4>5374043</vt:i4>
      </vt:variant>
      <vt:variant>
        <vt:i4>12</vt:i4>
      </vt:variant>
      <vt:variant>
        <vt:i4>0</vt:i4>
      </vt:variant>
      <vt:variant>
        <vt:i4>5</vt:i4>
      </vt:variant>
      <vt:variant>
        <vt:lpwstr>https://www.clearya.com/</vt:lpwstr>
      </vt:variant>
      <vt:variant>
        <vt:lpwstr/>
      </vt:variant>
      <vt:variant>
        <vt:i4>4587589</vt:i4>
      </vt:variant>
      <vt:variant>
        <vt:i4>9</vt:i4>
      </vt:variant>
      <vt:variant>
        <vt:i4>0</vt:i4>
      </vt:variant>
      <vt:variant>
        <vt:i4>5</vt:i4>
      </vt:variant>
      <vt:variant>
        <vt:lpwstr>https://doi.org/10.1016/j.gaceta.2021.07.026</vt:lpwstr>
      </vt:variant>
      <vt:variant>
        <vt:lpwstr/>
      </vt:variant>
      <vt:variant>
        <vt:i4>5701704</vt:i4>
      </vt:variant>
      <vt:variant>
        <vt:i4>6</vt:i4>
      </vt:variant>
      <vt:variant>
        <vt:i4>0</vt:i4>
      </vt:variant>
      <vt:variant>
        <vt:i4>5</vt:i4>
      </vt:variant>
      <vt:variant>
        <vt:lpwstr>https://www.sciencedirect.com/topics/social-sciences/indonesian-language</vt:lpwstr>
      </vt:variant>
      <vt:variant>
        <vt:lpwstr/>
      </vt:variant>
      <vt:variant>
        <vt:i4>3538995</vt:i4>
      </vt:variant>
      <vt:variant>
        <vt:i4>3</vt:i4>
      </vt:variant>
      <vt:variant>
        <vt:i4>0</vt:i4>
      </vt:variant>
      <vt:variant>
        <vt:i4>5</vt:i4>
      </vt:variant>
      <vt:variant>
        <vt:lpwstr>https://nam04.safelinks.protection.outlook.com/?url=https%3A%2F%2Fdoi.org%2F10.1016%2Fj.jchas.2018.10.002&amp;data=04%7C01%7Cporris%40uic.edu%7C230df77a5878419cb79f08d9c49dfcce%7Ce202cd477a564baa99e3e3b71a7c77dd%7C0%7C0%7C637757005101589002%7CUnknown%7CTWFpbGZsb3d8eyJWIjoiMC4wLjAwMDAiLCJQIjoiV2luMzIiLCJBTiI6Ik1haWwiLCJXVCI6Mn0%3D%7C3000&amp;sdata=9TMG0uhwINpMaCbmViOWmOCQGy7Htdvo3d6TgJmnYac%3D&amp;reserved=0</vt:lpwstr>
      </vt:variant>
      <vt:variant>
        <vt:lpwstr/>
      </vt:variant>
      <vt:variant>
        <vt:i4>6291566</vt:i4>
      </vt:variant>
      <vt:variant>
        <vt:i4>0</vt:i4>
      </vt:variant>
      <vt:variant>
        <vt:i4>0</vt:i4>
      </vt:variant>
      <vt:variant>
        <vt:i4>5</vt:i4>
      </vt:variant>
      <vt:variant>
        <vt:lpwstr>https://nam04.safelinks.protection.outlook.com/?url=https%3A%2F%2Fdoi.org%2F10.1080%2F15428119591017213&amp;data=04%7C01%7Cporris%40uic.edu%7C230df77a5878419cb79f08d9c49dfcce%7Ce202cd477a564baa99e3e3b71a7c77dd%7C0%7C0%7C637757005101589002%7CUnknown%7CTWFpbGZsb3d8eyJWIjoiMC4wLjAwMDAiLCJQIjoiV2luMzIiLCJBTiI6Ik1haWwiLCJXVCI6Mn0%3D%7C3000&amp;sdata=Zd9EJ%2FZdCZlDWOVxX5AU8eq3tixUoE1cbg8raEtIrqY%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Rosa Garcia Couto</cp:lastModifiedBy>
  <cp:revision>23</cp:revision>
  <cp:lastPrinted>2022-07-04T17:32:00Z</cp:lastPrinted>
  <dcterms:created xsi:type="dcterms:W3CDTF">2022-07-01T00:36:00Z</dcterms:created>
  <dcterms:modified xsi:type="dcterms:W3CDTF">2022-07-04T17:37:00Z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MediaServiceImageTags">
    <vt:lpwstr/>
  </property>
</Properties>
</file>