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E5EDB" w14:paraId="5ADD4112" w14:textId="77777777" w:rsidTr="006476E1">
        <w:trPr>
          <w:trHeight w:val="851"/>
        </w:trPr>
        <w:tc>
          <w:tcPr>
            <w:tcW w:w="1259" w:type="dxa"/>
            <w:tcBorders>
              <w:top w:val="nil"/>
              <w:left w:val="nil"/>
              <w:bottom w:val="single" w:sz="4" w:space="0" w:color="auto"/>
              <w:right w:val="nil"/>
            </w:tcBorders>
          </w:tcPr>
          <w:p w14:paraId="3B248E6A" w14:textId="77777777" w:rsidR="00E52109" w:rsidRPr="00CE5EDB" w:rsidRDefault="00E52109" w:rsidP="004858F5"/>
        </w:tc>
        <w:tc>
          <w:tcPr>
            <w:tcW w:w="2236" w:type="dxa"/>
            <w:tcBorders>
              <w:top w:val="nil"/>
              <w:left w:val="nil"/>
              <w:bottom w:val="single" w:sz="4" w:space="0" w:color="auto"/>
              <w:right w:val="nil"/>
            </w:tcBorders>
            <w:vAlign w:val="bottom"/>
          </w:tcPr>
          <w:p w14:paraId="047843BD" w14:textId="77777777" w:rsidR="00E52109" w:rsidRPr="00CE5EDB" w:rsidRDefault="00E52109" w:rsidP="006476E1">
            <w:pPr>
              <w:spacing w:after="80" w:line="300" w:lineRule="exact"/>
              <w:rPr>
                <w:sz w:val="28"/>
                <w:szCs w:val="28"/>
              </w:rPr>
            </w:pPr>
            <w:r w:rsidRPr="00CE5EDB">
              <w:rPr>
                <w:sz w:val="28"/>
                <w:szCs w:val="28"/>
              </w:rPr>
              <w:t>United Nations</w:t>
            </w:r>
          </w:p>
        </w:tc>
        <w:tc>
          <w:tcPr>
            <w:tcW w:w="6144" w:type="dxa"/>
            <w:gridSpan w:val="2"/>
            <w:tcBorders>
              <w:top w:val="nil"/>
              <w:left w:val="nil"/>
              <w:bottom w:val="single" w:sz="4" w:space="0" w:color="auto"/>
              <w:right w:val="nil"/>
            </w:tcBorders>
            <w:vAlign w:val="bottom"/>
          </w:tcPr>
          <w:p w14:paraId="14CB6B3A" w14:textId="5451E36F" w:rsidR="00E52109" w:rsidRPr="00CE5EDB" w:rsidRDefault="00D54292" w:rsidP="00D54292">
            <w:pPr>
              <w:suppressAutoHyphens w:val="0"/>
              <w:jc w:val="right"/>
            </w:pPr>
            <w:r w:rsidRPr="00CE5EDB">
              <w:rPr>
                <w:sz w:val="40"/>
              </w:rPr>
              <w:t>ST</w:t>
            </w:r>
            <w:r w:rsidRPr="00CE5EDB">
              <w:t>/SG/AC.10/C.3/1</w:t>
            </w:r>
            <w:r w:rsidR="007E4C73">
              <w:t>20</w:t>
            </w:r>
            <w:r w:rsidR="00F96A32" w:rsidRPr="00CE5EDB">
              <w:t>/Add.1</w:t>
            </w:r>
          </w:p>
        </w:tc>
      </w:tr>
      <w:tr w:rsidR="00E52109" w:rsidRPr="00CE5EDB" w14:paraId="51EA04E4" w14:textId="77777777" w:rsidTr="006476E1">
        <w:trPr>
          <w:trHeight w:val="2835"/>
        </w:trPr>
        <w:tc>
          <w:tcPr>
            <w:tcW w:w="1259" w:type="dxa"/>
            <w:tcBorders>
              <w:top w:val="single" w:sz="4" w:space="0" w:color="auto"/>
              <w:left w:val="nil"/>
              <w:bottom w:val="single" w:sz="12" w:space="0" w:color="auto"/>
              <w:right w:val="nil"/>
            </w:tcBorders>
          </w:tcPr>
          <w:p w14:paraId="751647CC" w14:textId="77777777" w:rsidR="00E52109" w:rsidRPr="00CE5EDB" w:rsidRDefault="00E52109" w:rsidP="006476E1">
            <w:pPr>
              <w:spacing w:before="120"/>
              <w:jc w:val="center"/>
            </w:pPr>
            <w:r w:rsidRPr="00CE5EDB">
              <w:rPr>
                <w:noProof/>
                <w:lang w:eastAsia="fr-CH"/>
              </w:rPr>
              <w:drawing>
                <wp:inline distT="0" distB="0" distL="0" distR="0" wp14:anchorId="0AA605B7" wp14:editId="1E35F1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CD4B67" w14:textId="77777777" w:rsidR="00E52109" w:rsidRPr="00CE5EDB" w:rsidRDefault="00D94B05" w:rsidP="006476E1">
            <w:pPr>
              <w:spacing w:before="120" w:line="420" w:lineRule="exact"/>
              <w:rPr>
                <w:b/>
                <w:sz w:val="40"/>
                <w:szCs w:val="40"/>
              </w:rPr>
            </w:pPr>
            <w:r w:rsidRPr="00CE5EDB">
              <w:rPr>
                <w:b/>
                <w:sz w:val="40"/>
                <w:szCs w:val="40"/>
              </w:rPr>
              <w:t>Secretariat</w:t>
            </w:r>
          </w:p>
        </w:tc>
        <w:tc>
          <w:tcPr>
            <w:tcW w:w="2930" w:type="dxa"/>
            <w:tcBorders>
              <w:top w:val="single" w:sz="4" w:space="0" w:color="auto"/>
              <w:left w:val="nil"/>
              <w:bottom w:val="single" w:sz="12" w:space="0" w:color="auto"/>
              <w:right w:val="nil"/>
            </w:tcBorders>
          </w:tcPr>
          <w:p w14:paraId="0866B9C7" w14:textId="77777777" w:rsidR="00D94B05" w:rsidRPr="00CE5EDB" w:rsidRDefault="00D54292" w:rsidP="00D54292">
            <w:pPr>
              <w:suppressAutoHyphens w:val="0"/>
              <w:spacing w:before="240" w:line="240" w:lineRule="exact"/>
            </w:pPr>
            <w:r w:rsidRPr="00CE5EDB">
              <w:t>Distr.: General</w:t>
            </w:r>
          </w:p>
          <w:p w14:paraId="09E4298D" w14:textId="5C36E71B" w:rsidR="00D54292" w:rsidRPr="00CE5EDB" w:rsidRDefault="00C638E2" w:rsidP="00D54292">
            <w:pPr>
              <w:suppressAutoHyphens w:val="0"/>
              <w:spacing w:line="240" w:lineRule="exact"/>
            </w:pPr>
            <w:r>
              <w:t>28 July</w:t>
            </w:r>
            <w:r w:rsidR="009B3686">
              <w:t xml:space="preserve"> </w:t>
            </w:r>
            <w:r w:rsidR="00D54292" w:rsidRPr="00CE5EDB">
              <w:t>202</w:t>
            </w:r>
            <w:r w:rsidR="00F8251A">
              <w:t>2</w:t>
            </w:r>
          </w:p>
          <w:p w14:paraId="49BD34EA" w14:textId="5886359A" w:rsidR="00D54292" w:rsidRPr="00CE5EDB" w:rsidRDefault="006D5CA9" w:rsidP="00D54292">
            <w:pPr>
              <w:suppressAutoHyphens w:val="0"/>
              <w:spacing w:line="240" w:lineRule="exact"/>
            </w:pPr>
            <w:r>
              <w:t>English</w:t>
            </w:r>
          </w:p>
          <w:p w14:paraId="48D296A5" w14:textId="073DD3B9" w:rsidR="00D54292" w:rsidRPr="00CE5EDB" w:rsidRDefault="00D54292" w:rsidP="00D54292">
            <w:pPr>
              <w:suppressAutoHyphens w:val="0"/>
              <w:spacing w:line="240" w:lineRule="exact"/>
            </w:pPr>
            <w:r w:rsidRPr="00CE5EDB">
              <w:t>Original: English</w:t>
            </w:r>
            <w:r w:rsidR="006D5CA9">
              <w:t xml:space="preserve"> and French</w:t>
            </w:r>
          </w:p>
        </w:tc>
      </w:tr>
    </w:tbl>
    <w:p w14:paraId="0AD64E14" w14:textId="77777777" w:rsidR="00817975" w:rsidRPr="00CE5EDB" w:rsidRDefault="00817975" w:rsidP="00817975">
      <w:pPr>
        <w:spacing w:before="120"/>
        <w:rPr>
          <w:b/>
          <w:sz w:val="24"/>
          <w:szCs w:val="24"/>
        </w:rPr>
      </w:pPr>
      <w:r w:rsidRPr="00CE5EDB">
        <w:rPr>
          <w:b/>
          <w:sz w:val="24"/>
          <w:szCs w:val="24"/>
        </w:rPr>
        <w:t>Committee of Experts on the Transport of Dangerous Goods</w:t>
      </w:r>
      <w:r w:rsidRPr="00CE5EDB">
        <w:rPr>
          <w:b/>
          <w:sz w:val="24"/>
          <w:szCs w:val="24"/>
        </w:rPr>
        <w:br/>
        <w:t>and on the Globally Harmonized System of Classification</w:t>
      </w:r>
      <w:r w:rsidRPr="00CE5EDB">
        <w:rPr>
          <w:b/>
          <w:sz w:val="24"/>
          <w:szCs w:val="24"/>
        </w:rPr>
        <w:br/>
        <w:t>and Labelling of Chemicals</w:t>
      </w:r>
    </w:p>
    <w:p w14:paraId="5A7E121B" w14:textId="77777777" w:rsidR="00817975" w:rsidRPr="00CE5EDB" w:rsidRDefault="00817975" w:rsidP="00817975">
      <w:pPr>
        <w:spacing w:before="120"/>
        <w:rPr>
          <w:rFonts w:ascii="Helv" w:hAnsi="Helv" w:cs="Helv"/>
          <w:b/>
          <w:color w:val="000000"/>
        </w:rPr>
      </w:pPr>
      <w:r w:rsidRPr="00CE5EDB">
        <w:rPr>
          <w:b/>
        </w:rPr>
        <w:t>Sub-Committee of Experts on the Transport of Dangerous Goods</w:t>
      </w:r>
    </w:p>
    <w:p w14:paraId="31898288" w14:textId="60F771A6" w:rsidR="00817975" w:rsidRPr="00CE5EDB" w:rsidRDefault="00817975" w:rsidP="00817975">
      <w:pPr>
        <w:pStyle w:val="HChG"/>
        <w:spacing w:before="240" w:after="120"/>
      </w:pPr>
      <w:r w:rsidRPr="00CE5EDB">
        <w:tab/>
      </w:r>
      <w:r w:rsidRPr="00CE5EDB">
        <w:tab/>
        <w:t xml:space="preserve">Report of the Sub-Committee of Experts on the Transport of Dangerous Goods on its </w:t>
      </w:r>
      <w:r w:rsidR="00932F38">
        <w:t>sixtieth</w:t>
      </w:r>
      <w:r w:rsidRPr="00CE5EDB">
        <w:t xml:space="preserve"> session</w:t>
      </w:r>
    </w:p>
    <w:p w14:paraId="761A8D02" w14:textId="57EE68FF" w:rsidR="00E2114F" w:rsidRPr="00CE5EDB" w:rsidRDefault="00817975" w:rsidP="00817975">
      <w:r w:rsidRPr="00CE5EDB">
        <w:tab/>
      </w:r>
      <w:r w:rsidRPr="00CE5EDB">
        <w:tab/>
        <w:t xml:space="preserve">held in Geneva from </w:t>
      </w:r>
      <w:r w:rsidR="00CC2276" w:rsidRPr="00CE5EDB">
        <w:t>2</w:t>
      </w:r>
      <w:r w:rsidR="00932F38">
        <w:t>6 June to 6 July 2022</w:t>
      </w:r>
    </w:p>
    <w:p w14:paraId="77496AD8" w14:textId="77777777" w:rsidR="00155726" w:rsidRPr="00CE5EDB" w:rsidRDefault="00155726" w:rsidP="00155726">
      <w:pPr>
        <w:pStyle w:val="H1G"/>
      </w:pPr>
      <w:r w:rsidRPr="00CE5EDB">
        <w:tab/>
      </w:r>
      <w:r w:rsidRPr="00CE5EDB">
        <w:tab/>
        <w:t>Addendum</w:t>
      </w:r>
    </w:p>
    <w:p w14:paraId="5694C519" w14:textId="77777777" w:rsidR="00155726" w:rsidRPr="00CE5EDB" w:rsidRDefault="00155726" w:rsidP="00155726">
      <w:pPr>
        <w:spacing w:line="200" w:lineRule="atLeast"/>
        <w:rPr>
          <w:sz w:val="28"/>
        </w:rPr>
      </w:pPr>
      <w:r w:rsidRPr="00CE5EDB">
        <w:rPr>
          <w:sz w:val="28"/>
        </w:rPr>
        <w:t>Contents</w:t>
      </w:r>
    </w:p>
    <w:p w14:paraId="3F2E1733" w14:textId="77777777" w:rsidR="00EC3668" w:rsidRDefault="00EC3668" w:rsidP="00EC3668">
      <w:pPr>
        <w:tabs>
          <w:tab w:val="right" w:pos="850"/>
          <w:tab w:val="left" w:pos="1134"/>
          <w:tab w:val="left" w:pos="1559"/>
          <w:tab w:val="left" w:pos="1984"/>
          <w:tab w:val="left" w:leader="dot" w:pos="7654"/>
          <w:tab w:val="right" w:pos="8929"/>
          <w:tab w:val="right" w:pos="9638"/>
        </w:tabs>
        <w:spacing w:before="120" w:after="120"/>
      </w:pPr>
      <w:r>
        <w:t>Annexes</w:t>
      </w:r>
    </w:p>
    <w:p w14:paraId="663CDB50" w14:textId="14E99911" w:rsidR="00EC3668" w:rsidRPr="00C65B5D" w:rsidRDefault="00EC3668" w:rsidP="00EC3668">
      <w:pPr>
        <w:tabs>
          <w:tab w:val="right" w:pos="850"/>
          <w:tab w:val="left" w:pos="1134"/>
          <w:tab w:val="left" w:pos="1984"/>
          <w:tab w:val="left" w:leader="dot" w:pos="8931"/>
          <w:tab w:val="right" w:pos="9638"/>
        </w:tabs>
        <w:spacing w:after="120"/>
        <w:ind w:left="1134" w:hanging="1134"/>
        <w:rPr>
          <w:highlight w:val="yellow"/>
        </w:rPr>
      </w:pPr>
      <w:r w:rsidRPr="00297CBA">
        <w:tab/>
      </w:r>
      <w:r w:rsidRPr="008774CE">
        <w:t>I.</w:t>
      </w:r>
      <w:r w:rsidRPr="008774CE">
        <w:tab/>
      </w:r>
      <w:r w:rsidRPr="009C566A">
        <w:t>Draft amendments to the twent</w:t>
      </w:r>
      <w:r>
        <w:t>y-second r</w:t>
      </w:r>
      <w:r w:rsidRPr="009C566A">
        <w:t xml:space="preserve">evised edition of Recommendations </w:t>
      </w:r>
      <w:r>
        <w:br/>
      </w:r>
      <w:r w:rsidRPr="009C566A">
        <w:t>on the Transport of Dangerous Goods, Model Regulations (ST/SG/AC.10/1/Rev.2</w:t>
      </w:r>
      <w:r>
        <w:t>2</w:t>
      </w:r>
      <w:r w:rsidRPr="009C566A">
        <w:t>)</w:t>
      </w:r>
      <w:r w:rsidRPr="008774CE">
        <w:rPr>
          <w:rStyle w:val="FootnoteReference"/>
        </w:rPr>
        <w:footnoteReference w:id="2"/>
      </w:r>
      <w:r>
        <w:tab/>
      </w:r>
      <w:r>
        <w:tab/>
      </w:r>
      <w:r w:rsidR="00E174A4">
        <w:t>2</w:t>
      </w:r>
    </w:p>
    <w:p w14:paraId="47B67975" w14:textId="3E1C9D2C" w:rsidR="00EC3668" w:rsidRPr="00C54901" w:rsidRDefault="00EC3668" w:rsidP="00EC3668">
      <w:pPr>
        <w:tabs>
          <w:tab w:val="right" w:pos="850"/>
          <w:tab w:val="left" w:pos="1134"/>
          <w:tab w:val="left" w:pos="1984"/>
          <w:tab w:val="left" w:leader="dot" w:pos="8931"/>
          <w:tab w:val="right" w:pos="9638"/>
        </w:tabs>
        <w:spacing w:after="120"/>
        <w:ind w:left="1134" w:hanging="1134"/>
        <w:rPr>
          <w:highlight w:val="yellow"/>
        </w:rPr>
      </w:pPr>
      <w:r w:rsidRPr="008774CE">
        <w:tab/>
        <w:t>II.</w:t>
      </w:r>
      <w:r w:rsidRPr="008774CE">
        <w:tab/>
      </w:r>
      <w:r w:rsidRPr="009C566A">
        <w:t>Corrections to the twent</w:t>
      </w:r>
      <w:r>
        <w:t>y-second</w:t>
      </w:r>
      <w:r w:rsidRPr="009C566A">
        <w:t xml:space="preserve"> revised edition of Recommendations </w:t>
      </w:r>
      <w:r>
        <w:br/>
      </w:r>
      <w:r w:rsidRPr="009C566A">
        <w:t>on the Transport of Dangerous Goods, Model Regulations (ST/SG/AC.10/1/Rev.2</w:t>
      </w:r>
      <w:r>
        <w:t>2</w:t>
      </w:r>
      <w:r w:rsidRPr="008774CE">
        <w:t>)</w:t>
      </w:r>
      <w:r w:rsidRPr="008774CE">
        <w:rPr>
          <w:vertAlign w:val="superscript"/>
        </w:rPr>
        <w:t>1</w:t>
      </w:r>
      <w:r>
        <w:tab/>
      </w:r>
      <w:r>
        <w:tab/>
      </w:r>
      <w:r w:rsidR="00E174A4">
        <w:t>11</w:t>
      </w:r>
    </w:p>
    <w:p w14:paraId="3E5E5ED6" w14:textId="5BF55BBA" w:rsidR="00EC3668" w:rsidRPr="00C54901" w:rsidRDefault="00EC3668" w:rsidP="00EC3668">
      <w:pPr>
        <w:tabs>
          <w:tab w:val="right" w:pos="850"/>
          <w:tab w:val="left" w:pos="1134"/>
          <w:tab w:val="left" w:pos="1984"/>
          <w:tab w:val="left" w:leader="dot" w:pos="8931"/>
          <w:tab w:val="right" w:pos="9638"/>
        </w:tabs>
        <w:spacing w:after="120" w:line="240" w:lineRule="auto"/>
        <w:ind w:left="1134" w:hanging="1134"/>
        <w:rPr>
          <w:highlight w:val="yellow"/>
        </w:rPr>
      </w:pPr>
      <w:r w:rsidRPr="008774CE">
        <w:tab/>
        <w:t>III.</w:t>
      </w:r>
      <w:r w:rsidRPr="008774CE">
        <w:tab/>
      </w:r>
      <w:r>
        <w:t xml:space="preserve">Modifications </w:t>
      </w:r>
      <w:r w:rsidRPr="009C566A">
        <w:t xml:space="preserve">to the </w:t>
      </w:r>
      <w:r>
        <w:t>sixth version</w:t>
      </w:r>
      <w:r w:rsidRPr="009C566A">
        <w:t xml:space="preserve"> of </w:t>
      </w:r>
      <w:r>
        <w:t xml:space="preserve">the Guiding Principles for the </w:t>
      </w:r>
      <w:r>
        <w:br/>
        <w:t xml:space="preserve">Development of </w:t>
      </w:r>
      <w:r w:rsidRPr="009C566A">
        <w:t xml:space="preserve">Model Regulations </w:t>
      </w:r>
      <w:r>
        <w:t>on the</w:t>
      </w:r>
      <w:r w:rsidRPr="009C566A">
        <w:t xml:space="preserve"> </w:t>
      </w:r>
      <w:r>
        <w:t xml:space="preserve">Transport of </w:t>
      </w:r>
      <w:r w:rsidRPr="009C566A">
        <w:t>Dangerous Goods, (</w:t>
      </w:r>
      <w:r>
        <w:t>English only</w:t>
      </w:r>
      <w:r w:rsidRPr="009C566A">
        <w:t>)</w:t>
      </w:r>
      <w:r w:rsidRPr="008774CE">
        <w:rPr>
          <w:vertAlign w:val="superscript"/>
        </w:rPr>
        <w:t>1</w:t>
      </w:r>
      <w:r>
        <w:tab/>
      </w:r>
      <w:r>
        <w:tab/>
      </w:r>
      <w:r w:rsidR="00E174A4">
        <w:t>11</w:t>
      </w:r>
    </w:p>
    <w:p w14:paraId="45690FB5" w14:textId="442253EF" w:rsidR="00EC3668" w:rsidRPr="00094BEA" w:rsidRDefault="00EC3668" w:rsidP="00EC3668">
      <w:pPr>
        <w:tabs>
          <w:tab w:val="right" w:pos="850"/>
          <w:tab w:val="left" w:pos="1134"/>
          <w:tab w:val="left" w:pos="1984"/>
          <w:tab w:val="left" w:leader="dot" w:pos="8931"/>
          <w:tab w:val="right" w:pos="9638"/>
        </w:tabs>
        <w:spacing w:after="120"/>
        <w:ind w:left="1134" w:hanging="1134"/>
        <w:rPr>
          <w:highlight w:val="yellow"/>
        </w:rPr>
      </w:pPr>
      <w:r>
        <w:tab/>
        <w:t>IV.</w:t>
      </w:r>
      <w:r>
        <w:tab/>
        <w:t xml:space="preserve">Draft amendments to the Manual of Tests and Criteria (ST/SG/AC.10/11/Rev.7 and </w:t>
      </w:r>
      <w:proofErr w:type="gramStart"/>
      <w:r>
        <w:t>Amend</w:t>
      </w:r>
      <w:proofErr w:type="gramEnd"/>
      <w:r>
        <w:t>.1)</w:t>
      </w:r>
      <w:r>
        <w:rPr>
          <w:vertAlign w:val="superscript"/>
        </w:rPr>
        <w:t>1</w:t>
      </w:r>
      <w:r>
        <w:tab/>
      </w:r>
      <w:r>
        <w:tab/>
      </w:r>
      <w:r w:rsidR="00E174A4">
        <w:t>12</w:t>
      </w:r>
    </w:p>
    <w:p w14:paraId="288761DC" w14:textId="77777777" w:rsidR="00AB624E" w:rsidRPr="00CE5EDB" w:rsidRDefault="00AB624E" w:rsidP="00155726">
      <w:pPr>
        <w:tabs>
          <w:tab w:val="right" w:pos="850"/>
          <w:tab w:val="left" w:pos="1134"/>
          <w:tab w:val="left" w:pos="1984"/>
          <w:tab w:val="left" w:leader="dot" w:pos="8931"/>
          <w:tab w:val="right" w:pos="9638"/>
        </w:tabs>
        <w:spacing w:after="120"/>
        <w:ind w:left="1134" w:hanging="1134"/>
      </w:pPr>
    </w:p>
    <w:p w14:paraId="3AD6C31C" w14:textId="77777777" w:rsidR="00155726" w:rsidRDefault="00155726" w:rsidP="00155726">
      <w:pPr>
        <w:suppressAutoHyphens w:val="0"/>
        <w:kinsoku/>
        <w:overflowPunct/>
        <w:autoSpaceDE/>
        <w:autoSpaceDN/>
        <w:adjustRightInd/>
        <w:snapToGrid/>
        <w:spacing w:after="200" w:line="276" w:lineRule="auto"/>
      </w:pPr>
      <w:r w:rsidRPr="00CE5EDB">
        <w:br w:type="page"/>
      </w:r>
    </w:p>
    <w:p w14:paraId="3DDA10F2" w14:textId="77777777" w:rsidR="00B9218A" w:rsidRPr="001C5029" w:rsidRDefault="00B9218A" w:rsidP="00B9218A">
      <w:pPr>
        <w:pStyle w:val="HChG"/>
        <w:rPr>
          <w:i/>
          <w:iCs/>
        </w:rPr>
      </w:pPr>
      <w:r w:rsidRPr="001C5029">
        <w:lastRenderedPageBreak/>
        <w:tab/>
        <w:t>I.</w:t>
      </w:r>
      <w:r w:rsidRPr="001C5029">
        <w:tab/>
        <w:t>Draft amendments to the twenty-second revised edition of the Recommendations on the Transport of Dangerous Goods, Model Regulations (ST/SG/AC.10/1/Rev.22)</w:t>
      </w:r>
    </w:p>
    <w:p w14:paraId="71C8EE5A" w14:textId="77777777" w:rsidR="00B9218A" w:rsidRDefault="00B9218A" w:rsidP="00B9218A">
      <w:pPr>
        <w:pStyle w:val="H1G"/>
      </w:pPr>
      <w:r>
        <w:tab/>
      </w:r>
      <w:r>
        <w:tab/>
      </w:r>
      <w:r w:rsidRPr="00526B3C">
        <w:t xml:space="preserve">Data sheet to be submitted to the </w:t>
      </w:r>
      <w:r>
        <w:t>U</w:t>
      </w:r>
      <w:r w:rsidRPr="00526B3C">
        <w:t xml:space="preserve">nited </w:t>
      </w:r>
      <w:r>
        <w:t>N</w:t>
      </w:r>
      <w:r w:rsidRPr="00526B3C">
        <w:t>ations for new or amended classification of substances</w:t>
      </w:r>
    </w:p>
    <w:p w14:paraId="446CD5C0" w14:textId="77777777" w:rsidR="00B9218A" w:rsidRDefault="00B9218A" w:rsidP="00B9218A">
      <w:pPr>
        <w:pStyle w:val="SingleTxtG"/>
        <w:ind w:left="2268" w:hanging="1134"/>
      </w:pPr>
      <w:r>
        <w:t>[Section 9, item 9.6</w:t>
      </w:r>
      <w:r>
        <w:tab/>
        <w:t>Amend to read as follows:</w:t>
      </w:r>
    </w:p>
    <w:p w14:paraId="1E5105B0" w14:textId="77777777" w:rsidR="00B9218A" w:rsidRDefault="00B9218A" w:rsidP="00B9218A">
      <w:pPr>
        <w:pStyle w:val="SingleTxtG"/>
        <w:ind w:left="2268" w:hanging="1134"/>
      </w:pPr>
      <w:r>
        <w:t>“9.6</w:t>
      </w:r>
      <w:r>
        <w:tab/>
        <w:t>Filling ratio/degree of filling, as applicable ......................................”]</w:t>
      </w:r>
    </w:p>
    <w:p w14:paraId="2553E9BC"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 as amended</w:t>
      </w:r>
      <w:r w:rsidRPr="001C5029">
        <w:rPr>
          <w:i/>
          <w:iCs/>
        </w:rPr>
        <w:t>)</w:t>
      </w:r>
    </w:p>
    <w:p w14:paraId="1F3A9F00" w14:textId="77777777" w:rsidR="00B9218A" w:rsidRPr="001C5029" w:rsidRDefault="00B9218A" w:rsidP="00B9218A">
      <w:pPr>
        <w:pStyle w:val="H1G"/>
      </w:pPr>
      <w:r w:rsidRPr="001C5029">
        <w:tab/>
      </w:r>
      <w:r w:rsidRPr="001C5029">
        <w:tab/>
        <w:t xml:space="preserve">Chapter </w:t>
      </w:r>
      <w:r>
        <w:t>1.2</w:t>
      </w:r>
    </w:p>
    <w:p w14:paraId="26F28457" w14:textId="77777777" w:rsidR="00B9218A" w:rsidRDefault="00B9218A" w:rsidP="00B9218A">
      <w:pPr>
        <w:pStyle w:val="SingleTxtG"/>
        <w:ind w:left="2268" w:hanging="1134"/>
      </w:pPr>
      <w:r w:rsidRPr="00721E00">
        <w:t>[1.2.1</w:t>
      </w:r>
      <w:r w:rsidRPr="00721E00">
        <w:tab/>
      </w:r>
      <w:r>
        <w:t>Add a new definition in proper alphabetical order to read as follows:</w:t>
      </w:r>
    </w:p>
    <w:p w14:paraId="40CBC011" w14:textId="3E569444" w:rsidR="00B9218A" w:rsidRPr="00721E00" w:rsidRDefault="00B9218A" w:rsidP="00B9218A">
      <w:pPr>
        <w:pStyle w:val="SingleTxtG"/>
      </w:pPr>
      <w:r w:rsidRPr="006726E4">
        <w:t>“</w:t>
      </w:r>
      <w:r w:rsidRPr="006726E4">
        <w:rPr>
          <w:i/>
          <w:iCs/>
        </w:rPr>
        <w:t>Degree of filling</w:t>
      </w:r>
      <w:r w:rsidRPr="006726E4">
        <w:t xml:space="preserve"> means the ratio, expressed in %, of the volume of liquid or solid introduced at 15</w:t>
      </w:r>
      <w:r>
        <w:t> </w:t>
      </w:r>
      <w:r w:rsidRPr="006726E4">
        <w:t>ºC into the means of containment and the volume of the means of containment ready for use</w:t>
      </w:r>
      <w:r>
        <w:t>;</w:t>
      </w:r>
      <w:r w:rsidRPr="006726E4">
        <w:t>”</w:t>
      </w:r>
      <w:r w:rsidRPr="00721E00">
        <w:t>]</w:t>
      </w:r>
    </w:p>
    <w:p w14:paraId="63942A6F" w14:textId="77777777" w:rsidR="00B9218A" w:rsidRPr="001C5029" w:rsidRDefault="00B9218A" w:rsidP="00B9218A">
      <w:pPr>
        <w:pStyle w:val="SingleTxtG"/>
        <w:rPr>
          <w:i/>
          <w:iCs/>
        </w:rPr>
      </w:pPr>
      <w:r w:rsidRPr="00721E00">
        <w:rPr>
          <w:i/>
          <w:iCs/>
        </w:rPr>
        <w:t>(Reference documents:</w:t>
      </w:r>
      <w:r w:rsidRPr="00721E00">
        <w:t xml:space="preserve"> </w:t>
      </w:r>
      <w:r w:rsidRPr="00721E00">
        <w:rPr>
          <w:i/>
          <w:iCs/>
        </w:rPr>
        <w:t>ST/SG/AC.10/C.3/2022/23 and informal document INF.18)</w:t>
      </w:r>
    </w:p>
    <w:p w14:paraId="462CD17F" w14:textId="77777777" w:rsidR="00B9218A" w:rsidRDefault="00B9218A" w:rsidP="00B9218A">
      <w:pPr>
        <w:pStyle w:val="SingleTxtG"/>
        <w:ind w:left="2268" w:hanging="1134"/>
      </w:pPr>
      <w:r>
        <w:t>1.2.2.1</w:t>
      </w:r>
      <w:r>
        <w:tab/>
        <w:t>I</w:t>
      </w:r>
      <w:r w:rsidRPr="00320EFF">
        <w:t xml:space="preserve">n </w:t>
      </w:r>
      <w:r>
        <w:t xml:space="preserve">the table, in </w:t>
      </w:r>
      <w:r w:rsidRPr="00320EFF">
        <w:t xml:space="preserve">the entry for </w:t>
      </w:r>
      <w:r>
        <w:t>“</w:t>
      </w:r>
      <w:r w:rsidRPr="00320EFF">
        <w:t>Electrical resistance</w:t>
      </w:r>
      <w:r>
        <w:t>”</w:t>
      </w:r>
      <w:r w:rsidRPr="00320EFF">
        <w:t xml:space="preserve">, replace </w:t>
      </w:r>
      <w:r>
        <w:t>“</w:t>
      </w:r>
      <w:r w:rsidRPr="00320EFF">
        <w:t>1 kg · m² / s³ / A²</w:t>
      </w:r>
      <w:r>
        <w:t>”</w:t>
      </w:r>
      <w:r w:rsidRPr="00320EFF">
        <w:t xml:space="preserve"> by </w:t>
      </w:r>
      <w:r>
        <w:t>“</w:t>
      </w:r>
      <w:r w:rsidRPr="00320EFF">
        <w:t>1 kg</w:t>
      </w:r>
      <w:r>
        <w:t xml:space="preserve"> </w:t>
      </w:r>
      <w:r w:rsidRPr="00320EFF">
        <w:rPr>
          <w:rFonts w:ascii="Cambria Math" w:hAnsi="Cambria Math" w:cs="Cambria Math"/>
        </w:rPr>
        <w:t>⋅</w:t>
      </w:r>
      <w:r w:rsidRPr="00320EFF">
        <w:t xml:space="preserve"> m</w:t>
      </w:r>
      <w:r w:rsidRPr="00222485">
        <w:rPr>
          <w:vertAlign w:val="superscript"/>
        </w:rPr>
        <w:t>2</w:t>
      </w:r>
      <w:r w:rsidRPr="00320EFF">
        <w:t xml:space="preserve"> </w:t>
      </w:r>
      <w:r w:rsidRPr="00320EFF">
        <w:rPr>
          <w:rFonts w:ascii="Cambria Math" w:hAnsi="Cambria Math" w:cs="Cambria Math"/>
        </w:rPr>
        <w:t>⋅</w:t>
      </w:r>
      <w:r w:rsidRPr="00320EFF">
        <w:t xml:space="preserve"> s</w:t>
      </w:r>
      <w:r w:rsidRPr="00222485">
        <w:rPr>
          <w:vertAlign w:val="superscript"/>
        </w:rPr>
        <w:t>−3</w:t>
      </w:r>
      <w:r w:rsidRPr="00320EFF">
        <w:t xml:space="preserve"> </w:t>
      </w:r>
      <w:r w:rsidRPr="00320EFF">
        <w:rPr>
          <w:rFonts w:ascii="Cambria Math" w:hAnsi="Cambria Math" w:cs="Cambria Math"/>
        </w:rPr>
        <w:t>⋅</w:t>
      </w:r>
      <w:r w:rsidRPr="00320EFF">
        <w:t xml:space="preserve"> A</w:t>
      </w:r>
      <w:r w:rsidRPr="00222485">
        <w:rPr>
          <w:vertAlign w:val="superscript"/>
        </w:rPr>
        <w:t>−2</w:t>
      </w:r>
      <w:r>
        <w:t>”</w:t>
      </w:r>
      <w:r w:rsidRPr="00320EFF">
        <w:t>.</w:t>
      </w:r>
    </w:p>
    <w:p w14:paraId="406DC190"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w:t>
      </w:r>
      <w:r>
        <w:rPr>
          <w:i/>
          <w:iCs/>
        </w:rPr>
        <w:t>31</w:t>
      </w:r>
      <w:r w:rsidRPr="001C5029">
        <w:rPr>
          <w:i/>
          <w:iCs/>
        </w:rPr>
        <w:t>)</w:t>
      </w:r>
    </w:p>
    <w:p w14:paraId="4DA795A4" w14:textId="77777777" w:rsidR="00B9218A" w:rsidRPr="001C5029" w:rsidRDefault="00B9218A" w:rsidP="00B9218A">
      <w:pPr>
        <w:pStyle w:val="H1G"/>
      </w:pPr>
      <w:r w:rsidRPr="001C5029">
        <w:tab/>
      </w:r>
      <w:r w:rsidRPr="001C5029">
        <w:tab/>
        <w:t xml:space="preserve">Chapter </w:t>
      </w:r>
      <w:r>
        <w:t>2.0</w:t>
      </w:r>
    </w:p>
    <w:p w14:paraId="312496BC" w14:textId="77777777" w:rsidR="00B9218A" w:rsidRDefault="00B9218A" w:rsidP="00B9218A">
      <w:pPr>
        <w:pStyle w:val="SingleTxtG"/>
        <w:ind w:left="2268" w:hanging="1134"/>
      </w:pPr>
      <w:r>
        <w:t>2.0.5.2</w:t>
      </w:r>
      <w:r>
        <w:tab/>
        <w:t>Amend to read as follows:</w:t>
      </w:r>
    </w:p>
    <w:p w14:paraId="63B78230" w14:textId="77777777" w:rsidR="00B9218A" w:rsidRDefault="00B9218A" w:rsidP="00B9218A">
      <w:pPr>
        <w:pStyle w:val="SingleTxtG"/>
      </w:pPr>
      <w:r>
        <w:t>“2.0.5.2</w:t>
      </w:r>
      <w:r>
        <w:tab/>
      </w:r>
      <w:r w:rsidRPr="00963080">
        <w:t xml:space="preserve">Such articles may in addition </w:t>
      </w:r>
      <w:r w:rsidRPr="00CF5EEB">
        <w:t>contain [cells or] batteries. Lithium [cells and]</w:t>
      </w:r>
      <w:r>
        <w:t xml:space="preserve"> </w:t>
      </w:r>
      <w:r w:rsidRPr="00963080">
        <w:t>batteries</w:t>
      </w:r>
      <w:r w:rsidRPr="00C542EE">
        <w:t xml:space="preserve"> </w:t>
      </w:r>
      <w:r w:rsidRPr="00963080">
        <w:t>that are integral to the article shall be of a type proven to meet the testing requirements of the Manual of Tests and Criteria, part III, sub-section 38.3</w:t>
      </w:r>
      <w:r w:rsidRPr="00C542EE">
        <w:t>. For articles containing</w:t>
      </w:r>
      <w:r>
        <w:t xml:space="preserve"> </w:t>
      </w:r>
      <w:r w:rsidRPr="00963080">
        <w:t xml:space="preserve">pre-production prototype lithium </w:t>
      </w:r>
      <w:r w:rsidRPr="00C542EE">
        <w:t>cells or</w:t>
      </w:r>
      <w:r>
        <w:t xml:space="preserve"> </w:t>
      </w:r>
      <w:r w:rsidRPr="00963080">
        <w:t xml:space="preserve">batteries </w:t>
      </w:r>
      <w:r w:rsidRPr="00C542EE">
        <w:t>transported for testing,</w:t>
      </w:r>
      <w:r w:rsidRPr="00963080">
        <w:t xml:space="preserve"> or </w:t>
      </w:r>
      <w:r w:rsidRPr="00C542EE">
        <w:t>for articles containing lithium cells or batteries manufactured</w:t>
      </w:r>
      <w:r>
        <w:t xml:space="preserve"> </w:t>
      </w:r>
      <w:r w:rsidRPr="00C542EE">
        <w:t>in</w:t>
      </w:r>
      <w:r w:rsidRPr="00963080">
        <w:t xml:space="preserve"> production run</w:t>
      </w:r>
      <w:r w:rsidRPr="00C542EE">
        <w:t>s</w:t>
      </w:r>
      <w:r w:rsidRPr="00963080">
        <w:t xml:space="preserve"> of not more than 100 </w:t>
      </w:r>
      <w:r w:rsidRPr="00C542EE">
        <w:t xml:space="preserve">cells or batteries, the requirements of special provision 310 </w:t>
      </w:r>
      <w:r>
        <w:t xml:space="preserve">of Chapter 3.3 </w:t>
      </w:r>
      <w:r w:rsidRPr="00C542EE">
        <w:t>shall apply</w:t>
      </w:r>
      <w:r w:rsidRPr="00963080">
        <w:t>.</w:t>
      </w:r>
      <w:r>
        <w:t>”</w:t>
      </w:r>
    </w:p>
    <w:p w14:paraId="120A47C1" w14:textId="77777777" w:rsidR="00B9218A" w:rsidRPr="001C5029" w:rsidRDefault="00B9218A" w:rsidP="00B9218A">
      <w:pPr>
        <w:pStyle w:val="SingleTxtG"/>
        <w:rPr>
          <w:i/>
          <w:iCs/>
        </w:rPr>
      </w:pPr>
      <w:r w:rsidRPr="001C5029">
        <w:rPr>
          <w:i/>
          <w:iCs/>
        </w:rPr>
        <w:t xml:space="preserve">(Reference document: </w:t>
      </w:r>
      <w:r>
        <w:rPr>
          <w:i/>
          <w:iCs/>
        </w:rPr>
        <w:t>informal document INF.51</w:t>
      </w:r>
      <w:r w:rsidRPr="001C5029">
        <w:rPr>
          <w:i/>
          <w:iCs/>
        </w:rPr>
        <w:t>,</w:t>
      </w:r>
      <w:r>
        <w:rPr>
          <w:i/>
          <w:iCs/>
        </w:rPr>
        <w:t xml:space="preserve"> as amended</w:t>
      </w:r>
      <w:r w:rsidRPr="001C5029">
        <w:rPr>
          <w:i/>
          <w:iCs/>
        </w:rPr>
        <w:t>)</w:t>
      </w:r>
    </w:p>
    <w:p w14:paraId="2F6F6233" w14:textId="77777777" w:rsidR="00B9218A" w:rsidRPr="001C5029" w:rsidRDefault="00B9218A" w:rsidP="00B9218A">
      <w:pPr>
        <w:pStyle w:val="H1G"/>
      </w:pPr>
      <w:r w:rsidRPr="001C5029">
        <w:tab/>
      </w:r>
      <w:r w:rsidRPr="001C5029">
        <w:tab/>
        <w:t xml:space="preserve">Chapter </w:t>
      </w:r>
      <w:r>
        <w:t>2.3</w:t>
      </w:r>
    </w:p>
    <w:p w14:paraId="5F170303" w14:textId="77777777" w:rsidR="00B9218A" w:rsidRDefault="00B9218A" w:rsidP="00B9218A">
      <w:pPr>
        <w:pStyle w:val="SingleTxtG"/>
        <w:ind w:left="2268" w:hanging="1134"/>
      </w:pPr>
      <w:r>
        <w:t>2.3.1.4</w:t>
      </w:r>
      <w:r>
        <w:tab/>
        <w:t>In the last sentence, replace “</w:t>
      </w:r>
      <w:r w:rsidRPr="00E31123">
        <w:t>UN 3357 and UN 3379</w:t>
      </w:r>
      <w:r>
        <w:t>” by “</w:t>
      </w:r>
      <w:r w:rsidRPr="00E31123">
        <w:t>UN 3357</w:t>
      </w:r>
      <w:r>
        <w:t>,</w:t>
      </w:r>
      <w:r w:rsidRPr="00E31123">
        <w:t xml:space="preserve"> UN 3379</w:t>
      </w:r>
      <w:r>
        <w:t xml:space="preserve"> and UN 3555”.</w:t>
      </w:r>
    </w:p>
    <w:p w14:paraId="10DB64AE" w14:textId="77777777" w:rsidR="00B9218A" w:rsidRPr="001C5029" w:rsidRDefault="00B9218A" w:rsidP="00B9218A">
      <w:pPr>
        <w:pStyle w:val="SingleTxtG"/>
        <w:rPr>
          <w:i/>
          <w:iCs/>
        </w:rPr>
      </w:pPr>
      <w:r w:rsidRPr="001C5029">
        <w:rPr>
          <w:i/>
          <w:iCs/>
        </w:rPr>
        <w:t xml:space="preserve">(Reference document: </w:t>
      </w:r>
      <w:r>
        <w:rPr>
          <w:i/>
          <w:iCs/>
        </w:rPr>
        <w:t>informal document INF.44</w:t>
      </w:r>
      <w:r w:rsidRPr="001C5029">
        <w:rPr>
          <w:i/>
          <w:iCs/>
        </w:rPr>
        <w:t>,</w:t>
      </w:r>
      <w:r>
        <w:rPr>
          <w:i/>
          <w:iCs/>
        </w:rPr>
        <w:t xml:space="preserve"> amendment 1</w:t>
      </w:r>
      <w:r w:rsidRPr="001C5029">
        <w:rPr>
          <w:i/>
          <w:iCs/>
        </w:rPr>
        <w:t>)</w:t>
      </w:r>
    </w:p>
    <w:p w14:paraId="4BB231D7" w14:textId="77777777" w:rsidR="00B9218A" w:rsidRPr="001C5029" w:rsidRDefault="00B9218A" w:rsidP="00B9218A">
      <w:pPr>
        <w:pStyle w:val="H1G"/>
      </w:pPr>
      <w:r w:rsidRPr="001C5029">
        <w:tab/>
      </w:r>
      <w:r w:rsidRPr="001C5029">
        <w:tab/>
        <w:t>Chapter 2.6</w:t>
      </w:r>
    </w:p>
    <w:p w14:paraId="0E2EDBA7" w14:textId="77777777" w:rsidR="00B9218A" w:rsidRPr="001C5029" w:rsidRDefault="00B9218A" w:rsidP="00B9218A">
      <w:pPr>
        <w:pStyle w:val="SingleTxtG"/>
        <w:ind w:left="2268" w:hanging="1134"/>
      </w:pPr>
      <w:r w:rsidRPr="001C5029">
        <w:t>2.6.3.2.2.1</w:t>
      </w:r>
      <w:r w:rsidRPr="001C5029">
        <w:tab/>
        <w:t>In the table, for UN 2814, in the entry for “Monkeypox virus”, at the end, add “</w:t>
      </w:r>
      <w:r>
        <w:t>(</w:t>
      </w:r>
      <w:r w:rsidRPr="001C5029">
        <w:t>cultures only</w:t>
      </w:r>
      <w:r>
        <w:t>)</w:t>
      </w:r>
      <w:r w:rsidRPr="001C5029">
        <w:t>”.</w:t>
      </w:r>
    </w:p>
    <w:p w14:paraId="36AD4147" w14:textId="77777777" w:rsidR="00B9218A" w:rsidRPr="001C5029" w:rsidRDefault="00B9218A" w:rsidP="00B9218A">
      <w:pPr>
        <w:pStyle w:val="SingleTxtG"/>
        <w:rPr>
          <w:i/>
          <w:iCs/>
        </w:rPr>
      </w:pPr>
      <w:r w:rsidRPr="001C5029">
        <w:rPr>
          <w:i/>
          <w:iCs/>
        </w:rPr>
        <w:t>(Reference document: informal document INF.24)</w:t>
      </w:r>
    </w:p>
    <w:p w14:paraId="2FAE0FB2" w14:textId="77777777" w:rsidR="00B9218A" w:rsidRPr="001C5029" w:rsidRDefault="00B9218A" w:rsidP="00B9218A">
      <w:pPr>
        <w:pStyle w:val="H1G"/>
      </w:pPr>
      <w:r w:rsidRPr="001C5029">
        <w:tab/>
      </w:r>
      <w:r w:rsidRPr="001C5029">
        <w:tab/>
        <w:t xml:space="preserve">Chapter </w:t>
      </w:r>
      <w:r>
        <w:t>2.9</w:t>
      </w:r>
    </w:p>
    <w:p w14:paraId="439CDD68" w14:textId="77777777" w:rsidR="00B9218A" w:rsidRDefault="00B9218A" w:rsidP="00B9218A">
      <w:pPr>
        <w:pStyle w:val="SingleTxtG"/>
        <w:ind w:left="2268" w:hanging="1134"/>
      </w:pPr>
      <w:r>
        <w:t>2.9.2</w:t>
      </w:r>
      <w:r>
        <w:tab/>
        <w:t>Under “</w:t>
      </w:r>
      <w:r w:rsidRPr="00C25D17">
        <w:rPr>
          <w:b/>
          <w:bCs/>
          <w:i/>
          <w:iCs/>
        </w:rPr>
        <w:t>Genetically modified micro-organisms (GMMOs) and genetically modified organisms (GMOs)</w:t>
      </w:r>
      <w:r>
        <w:t>”, before the last paragraph, add the following new paragraph:</w:t>
      </w:r>
    </w:p>
    <w:p w14:paraId="73E6AC08" w14:textId="77777777" w:rsidR="00B9218A" w:rsidRDefault="00B9218A" w:rsidP="00B9218A">
      <w:pPr>
        <w:pStyle w:val="SingleTxtG"/>
      </w:pPr>
      <w:r>
        <w:t>“</w:t>
      </w:r>
      <w:r w:rsidRPr="00C9091D">
        <w:t xml:space="preserve">Pharmaceutical products (such as vaccines) that are packed in a form ready to be administered, including those in clinical trials, and that contain </w:t>
      </w:r>
      <w:proofErr w:type="gramStart"/>
      <w:r w:rsidRPr="00C9091D">
        <w:t>GMMOs</w:t>
      </w:r>
      <w:proofErr w:type="gramEnd"/>
      <w:r w:rsidRPr="00C9091D">
        <w:t xml:space="preserve"> or GMOs are not subject to these Regulations.</w:t>
      </w:r>
      <w:r>
        <w:t>”</w:t>
      </w:r>
    </w:p>
    <w:p w14:paraId="73629328" w14:textId="77777777" w:rsidR="00B9218A" w:rsidRPr="001C5029" w:rsidRDefault="00B9218A" w:rsidP="00B9218A">
      <w:pPr>
        <w:pStyle w:val="SingleTxtG"/>
        <w:rPr>
          <w:i/>
          <w:iCs/>
        </w:rPr>
      </w:pPr>
      <w:r w:rsidRPr="001C5029">
        <w:rPr>
          <w:i/>
          <w:iCs/>
        </w:rPr>
        <w:t xml:space="preserve">(Reference document: </w:t>
      </w:r>
      <w:r>
        <w:rPr>
          <w:i/>
          <w:iCs/>
        </w:rPr>
        <w:t>informal document INF.48</w:t>
      </w:r>
      <w:r w:rsidRPr="001C5029">
        <w:rPr>
          <w:i/>
          <w:iCs/>
        </w:rPr>
        <w:t>)</w:t>
      </w:r>
    </w:p>
    <w:p w14:paraId="27B4673C" w14:textId="77777777" w:rsidR="00B9218A" w:rsidRPr="001C5029" w:rsidRDefault="00B9218A" w:rsidP="00B9218A">
      <w:pPr>
        <w:pStyle w:val="SingleTxtG"/>
        <w:rPr>
          <w:i/>
          <w:iCs/>
        </w:rPr>
      </w:pPr>
      <w:r w:rsidRPr="00B539A3">
        <w:rPr>
          <w:i/>
          <w:iCs/>
        </w:rPr>
        <w:t>(This amendment replaces the amendment in ST/SG/AC.10/C.3/118/Add.11, annex II)</w:t>
      </w:r>
    </w:p>
    <w:p w14:paraId="4EE92C75" w14:textId="77777777" w:rsidR="00B9218A" w:rsidRPr="009F0124" w:rsidRDefault="00B9218A" w:rsidP="00B9218A">
      <w:pPr>
        <w:pStyle w:val="SingleTxtG"/>
        <w:ind w:left="2268" w:hanging="1134"/>
      </w:pPr>
      <w:r w:rsidRPr="009F0124">
        <w:t>2.9.4 (g)</w:t>
      </w:r>
      <w:r w:rsidRPr="009F0124">
        <w:tab/>
        <w:t xml:space="preserve">At the end, </w:t>
      </w:r>
      <w:r>
        <w:t xml:space="preserve">add </w:t>
      </w:r>
      <w:r w:rsidRPr="009F0124">
        <w:t>a new note to read as follows:</w:t>
      </w:r>
    </w:p>
    <w:p w14:paraId="625B5F2A" w14:textId="77777777" w:rsidR="00B9218A" w:rsidRPr="009F0124" w:rsidRDefault="00B9218A" w:rsidP="00B9218A">
      <w:pPr>
        <w:pStyle w:val="SingleTxtG"/>
      </w:pPr>
      <w:r w:rsidRPr="009F0124">
        <w:t>“</w:t>
      </w:r>
      <w:r w:rsidRPr="009F0124">
        <w:rPr>
          <w:b/>
          <w:bCs/>
          <w:i/>
          <w:iCs/>
        </w:rPr>
        <w:t>NOTE:</w:t>
      </w:r>
      <w:r w:rsidRPr="009F0124">
        <w:rPr>
          <w:b/>
          <w:bCs/>
          <w:i/>
          <w:iCs/>
        </w:rPr>
        <w:tab/>
      </w:r>
      <w:r w:rsidRPr="009F0124">
        <w:rPr>
          <w:i/>
          <w:iCs/>
        </w:rPr>
        <w:t xml:space="preserve">The term "make available" means that manufacturers and subsequent distributors </w:t>
      </w:r>
      <w:r w:rsidRPr="00D17A21">
        <w:rPr>
          <w:i/>
          <w:iCs/>
        </w:rPr>
        <w:t>ensure</w:t>
      </w:r>
      <w:r w:rsidRPr="009F0124">
        <w:rPr>
          <w:i/>
          <w:iCs/>
        </w:rPr>
        <w:t xml:space="preserve"> that the test summary for lithium cells or batteries or equipment with installed lithium cells or batteries is accessible so that the consignor or other persons in the supply chain can confirm compliance.</w:t>
      </w:r>
      <w:r w:rsidRPr="009F0124">
        <w:t>”</w:t>
      </w:r>
    </w:p>
    <w:p w14:paraId="665EC637" w14:textId="77777777" w:rsidR="00B9218A" w:rsidRPr="001C5029" w:rsidRDefault="00B9218A" w:rsidP="00B9218A">
      <w:pPr>
        <w:pStyle w:val="SingleTxtG"/>
        <w:rPr>
          <w:i/>
          <w:iCs/>
        </w:rPr>
      </w:pPr>
      <w:r w:rsidRPr="009F0124">
        <w:rPr>
          <w:i/>
          <w:iCs/>
        </w:rPr>
        <w:t>(Reference document: informal document INF.43, as amended)</w:t>
      </w:r>
    </w:p>
    <w:p w14:paraId="5CE724C3" w14:textId="77777777" w:rsidR="00B9218A" w:rsidRPr="001C5029" w:rsidRDefault="00B9218A" w:rsidP="00B9218A">
      <w:pPr>
        <w:pStyle w:val="H1G"/>
      </w:pPr>
      <w:r w:rsidRPr="001C5029">
        <w:tab/>
      </w:r>
      <w:r w:rsidRPr="001C5029">
        <w:tab/>
        <w:t>Chapter 3.2</w:t>
      </w:r>
    </w:p>
    <w:p w14:paraId="2A7A458D" w14:textId="77777777" w:rsidR="00B9218A" w:rsidRPr="001C5029" w:rsidRDefault="00B9218A" w:rsidP="00B9218A">
      <w:pPr>
        <w:pStyle w:val="SingleTxtG"/>
        <w:ind w:left="2268" w:hanging="1134"/>
      </w:pPr>
      <w:r w:rsidRPr="001C5029">
        <w:t>3.2.1</w:t>
      </w:r>
      <w:r w:rsidRPr="001C5029">
        <w:tab/>
        <w:t>In the descriptive text for column 5, first sentence, delete “article or”.</w:t>
      </w:r>
    </w:p>
    <w:p w14:paraId="2FCAFD9A" w14:textId="77777777" w:rsidR="00B9218A" w:rsidRPr="001C5029" w:rsidRDefault="00B9218A" w:rsidP="00B9218A">
      <w:pPr>
        <w:pStyle w:val="SingleTxtG"/>
        <w:rPr>
          <w:i/>
          <w:iCs/>
        </w:rPr>
      </w:pPr>
      <w:r w:rsidRPr="001C5029">
        <w:rPr>
          <w:i/>
          <w:iCs/>
        </w:rPr>
        <w:t>(Reference document: ST/SG/AC.10/C.3/2022/17, proposal 1)</w:t>
      </w:r>
    </w:p>
    <w:p w14:paraId="196FCC72" w14:textId="77777777" w:rsidR="00B9218A" w:rsidRPr="001C5029" w:rsidRDefault="00B9218A" w:rsidP="00B9218A">
      <w:pPr>
        <w:pStyle w:val="H1G"/>
      </w:pPr>
      <w:r w:rsidRPr="001C5029">
        <w:tab/>
      </w:r>
      <w:r w:rsidRPr="001C5029">
        <w:tab/>
        <w:t>Chapter 3.2, dangerous goods list</w:t>
      </w:r>
    </w:p>
    <w:p w14:paraId="71030089" w14:textId="77777777" w:rsidR="00B9218A" w:rsidRPr="001C5029" w:rsidRDefault="00B9218A" w:rsidP="00B9218A">
      <w:pPr>
        <w:pStyle w:val="SingleTxtG"/>
        <w:ind w:left="2268" w:hanging="1134"/>
      </w:pPr>
      <w:r w:rsidRPr="001C5029">
        <w:t>For UN 2028, in column (5), delete “II”.</w:t>
      </w:r>
    </w:p>
    <w:p w14:paraId="1B3880C8" w14:textId="77777777" w:rsidR="00B9218A" w:rsidRPr="001C5029" w:rsidRDefault="00B9218A" w:rsidP="00B9218A">
      <w:pPr>
        <w:pStyle w:val="SingleTxtG"/>
        <w:rPr>
          <w:i/>
          <w:iCs/>
        </w:rPr>
      </w:pPr>
      <w:r w:rsidRPr="001C5029">
        <w:rPr>
          <w:i/>
          <w:iCs/>
        </w:rPr>
        <w:t>(Reference document: ST/SG/AC.10/C.3/2022/17, proposal 2)</w:t>
      </w:r>
    </w:p>
    <w:p w14:paraId="61B1399E" w14:textId="77777777" w:rsidR="00B9218A" w:rsidRPr="001C5029" w:rsidRDefault="00B9218A" w:rsidP="00B9218A">
      <w:pPr>
        <w:pStyle w:val="SingleTxtG"/>
        <w:ind w:left="2268" w:hanging="1134"/>
      </w:pPr>
      <w:r w:rsidRPr="001C5029">
        <w:t>For UN 2803, in column (6), add “365”.</w:t>
      </w:r>
    </w:p>
    <w:p w14:paraId="66FC4EBE" w14:textId="77777777" w:rsidR="00B9218A" w:rsidRPr="001C5029" w:rsidRDefault="00B9218A" w:rsidP="00B9218A">
      <w:pPr>
        <w:pStyle w:val="SingleTxtG"/>
        <w:rPr>
          <w:i/>
          <w:iCs/>
        </w:rPr>
      </w:pPr>
      <w:r w:rsidRPr="001C5029">
        <w:rPr>
          <w:i/>
          <w:iCs/>
        </w:rPr>
        <w:t>(Reference document: ST/SG/AC.10/C.3/2022/44)</w:t>
      </w:r>
    </w:p>
    <w:p w14:paraId="7865C1E3" w14:textId="77777777" w:rsidR="00B9218A" w:rsidRPr="001C5029" w:rsidRDefault="00B9218A" w:rsidP="00B9218A">
      <w:pPr>
        <w:pStyle w:val="SingleTxtG"/>
        <w:ind w:left="2268" w:hanging="1134"/>
      </w:pPr>
      <w:r w:rsidRPr="001C5029">
        <w:t>For UN 2870 (second entry), in column (5), delete “I”.</w:t>
      </w:r>
    </w:p>
    <w:p w14:paraId="72CC0CC2" w14:textId="77777777" w:rsidR="00B9218A" w:rsidRPr="001C5029" w:rsidRDefault="00B9218A" w:rsidP="00B9218A">
      <w:pPr>
        <w:pStyle w:val="SingleTxtG"/>
        <w:rPr>
          <w:i/>
          <w:iCs/>
        </w:rPr>
      </w:pPr>
      <w:r w:rsidRPr="001C5029">
        <w:rPr>
          <w:i/>
          <w:iCs/>
        </w:rPr>
        <w:t>(Reference document: ST/SG/AC.10/C.3/2022/17, proposal 2)</w:t>
      </w:r>
    </w:p>
    <w:p w14:paraId="191272E1" w14:textId="77777777" w:rsidR="00B9218A" w:rsidRPr="001C5029" w:rsidRDefault="00B9218A" w:rsidP="00B9218A">
      <w:pPr>
        <w:pStyle w:val="SingleTxtG"/>
        <w:ind w:left="2268" w:hanging="1134"/>
      </w:pPr>
      <w:r w:rsidRPr="001C5029">
        <w:t>For UN 3165 in column (5), delete “I”.</w:t>
      </w:r>
    </w:p>
    <w:p w14:paraId="73CDD3B6" w14:textId="77777777" w:rsidR="00B9218A" w:rsidRPr="001C5029" w:rsidRDefault="00B9218A" w:rsidP="00B9218A">
      <w:pPr>
        <w:pStyle w:val="SingleTxtG"/>
        <w:rPr>
          <w:i/>
          <w:iCs/>
        </w:rPr>
      </w:pPr>
      <w:r w:rsidRPr="001C5029">
        <w:rPr>
          <w:i/>
          <w:iCs/>
        </w:rPr>
        <w:t>(Reference document: ST/SG/AC.10/C.3/2022/17, proposal 2)</w:t>
      </w:r>
    </w:p>
    <w:p w14:paraId="3A3FF33D" w14:textId="77777777" w:rsidR="00B9218A" w:rsidRDefault="00B9218A" w:rsidP="00B9218A">
      <w:pPr>
        <w:pStyle w:val="SingleTxtG"/>
        <w:ind w:left="2268" w:hanging="1134"/>
      </w:pPr>
      <w:r>
        <w:t xml:space="preserve">For </w:t>
      </w:r>
      <w:r w:rsidRPr="00596DB0">
        <w:t>UN Nos. 3537, 3538, 3540, 3541, 3546, 3547 and 3548</w:t>
      </w:r>
      <w:r>
        <w:t xml:space="preserve">, </w:t>
      </w:r>
      <w:r w:rsidRPr="002F3465">
        <w:t>in column (</w:t>
      </w:r>
      <w:r>
        <w:t>6</w:t>
      </w:r>
      <w:r w:rsidRPr="002F3465">
        <w:t xml:space="preserve">), </w:t>
      </w:r>
      <w:r>
        <w:t>add “310”</w:t>
      </w:r>
      <w:r>
        <w:rPr>
          <w:lang w:val="en-US"/>
        </w:rPr>
        <w:t>.</w:t>
      </w:r>
    </w:p>
    <w:p w14:paraId="42634A65" w14:textId="77777777" w:rsidR="00B9218A" w:rsidRPr="001C5029" w:rsidRDefault="00B9218A" w:rsidP="00B9218A">
      <w:pPr>
        <w:pStyle w:val="SingleTxtG"/>
        <w:rPr>
          <w:i/>
          <w:iCs/>
        </w:rPr>
      </w:pPr>
      <w:r w:rsidRPr="001C5029">
        <w:rPr>
          <w:i/>
          <w:iCs/>
        </w:rPr>
        <w:t xml:space="preserve">(Reference document: </w:t>
      </w:r>
      <w:r>
        <w:rPr>
          <w:i/>
          <w:iCs/>
        </w:rPr>
        <w:t>informal document INF.51</w:t>
      </w:r>
      <w:r w:rsidRPr="001C5029">
        <w:rPr>
          <w:i/>
          <w:iCs/>
        </w:rPr>
        <w:t>)</w:t>
      </w:r>
    </w:p>
    <w:p w14:paraId="7629D95B" w14:textId="77777777" w:rsidR="00B9218A" w:rsidRPr="001C5029" w:rsidRDefault="00B9218A" w:rsidP="00B9218A">
      <w:pPr>
        <w:pStyle w:val="SingleTxtG"/>
        <w:keepNext/>
        <w:ind w:left="2268" w:hanging="1134"/>
      </w:pPr>
      <w:r w:rsidRPr="001C5029">
        <w:t>Add the following new entries: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067"/>
        <w:gridCol w:w="555"/>
        <w:gridCol w:w="555"/>
        <w:gridCol w:w="555"/>
        <w:gridCol w:w="555"/>
        <w:gridCol w:w="555"/>
        <w:gridCol w:w="555"/>
        <w:gridCol w:w="708"/>
        <w:gridCol w:w="711"/>
        <w:gridCol w:w="570"/>
        <w:gridCol w:w="565"/>
      </w:tblGrid>
      <w:tr w:rsidR="00B9218A" w:rsidRPr="001C5029" w14:paraId="37933F5F" w14:textId="77777777" w:rsidTr="00453509">
        <w:trPr>
          <w:jc w:val="center"/>
        </w:trPr>
        <w:tc>
          <w:tcPr>
            <w:tcW w:w="326" w:type="pct"/>
          </w:tcPr>
          <w:p w14:paraId="3E848201"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C5029">
              <w:rPr>
                <w:rFonts w:eastAsia="Times New Roman"/>
                <w:b/>
                <w:bCs/>
                <w:sz w:val="16"/>
                <w:szCs w:val="16"/>
              </w:rPr>
              <w:t>(1)</w:t>
            </w:r>
          </w:p>
        </w:tc>
        <w:tc>
          <w:tcPr>
            <w:tcW w:w="1215" w:type="pct"/>
            <w:vAlign w:val="bottom"/>
          </w:tcPr>
          <w:p w14:paraId="7C7C2345" w14:textId="77777777" w:rsidR="00B9218A" w:rsidRPr="001C5029" w:rsidRDefault="00B9218A" w:rsidP="00453509">
            <w:pPr>
              <w:keepNext/>
              <w:widowControl w:val="0"/>
              <w:suppressAutoHyphens w:val="0"/>
              <w:kinsoku/>
              <w:overflowPunct/>
              <w:adjustRightInd/>
              <w:snapToGrid/>
              <w:spacing w:before="60" w:after="60" w:line="240" w:lineRule="auto"/>
              <w:ind w:left="6" w:right="6"/>
              <w:jc w:val="center"/>
              <w:rPr>
                <w:rFonts w:eastAsia="Times New Roman"/>
                <w:sz w:val="18"/>
                <w:szCs w:val="18"/>
                <w:lang w:eastAsia="en-US"/>
              </w:rPr>
            </w:pPr>
            <w:r w:rsidRPr="001C5029">
              <w:rPr>
                <w:rFonts w:eastAsia="Times New Roman"/>
                <w:b/>
                <w:bCs/>
                <w:sz w:val="16"/>
                <w:szCs w:val="16"/>
              </w:rPr>
              <w:t>(2)</w:t>
            </w:r>
          </w:p>
        </w:tc>
        <w:tc>
          <w:tcPr>
            <w:tcW w:w="326" w:type="pct"/>
            <w:vAlign w:val="bottom"/>
          </w:tcPr>
          <w:p w14:paraId="41621623" w14:textId="77777777" w:rsidR="00B9218A" w:rsidRPr="001C5029" w:rsidRDefault="00B9218A" w:rsidP="00453509">
            <w:pPr>
              <w:keepNext/>
              <w:widowControl w:val="0"/>
              <w:suppressAutoHyphens w:val="0"/>
              <w:kinsoku/>
              <w:overflowPunct/>
              <w:adjustRightInd/>
              <w:snapToGrid/>
              <w:spacing w:before="60" w:after="60" w:line="240" w:lineRule="auto"/>
              <w:ind w:left="127" w:right="126"/>
              <w:jc w:val="center"/>
              <w:rPr>
                <w:rFonts w:eastAsia="Times New Roman"/>
                <w:sz w:val="18"/>
                <w:szCs w:val="18"/>
                <w:lang w:eastAsia="en-US"/>
              </w:rPr>
            </w:pPr>
            <w:r w:rsidRPr="001C5029">
              <w:rPr>
                <w:rFonts w:eastAsia="Times New Roman"/>
                <w:b/>
                <w:bCs/>
                <w:sz w:val="16"/>
                <w:szCs w:val="16"/>
              </w:rPr>
              <w:t>(3)</w:t>
            </w:r>
          </w:p>
        </w:tc>
        <w:tc>
          <w:tcPr>
            <w:tcW w:w="326" w:type="pct"/>
            <w:vAlign w:val="bottom"/>
          </w:tcPr>
          <w:p w14:paraId="6AF81128" w14:textId="77777777" w:rsidR="00B9218A" w:rsidRPr="001C5029" w:rsidRDefault="00B9218A" w:rsidP="00453509">
            <w:pPr>
              <w:keepNext/>
              <w:widowControl w:val="0"/>
              <w:suppressAutoHyphens w:val="0"/>
              <w:kinsoku/>
              <w:overflowPunct/>
              <w:adjustRightInd/>
              <w:snapToGrid/>
              <w:spacing w:before="60" w:after="60" w:line="240" w:lineRule="auto"/>
              <w:ind w:left="107" w:right="107"/>
              <w:jc w:val="center"/>
              <w:rPr>
                <w:rFonts w:eastAsia="Times New Roman"/>
                <w:b/>
                <w:sz w:val="18"/>
                <w:szCs w:val="18"/>
                <w:lang w:eastAsia="en-US"/>
              </w:rPr>
            </w:pPr>
            <w:r w:rsidRPr="001C5029">
              <w:rPr>
                <w:rFonts w:eastAsia="Times New Roman"/>
                <w:b/>
                <w:bCs/>
                <w:sz w:val="16"/>
                <w:szCs w:val="16"/>
              </w:rPr>
              <w:t>(4)</w:t>
            </w:r>
          </w:p>
        </w:tc>
        <w:tc>
          <w:tcPr>
            <w:tcW w:w="326" w:type="pct"/>
            <w:vAlign w:val="bottom"/>
          </w:tcPr>
          <w:p w14:paraId="49B72092" w14:textId="77777777" w:rsidR="00B9218A" w:rsidRPr="001C5029" w:rsidRDefault="00B9218A" w:rsidP="00453509">
            <w:pPr>
              <w:keepNext/>
              <w:widowControl w:val="0"/>
              <w:suppressAutoHyphens w:val="0"/>
              <w:kinsoku/>
              <w:overflowPunct/>
              <w:adjustRightInd/>
              <w:snapToGrid/>
              <w:spacing w:before="60" w:after="60" w:line="240" w:lineRule="auto"/>
              <w:ind w:left="67" w:right="67"/>
              <w:jc w:val="center"/>
              <w:rPr>
                <w:rFonts w:eastAsia="Times New Roman"/>
                <w:bCs/>
                <w:sz w:val="18"/>
                <w:szCs w:val="18"/>
                <w:lang w:eastAsia="en-US"/>
              </w:rPr>
            </w:pPr>
            <w:r w:rsidRPr="001C5029">
              <w:rPr>
                <w:rFonts w:eastAsia="Times New Roman"/>
                <w:b/>
                <w:bCs/>
                <w:sz w:val="16"/>
                <w:szCs w:val="16"/>
              </w:rPr>
              <w:t>(5)</w:t>
            </w:r>
          </w:p>
        </w:tc>
        <w:tc>
          <w:tcPr>
            <w:tcW w:w="326" w:type="pct"/>
            <w:vAlign w:val="bottom"/>
          </w:tcPr>
          <w:p w14:paraId="11695064" w14:textId="77777777" w:rsidR="00B9218A" w:rsidRPr="001C5029" w:rsidRDefault="00B9218A" w:rsidP="00453509">
            <w:pPr>
              <w:keepNext/>
              <w:widowControl w:val="0"/>
              <w:suppressAutoHyphens w:val="0"/>
              <w:kinsoku/>
              <w:overflowPunct/>
              <w:adjustRightInd/>
              <w:snapToGrid/>
              <w:spacing w:before="60" w:after="60" w:line="240" w:lineRule="auto"/>
              <w:ind w:left="106" w:right="102"/>
              <w:jc w:val="center"/>
              <w:rPr>
                <w:rFonts w:eastAsia="Times New Roman"/>
                <w:b/>
                <w:sz w:val="18"/>
                <w:szCs w:val="18"/>
                <w:lang w:eastAsia="en-US"/>
              </w:rPr>
            </w:pPr>
            <w:r w:rsidRPr="001C5029">
              <w:rPr>
                <w:rFonts w:eastAsia="Times New Roman"/>
                <w:b/>
                <w:bCs/>
                <w:sz w:val="16"/>
                <w:szCs w:val="16"/>
              </w:rPr>
              <w:t>(6)</w:t>
            </w:r>
          </w:p>
        </w:tc>
        <w:tc>
          <w:tcPr>
            <w:tcW w:w="326" w:type="pct"/>
            <w:vAlign w:val="bottom"/>
          </w:tcPr>
          <w:p w14:paraId="103DCD85" w14:textId="77777777" w:rsidR="00B9218A" w:rsidRPr="001C5029" w:rsidRDefault="00B9218A" w:rsidP="00453509">
            <w:pPr>
              <w:keepNext/>
              <w:widowControl w:val="0"/>
              <w:suppressAutoHyphens w:val="0"/>
              <w:kinsoku/>
              <w:overflowPunct/>
              <w:adjustRightInd/>
              <w:snapToGrid/>
              <w:spacing w:before="60" w:after="60" w:line="240" w:lineRule="auto"/>
              <w:ind w:left="-15" w:right="16"/>
              <w:jc w:val="center"/>
              <w:rPr>
                <w:rFonts w:eastAsia="Times New Roman"/>
                <w:sz w:val="18"/>
                <w:szCs w:val="18"/>
                <w:lang w:eastAsia="en-US"/>
              </w:rPr>
            </w:pPr>
            <w:r w:rsidRPr="001C5029">
              <w:rPr>
                <w:rFonts w:eastAsia="Times New Roman"/>
                <w:b/>
                <w:bCs/>
                <w:spacing w:val="-5"/>
                <w:sz w:val="16"/>
                <w:szCs w:val="16"/>
              </w:rPr>
              <w:t>(7a)</w:t>
            </w:r>
          </w:p>
        </w:tc>
        <w:tc>
          <w:tcPr>
            <w:tcW w:w="326" w:type="pct"/>
            <w:vAlign w:val="bottom"/>
          </w:tcPr>
          <w:p w14:paraId="2E021BD8"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C5029">
              <w:rPr>
                <w:rFonts w:eastAsia="Times New Roman"/>
                <w:b/>
                <w:bCs/>
                <w:sz w:val="16"/>
                <w:szCs w:val="16"/>
              </w:rPr>
              <w:t>(7b)</w:t>
            </w:r>
          </w:p>
        </w:tc>
        <w:tc>
          <w:tcPr>
            <w:tcW w:w="416" w:type="pct"/>
            <w:vAlign w:val="bottom"/>
          </w:tcPr>
          <w:p w14:paraId="21F2ED9C"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b/>
                <w:bCs/>
                <w:sz w:val="16"/>
                <w:szCs w:val="16"/>
              </w:rPr>
              <w:t>(8)</w:t>
            </w:r>
          </w:p>
        </w:tc>
        <w:tc>
          <w:tcPr>
            <w:tcW w:w="418" w:type="pct"/>
            <w:vAlign w:val="bottom"/>
          </w:tcPr>
          <w:p w14:paraId="7F923FBA"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b/>
                <w:bCs/>
                <w:sz w:val="16"/>
                <w:szCs w:val="16"/>
              </w:rPr>
              <w:t>(9)</w:t>
            </w:r>
          </w:p>
        </w:tc>
        <w:tc>
          <w:tcPr>
            <w:tcW w:w="335" w:type="pct"/>
            <w:vAlign w:val="bottom"/>
          </w:tcPr>
          <w:p w14:paraId="28A3BC68"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b/>
                <w:bCs/>
                <w:sz w:val="16"/>
                <w:szCs w:val="16"/>
              </w:rPr>
              <w:t>(10)</w:t>
            </w:r>
          </w:p>
        </w:tc>
        <w:tc>
          <w:tcPr>
            <w:tcW w:w="332" w:type="pct"/>
            <w:vAlign w:val="bottom"/>
          </w:tcPr>
          <w:p w14:paraId="2C7FA2BF"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b/>
                <w:bCs/>
                <w:sz w:val="16"/>
                <w:szCs w:val="16"/>
              </w:rPr>
              <w:t>(11)</w:t>
            </w:r>
          </w:p>
        </w:tc>
      </w:tr>
      <w:tr w:rsidR="00B9218A" w:rsidRPr="001C5029" w14:paraId="5E0B4678" w14:textId="77777777" w:rsidTr="00453509">
        <w:trPr>
          <w:jc w:val="center"/>
        </w:trPr>
        <w:tc>
          <w:tcPr>
            <w:tcW w:w="326" w:type="pct"/>
          </w:tcPr>
          <w:p w14:paraId="26F2EC04"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C5029">
              <w:rPr>
                <w:rFonts w:eastAsia="Times New Roman"/>
                <w:sz w:val="18"/>
                <w:szCs w:val="18"/>
                <w:lang w:eastAsia="en-US"/>
              </w:rPr>
              <w:t>3553</w:t>
            </w:r>
          </w:p>
        </w:tc>
        <w:tc>
          <w:tcPr>
            <w:tcW w:w="1215" w:type="pct"/>
          </w:tcPr>
          <w:p w14:paraId="50551A63" w14:textId="77777777" w:rsidR="00B9218A" w:rsidRPr="001C5029" w:rsidRDefault="00B9218A" w:rsidP="00453509">
            <w:pPr>
              <w:keepNext/>
              <w:widowControl w:val="0"/>
              <w:suppressAutoHyphens w:val="0"/>
              <w:kinsoku/>
              <w:overflowPunct/>
              <w:adjustRightInd/>
              <w:snapToGrid/>
              <w:spacing w:before="60" w:after="60" w:line="240" w:lineRule="auto"/>
              <w:ind w:left="6" w:right="6"/>
              <w:rPr>
                <w:rFonts w:eastAsia="Times New Roman"/>
                <w:sz w:val="18"/>
                <w:szCs w:val="18"/>
                <w:lang w:eastAsia="en-US"/>
              </w:rPr>
            </w:pPr>
            <w:r w:rsidRPr="001C5029">
              <w:rPr>
                <w:rFonts w:eastAsia="Times New Roman"/>
                <w:sz w:val="18"/>
                <w:szCs w:val="18"/>
                <w:lang w:eastAsia="en-US"/>
              </w:rPr>
              <w:t>DISILANE</w:t>
            </w:r>
          </w:p>
        </w:tc>
        <w:tc>
          <w:tcPr>
            <w:tcW w:w="326" w:type="pct"/>
          </w:tcPr>
          <w:p w14:paraId="6BE225FF" w14:textId="77777777" w:rsidR="00B9218A" w:rsidRPr="001C5029" w:rsidRDefault="00B9218A" w:rsidP="00453509">
            <w:pPr>
              <w:keepNext/>
              <w:widowControl w:val="0"/>
              <w:suppressAutoHyphens w:val="0"/>
              <w:kinsoku/>
              <w:overflowPunct/>
              <w:adjustRightInd/>
              <w:snapToGrid/>
              <w:spacing w:before="60" w:after="60" w:line="240" w:lineRule="auto"/>
              <w:ind w:left="127" w:right="126"/>
              <w:jc w:val="center"/>
              <w:rPr>
                <w:rFonts w:eastAsia="Times New Roman"/>
                <w:sz w:val="18"/>
                <w:szCs w:val="18"/>
                <w:lang w:eastAsia="en-US"/>
              </w:rPr>
            </w:pPr>
            <w:r w:rsidRPr="001C5029">
              <w:rPr>
                <w:rFonts w:eastAsia="Times New Roman"/>
                <w:sz w:val="18"/>
                <w:szCs w:val="18"/>
                <w:lang w:eastAsia="en-US"/>
              </w:rPr>
              <w:t>2.1</w:t>
            </w:r>
          </w:p>
        </w:tc>
        <w:tc>
          <w:tcPr>
            <w:tcW w:w="326" w:type="pct"/>
          </w:tcPr>
          <w:p w14:paraId="5DD8A644" w14:textId="77777777" w:rsidR="00B9218A" w:rsidRPr="001C5029" w:rsidRDefault="00B9218A" w:rsidP="00453509">
            <w:pPr>
              <w:keepNext/>
              <w:widowControl w:val="0"/>
              <w:suppressAutoHyphens w:val="0"/>
              <w:kinsoku/>
              <w:overflowPunct/>
              <w:adjustRightInd/>
              <w:snapToGrid/>
              <w:spacing w:before="60" w:after="60" w:line="240" w:lineRule="auto"/>
              <w:ind w:left="107" w:right="107"/>
              <w:jc w:val="center"/>
              <w:rPr>
                <w:rFonts w:eastAsia="Times New Roman"/>
                <w:sz w:val="18"/>
                <w:szCs w:val="18"/>
                <w:lang w:eastAsia="en-US"/>
              </w:rPr>
            </w:pPr>
          </w:p>
        </w:tc>
        <w:tc>
          <w:tcPr>
            <w:tcW w:w="326" w:type="pct"/>
          </w:tcPr>
          <w:p w14:paraId="5B6F57A4" w14:textId="77777777" w:rsidR="00B9218A" w:rsidRPr="001C5029" w:rsidRDefault="00B9218A" w:rsidP="00453509">
            <w:pPr>
              <w:keepNext/>
              <w:widowControl w:val="0"/>
              <w:suppressAutoHyphens w:val="0"/>
              <w:kinsoku/>
              <w:overflowPunct/>
              <w:adjustRightInd/>
              <w:snapToGrid/>
              <w:spacing w:before="60" w:after="60" w:line="240" w:lineRule="auto"/>
              <w:ind w:left="67" w:right="67"/>
              <w:jc w:val="center"/>
              <w:rPr>
                <w:rFonts w:eastAsia="Times New Roman"/>
                <w:sz w:val="18"/>
                <w:szCs w:val="18"/>
                <w:lang w:eastAsia="en-US"/>
              </w:rPr>
            </w:pPr>
          </w:p>
        </w:tc>
        <w:tc>
          <w:tcPr>
            <w:tcW w:w="326" w:type="pct"/>
          </w:tcPr>
          <w:p w14:paraId="59821FB8" w14:textId="77777777" w:rsidR="00B9218A" w:rsidRPr="001C5029" w:rsidRDefault="00B9218A" w:rsidP="00453509">
            <w:pPr>
              <w:keepNext/>
              <w:widowControl w:val="0"/>
              <w:suppressAutoHyphens w:val="0"/>
              <w:kinsoku/>
              <w:overflowPunct/>
              <w:adjustRightInd/>
              <w:snapToGrid/>
              <w:spacing w:before="60" w:after="60" w:line="240" w:lineRule="auto"/>
              <w:ind w:left="106" w:right="102"/>
              <w:jc w:val="center"/>
              <w:rPr>
                <w:rFonts w:eastAsia="Times New Roman"/>
                <w:sz w:val="18"/>
                <w:szCs w:val="18"/>
                <w:lang w:eastAsia="en-US"/>
              </w:rPr>
            </w:pPr>
          </w:p>
        </w:tc>
        <w:tc>
          <w:tcPr>
            <w:tcW w:w="326" w:type="pct"/>
          </w:tcPr>
          <w:p w14:paraId="7007BA52" w14:textId="77777777" w:rsidR="00B9218A" w:rsidRPr="001C5029" w:rsidRDefault="00B9218A" w:rsidP="00453509">
            <w:pPr>
              <w:keepNext/>
              <w:widowControl w:val="0"/>
              <w:suppressAutoHyphens w:val="0"/>
              <w:kinsoku/>
              <w:overflowPunct/>
              <w:adjustRightInd/>
              <w:snapToGrid/>
              <w:spacing w:before="60" w:after="60" w:line="240" w:lineRule="auto"/>
              <w:ind w:left="-15" w:right="16"/>
              <w:jc w:val="center"/>
              <w:rPr>
                <w:rFonts w:eastAsia="Times New Roman"/>
                <w:sz w:val="18"/>
                <w:szCs w:val="18"/>
                <w:lang w:eastAsia="en-US"/>
              </w:rPr>
            </w:pPr>
            <w:r w:rsidRPr="001C5029">
              <w:rPr>
                <w:rFonts w:eastAsia="Times New Roman"/>
                <w:sz w:val="18"/>
                <w:szCs w:val="18"/>
                <w:lang w:eastAsia="en-US"/>
              </w:rPr>
              <w:t>0</w:t>
            </w:r>
          </w:p>
        </w:tc>
        <w:tc>
          <w:tcPr>
            <w:tcW w:w="326" w:type="pct"/>
          </w:tcPr>
          <w:p w14:paraId="7383CBE1"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C5029">
              <w:rPr>
                <w:rFonts w:eastAsia="Times New Roman"/>
                <w:sz w:val="18"/>
                <w:szCs w:val="18"/>
                <w:lang w:eastAsia="en-US"/>
              </w:rPr>
              <w:t>E0</w:t>
            </w:r>
          </w:p>
        </w:tc>
        <w:tc>
          <w:tcPr>
            <w:tcW w:w="416" w:type="pct"/>
          </w:tcPr>
          <w:p w14:paraId="22316CC1"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sz w:val="18"/>
                <w:szCs w:val="18"/>
                <w:lang w:eastAsia="en-US"/>
              </w:rPr>
              <w:t>P200</w:t>
            </w:r>
          </w:p>
        </w:tc>
        <w:tc>
          <w:tcPr>
            <w:tcW w:w="418" w:type="pct"/>
          </w:tcPr>
          <w:p w14:paraId="5D25DEE2"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c>
          <w:tcPr>
            <w:tcW w:w="335" w:type="pct"/>
          </w:tcPr>
          <w:p w14:paraId="10E47BD7"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c>
          <w:tcPr>
            <w:tcW w:w="332" w:type="pct"/>
          </w:tcPr>
          <w:p w14:paraId="286FA4A0"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r>
      <w:tr w:rsidR="00B9218A" w:rsidRPr="001C5029" w14:paraId="0DF44AFD" w14:textId="77777777" w:rsidTr="00453509">
        <w:trPr>
          <w:jc w:val="center"/>
        </w:trPr>
        <w:tc>
          <w:tcPr>
            <w:tcW w:w="326" w:type="pct"/>
          </w:tcPr>
          <w:p w14:paraId="719B5A35"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C5029">
              <w:rPr>
                <w:rFonts w:eastAsia="Times New Roman"/>
                <w:sz w:val="18"/>
                <w:szCs w:val="18"/>
                <w:lang w:eastAsia="en-US"/>
              </w:rPr>
              <w:t>3554</w:t>
            </w:r>
          </w:p>
        </w:tc>
        <w:tc>
          <w:tcPr>
            <w:tcW w:w="1215" w:type="pct"/>
          </w:tcPr>
          <w:p w14:paraId="6FE0A3AE" w14:textId="77777777" w:rsidR="00B9218A" w:rsidRPr="001C5029" w:rsidRDefault="00B9218A" w:rsidP="00453509">
            <w:pPr>
              <w:keepNext/>
              <w:widowControl w:val="0"/>
              <w:suppressAutoHyphens w:val="0"/>
              <w:kinsoku/>
              <w:overflowPunct/>
              <w:adjustRightInd/>
              <w:snapToGrid/>
              <w:spacing w:before="60" w:after="60" w:line="240" w:lineRule="auto"/>
              <w:ind w:left="6" w:right="6"/>
              <w:rPr>
                <w:rFonts w:eastAsia="Times New Roman"/>
                <w:sz w:val="18"/>
                <w:szCs w:val="18"/>
                <w:lang w:eastAsia="en-US"/>
              </w:rPr>
            </w:pPr>
            <w:r w:rsidRPr="001C5029">
              <w:rPr>
                <w:rFonts w:eastAsia="Times New Roman"/>
                <w:sz w:val="18"/>
                <w:szCs w:val="18"/>
                <w:lang w:eastAsia="en-US"/>
              </w:rPr>
              <w:t>GALLIUM CONTAINED IN MANUFACTURED ARTICLES</w:t>
            </w:r>
          </w:p>
        </w:tc>
        <w:tc>
          <w:tcPr>
            <w:tcW w:w="326" w:type="pct"/>
          </w:tcPr>
          <w:p w14:paraId="17F430F1" w14:textId="77777777" w:rsidR="00B9218A" w:rsidRPr="001C5029" w:rsidRDefault="00B9218A" w:rsidP="00453509">
            <w:pPr>
              <w:keepNext/>
              <w:widowControl w:val="0"/>
              <w:suppressAutoHyphens w:val="0"/>
              <w:kinsoku/>
              <w:overflowPunct/>
              <w:adjustRightInd/>
              <w:snapToGrid/>
              <w:spacing w:before="60" w:after="60" w:line="240" w:lineRule="auto"/>
              <w:ind w:left="127" w:right="126"/>
              <w:jc w:val="center"/>
              <w:rPr>
                <w:rFonts w:eastAsia="Times New Roman"/>
                <w:sz w:val="18"/>
                <w:szCs w:val="18"/>
                <w:lang w:eastAsia="en-US"/>
              </w:rPr>
            </w:pPr>
            <w:r w:rsidRPr="001C5029">
              <w:rPr>
                <w:rFonts w:eastAsia="Times New Roman"/>
                <w:sz w:val="18"/>
                <w:szCs w:val="18"/>
                <w:lang w:eastAsia="en-US"/>
              </w:rPr>
              <w:t>8</w:t>
            </w:r>
          </w:p>
        </w:tc>
        <w:tc>
          <w:tcPr>
            <w:tcW w:w="326" w:type="pct"/>
          </w:tcPr>
          <w:p w14:paraId="0E06423B" w14:textId="77777777" w:rsidR="00B9218A" w:rsidRPr="001C5029" w:rsidRDefault="00B9218A" w:rsidP="00453509">
            <w:pPr>
              <w:keepNext/>
              <w:widowControl w:val="0"/>
              <w:suppressAutoHyphens w:val="0"/>
              <w:kinsoku/>
              <w:overflowPunct/>
              <w:adjustRightInd/>
              <w:snapToGrid/>
              <w:spacing w:before="60" w:after="60" w:line="240" w:lineRule="auto"/>
              <w:ind w:left="107" w:right="107"/>
              <w:jc w:val="center"/>
              <w:rPr>
                <w:rFonts w:eastAsia="Times New Roman"/>
                <w:sz w:val="18"/>
                <w:szCs w:val="18"/>
                <w:lang w:eastAsia="en-US"/>
              </w:rPr>
            </w:pPr>
          </w:p>
        </w:tc>
        <w:tc>
          <w:tcPr>
            <w:tcW w:w="326" w:type="pct"/>
          </w:tcPr>
          <w:p w14:paraId="21277926" w14:textId="77777777" w:rsidR="00B9218A" w:rsidRPr="001C5029" w:rsidRDefault="00B9218A" w:rsidP="00453509">
            <w:pPr>
              <w:keepNext/>
              <w:widowControl w:val="0"/>
              <w:suppressAutoHyphens w:val="0"/>
              <w:kinsoku/>
              <w:overflowPunct/>
              <w:adjustRightInd/>
              <w:snapToGrid/>
              <w:spacing w:before="60" w:after="60" w:line="240" w:lineRule="auto"/>
              <w:ind w:left="67" w:right="67"/>
              <w:jc w:val="center"/>
              <w:rPr>
                <w:rFonts w:eastAsia="Times New Roman"/>
                <w:sz w:val="18"/>
                <w:szCs w:val="18"/>
                <w:lang w:eastAsia="en-US"/>
              </w:rPr>
            </w:pPr>
          </w:p>
        </w:tc>
        <w:tc>
          <w:tcPr>
            <w:tcW w:w="326" w:type="pct"/>
          </w:tcPr>
          <w:p w14:paraId="025F64A0" w14:textId="77777777" w:rsidR="00B9218A" w:rsidRPr="001C5029" w:rsidRDefault="00B9218A" w:rsidP="00453509">
            <w:pPr>
              <w:keepNext/>
              <w:widowControl w:val="0"/>
              <w:suppressAutoHyphens w:val="0"/>
              <w:kinsoku/>
              <w:overflowPunct/>
              <w:adjustRightInd/>
              <w:snapToGrid/>
              <w:spacing w:before="60" w:after="60" w:line="240" w:lineRule="auto"/>
              <w:ind w:left="106" w:right="102"/>
              <w:jc w:val="center"/>
              <w:rPr>
                <w:rFonts w:eastAsia="Times New Roman"/>
                <w:sz w:val="18"/>
                <w:szCs w:val="18"/>
                <w:lang w:eastAsia="en-US"/>
              </w:rPr>
            </w:pPr>
            <w:r w:rsidRPr="001C5029">
              <w:rPr>
                <w:rFonts w:eastAsia="Times New Roman"/>
                <w:sz w:val="18"/>
                <w:szCs w:val="18"/>
                <w:lang w:eastAsia="en-US"/>
              </w:rPr>
              <w:t>366</w:t>
            </w:r>
          </w:p>
        </w:tc>
        <w:tc>
          <w:tcPr>
            <w:tcW w:w="326" w:type="pct"/>
          </w:tcPr>
          <w:p w14:paraId="20A3FBFC" w14:textId="77777777" w:rsidR="00B9218A" w:rsidRPr="001C5029" w:rsidRDefault="00B9218A" w:rsidP="00453509">
            <w:pPr>
              <w:keepNext/>
              <w:widowControl w:val="0"/>
              <w:suppressAutoHyphens w:val="0"/>
              <w:kinsoku/>
              <w:overflowPunct/>
              <w:adjustRightInd/>
              <w:snapToGrid/>
              <w:spacing w:before="60" w:after="60" w:line="240" w:lineRule="auto"/>
              <w:ind w:left="-15" w:right="16"/>
              <w:jc w:val="center"/>
              <w:rPr>
                <w:rFonts w:eastAsia="Times New Roman"/>
                <w:sz w:val="18"/>
                <w:szCs w:val="18"/>
                <w:lang w:eastAsia="en-US"/>
              </w:rPr>
            </w:pPr>
            <w:r w:rsidRPr="001C5029">
              <w:rPr>
                <w:rFonts w:eastAsia="Times New Roman"/>
                <w:sz w:val="18"/>
                <w:szCs w:val="18"/>
                <w:lang w:eastAsia="en-US"/>
              </w:rPr>
              <w:t>5 kg</w:t>
            </w:r>
          </w:p>
        </w:tc>
        <w:tc>
          <w:tcPr>
            <w:tcW w:w="326" w:type="pct"/>
          </w:tcPr>
          <w:p w14:paraId="4E06AC52"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C5029">
              <w:rPr>
                <w:rFonts w:eastAsia="Times New Roman"/>
                <w:sz w:val="18"/>
                <w:szCs w:val="18"/>
                <w:lang w:eastAsia="en-US"/>
              </w:rPr>
              <w:t>E0</w:t>
            </w:r>
          </w:p>
        </w:tc>
        <w:tc>
          <w:tcPr>
            <w:tcW w:w="416" w:type="pct"/>
          </w:tcPr>
          <w:p w14:paraId="710D91FD"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sz w:val="18"/>
                <w:szCs w:val="18"/>
                <w:lang w:eastAsia="en-US"/>
              </w:rPr>
              <w:t>P003</w:t>
            </w:r>
          </w:p>
        </w:tc>
        <w:tc>
          <w:tcPr>
            <w:tcW w:w="418" w:type="pct"/>
          </w:tcPr>
          <w:p w14:paraId="30A68CB3"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C5029">
              <w:rPr>
                <w:rFonts w:eastAsia="Times New Roman"/>
                <w:sz w:val="18"/>
                <w:szCs w:val="18"/>
                <w:lang w:eastAsia="en-US"/>
              </w:rPr>
              <w:t>PP90</w:t>
            </w:r>
          </w:p>
        </w:tc>
        <w:tc>
          <w:tcPr>
            <w:tcW w:w="335" w:type="pct"/>
          </w:tcPr>
          <w:p w14:paraId="00707730"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c>
          <w:tcPr>
            <w:tcW w:w="332" w:type="pct"/>
          </w:tcPr>
          <w:p w14:paraId="75991CD7"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r>
      <w:tr w:rsidR="00B9218A" w:rsidRPr="001C5029" w14:paraId="59615C4C" w14:textId="77777777" w:rsidTr="00453509">
        <w:trPr>
          <w:jc w:val="center"/>
        </w:trPr>
        <w:tc>
          <w:tcPr>
            <w:tcW w:w="326" w:type="pct"/>
          </w:tcPr>
          <w:p w14:paraId="6FED73B2"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B3D79">
              <w:rPr>
                <w:rFonts w:eastAsia="Times New Roman"/>
                <w:sz w:val="18"/>
                <w:szCs w:val="18"/>
                <w:lang w:eastAsia="en-US"/>
              </w:rPr>
              <w:t>3555</w:t>
            </w:r>
          </w:p>
        </w:tc>
        <w:tc>
          <w:tcPr>
            <w:tcW w:w="1215" w:type="pct"/>
          </w:tcPr>
          <w:p w14:paraId="037C5ED1" w14:textId="77777777" w:rsidR="00B9218A" w:rsidRPr="001C5029" w:rsidRDefault="00B9218A" w:rsidP="00453509">
            <w:pPr>
              <w:keepNext/>
              <w:widowControl w:val="0"/>
              <w:suppressAutoHyphens w:val="0"/>
              <w:kinsoku/>
              <w:overflowPunct/>
              <w:adjustRightInd/>
              <w:snapToGrid/>
              <w:spacing w:before="60" w:after="60" w:line="240" w:lineRule="auto"/>
              <w:ind w:left="6" w:right="6"/>
              <w:rPr>
                <w:rFonts w:eastAsia="Times New Roman"/>
                <w:sz w:val="18"/>
                <w:szCs w:val="18"/>
                <w:lang w:eastAsia="en-US"/>
              </w:rPr>
            </w:pPr>
            <w:r w:rsidRPr="001B3D79">
              <w:rPr>
                <w:snapToGrid w:val="0"/>
                <w:sz w:val="18"/>
                <w:szCs w:val="18"/>
              </w:rPr>
              <w:t>TRIFLUOROMETHYLTETRAZOLE-SODIUM SALT IN ACETONE, with not less than 68</w:t>
            </w:r>
            <w:r>
              <w:rPr>
                <w:snapToGrid w:val="0"/>
                <w:sz w:val="18"/>
                <w:szCs w:val="18"/>
              </w:rPr>
              <w:t> </w:t>
            </w:r>
            <w:r w:rsidRPr="001B3D79">
              <w:rPr>
                <w:snapToGrid w:val="0"/>
                <w:sz w:val="18"/>
                <w:szCs w:val="18"/>
              </w:rPr>
              <w:t>% acetone, by mass</w:t>
            </w:r>
          </w:p>
        </w:tc>
        <w:tc>
          <w:tcPr>
            <w:tcW w:w="326" w:type="pct"/>
          </w:tcPr>
          <w:p w14:paraId="554E21CF" w14:textId="77777777" w:rsidR="00B9218A" w:rsidRPr="001C5029" w:rsidRDefault="00B9218A" w:rsidP="00453509">
            <w:pPr>
              <w:keepNext/>
              <w:widowControl w:val="0"/>
              <w:suppressAutoHyphens w:val="0"/>
              <w:kinsoku/>
              <w:overflowPunct/>
              <w:adjustRightInd/>
              <w:snapToGrid/>
              <w:spacing w:before="60" w:after="60" w:line="240" w:lineRule="auto"/>
              <w:ind w:left="127" w:right="126"/>
              <w:jc w:val="center"/>
              <w:rPr>
                <w:rFonts w:eastAsia="Times New Roman"/>
                <w:sz w:val="18"/>
                <w:szCs w:val="18"/>
                <w:lang w:eastAsia="en-US"/>
              </w:rPr>
            </w:pPr>
            <w:r w:rsidRPr="001B3D79">
              <w:rPr>
                <w:sz w:val="18"/>
                <w:szCs w:val="18"/>
              </w:rPr>
              <w:t>3</w:t>
            </w:r>
          </w:p>
        </w:tc>
        <w:tc>
          <w:tcPr>
            <w:tcW w:w="326" w:type="pct"/>
          </w:tcPr>
          <w:p w14:paraId="3173F0A5" w14:textId="77777777" w:rsidR="00B9218A" w:rsidRPr="001C5029" w:rsidRDefault="00B9218A" w:rsidP="00453509">
            <w:pPr>
              <w:keepNext/>
              <w:widowControl w:val="0"/>
              <w:suppressAutoHyphens w:val="0"/>
              <w:kinsoku/>
              <w:overflowPunct/>
              <w:adjustRightInd/>
              <w:snapToGrid/>
              <w:spacing w:before="60" w:after="60" w:line="240" w:lineRule="auto"/>
              <w:ind w:left="107" w:right="107"/>
              <w:jc w:val="center"/>
              <w:rPr>
                <w:rFonts w:eastAsia="Times New Roman"/>
                <w:sz w:val="18"/>
                <w:szCs w:val="18"/>
                <w:lang w:eastAsia="en-US"/>
              </w:rPr>
            </w:pPr>
          </w:p>
        </w:tc>
        <w:tc>
          <w:tcPr>
            <w:tcW w:w="326" w:type="pct"/>
          </w:tcPr>
          <w:p w14:paraId="47E3B9BD" w14:textId="77777777" w:rsidR="00B9218A" w:rsidRPr="001C5029" w:rsidRDefault="00B9218A" w:rsidP="00453509">
            <w:pPr>
              <w:keepNext/>
              <w:widowControl w:val="0"/>
              <w:suppressAutoHyphens w:val="0"/>
              <w:kinsoku/>
              <w:overflowPunct/>
              <w:adjustRightInd/>
              <w:snapToGrid/>
              <w:spacing w:before="60" w:after="60" w:line="240" w:lineRule="auto"/>
              <w:ind w:left="67" w:right="67"/>
              <w:jc w:val="center"/>
              <w:rPr>
                <w:rFonts w:eastAsia="Times New Roman"/>
                <w:sz w:val="18"/>
                <w:szCs w:val="18"/>
                <w:lang w:eastAsia="en-US"/>
              </w:rPr>
            </w:pPr>
            <w:r w:rsidRPr="001B3D79">
              <w:t>II</w:t>
            </w:r>
          </w:p>
        </w:tc>
        <w:tc>
          <w:tcPr>
            <w:tcW w:w="326" w:type="pct"/>
          </w:tcPr>
          <w:p w14:paraId="065972A9" w14:textId="77777777" w:rsidR="00B9218A" w:rsidRPr="001C5029" w:rsidRDefault="00B9218A" w:rsidP="00453509">
            <w:pPr>
              <w:keepNext/>
              <w:widowControl w:val="0"/>
              <w:suppressAutoHyphens w:val="0"/>
              <w:kinsoku/>
              <w:overflowPunct/>
              <w:adjustRightInd/>
              <w:snapToGrid/>
              <w:spacing w:before="60" w:after="60" w:line="240" w:lineRule="auto"/>
              <w:ind w:left="106" w:right="102"/>
              <w:jc w:val="center"/>
              <w:rPr>
                <w:rFonts w:eastAsia="Times New Roman"/>
                <w:sz w:val="18"/>
                <w:szCs w:val="18"/>
                <w:lang w:eastAsia="en-US"/>
              </w:rPr>
            </w:pPr>
            <w:r w:rsidRPr="001B3D79">
              <w:rPr>
                <w:sz w:val="18"/>
                <w:szCs w:val="18"/>
              </w:rPr>
              <w:t xml:space="preserve">28, </w:t>
            </w:r>
            <w:r w:rsidRPr="001B3D79">
              <w:rPr>
                <w:sz w:val="18"/>
                <w:szCs w:val="18"/>
              </w:rPr>
              <w:br/>
              <w:t>132</w:t>
            </w:r>
          </w:p>
        </w:tc>
        <w:tc>
          <w:tcPr>
            <w:tcW w:w="326" w:type="pct"/>
          </w:tcPr>
          <w:p w14:paraId="30907F8F" w14:textId="77777777" w:rsidR="00B9218A" w:rsidRPr="001C5029" w:rsidRDefault="00B9218A" w:rsidP="00453509">
            <w:pPr>
              <w:keepNext/>
              <w:widowControl w:val="0"/>
              <w:suppressAutoHyphens w:val="0"/>
              <w:kinsoku/>
              <w:overflowPunct/>
              <w:adjustRightInd/>
              <w:snapToGrid/>
              <w:spacing w:before="60" w:after="60" w:line="240" w:lineRule="auto"/>
              <w:ind w:left="-15" w:right="16"/>
              <w:jc w:val="center"/>
              <w:rPr>
                <w:rFonts w:eastAsia="Times New Roman"/>
                <w:sz w:val="18"/>
                <w:szCs w:val="18"/>
                <w:lang w:eastAsia="en-US"/>
              </w:rPr>
            </w:pPr>
            <w:r w:rsidRPr="001B3D79">
              <w:rPr>
                <w:sz w:val="18"/>
                <w:szCs w:val="18"/>
              </w:rPr>
              <w:t>0</w:t>
            </w:r>
          </w:p>
        </w:tc>
        <w:tc>
          <w:tcPr>
            <w:tcW w:w="326" w:type="pct"/>
          </w:tcPr>
          <w:p w14:paraId="327A5356" w14:textId="77777777" w:rsidR="00B9218A" w:rsidRPr="001C5029" w:rsidRDefault="00B9218A" w:rsidP="00453509">
            <w:pPr>
              <w:keepNext/>
              <w:widowControl w:val="0"/>
              <w:suppressAutoHyphens w:val="0"/>
              <w:kinsoku/>
              <w:overflowPunct/>
              <w:adjustRightInd/>
              <w:snapToGrid/>
              <w:spacing w:before="60" w:after="60" w:line="240" w:lineRule="auto"/>
              <w:jc w:val="center"/>
              <w:rPr>
                <w:rFonts w:eastAsia="Times New Roman"/>
                <w:sz w:val="18"/>
                <w:szCs w:val="18"/>
                <w:lang w:eastAsia="en-US"/>
              </w:rPr>
            </w:pPr>
            <w:r w:rsidRPr="001B3D79">
              <w:rPr>
                <w:sz w:val="18"/>
                <w:szCs w:val="18"/>
              </w:rPr>
              <w:t>E0</w:t>
            </w:r>
          </w:p>
        </w:tc>
        <w:tc>
          <w:tcPr>
            <w:tcW w:w="416" w:type="pct"/>
          </w:tcPr>
          <w:p w14:paraId="19DBE189"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B3D79">
              <w:rPr>
                <w:sz w:val="18"/>
                <w:szCs w:val="18"/>
              </w:rPr>
              <w:t>P</w:t>
            </w:r>
            <w:r>
              <w:rPr>
                <w:sz w:val="18"/>
                <w:szCs w:val="18"/>
              </w:rPr>
              <w:t>303</w:t>
            </w:r>
          </w:p>
        </w:tc>
        <w:tc>
          <w:tcPr>
            <w:tcW w:w="418" w:type="pct"/>
          </w:tcPr>
          <w:p w14:paraId="23680FB3"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r w:rsidRPr="001B3D79">
              <w:rPr>
                <w:sz w:val="18"/>
                <w:szCs w:val="18"/>
              </w:rPr>
              <w:t>PP26</w:t>
            </w:r>
          </w:p>
        </w:tc>
        <w:tc>
          <w:tcPr>
            <w:tcW w:w="335" w:type="pct"/>
          </w:tcPr>
          <w:p w14:paraId="6A2F1214"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c>
          <w:tcPr>
            <w:tcW w:w="332" w:type="pct"/>
          </w:tcPr>
          <w:p w14:paraId="2AD5711E" w14:textId="77777777" w:rsidR="00B9218A" w:rsidRPr="001C5029" w:rsidRDefault="00B9218A" w:rsidP="00453509">
            <w:pPr>
              <w:keepNext/>
              <w:widowControl w:val="0"/>
              <w:suppressAutoHyphens w:val="0"/>
              <w:kinsoku/>
              <w:overflowPunct/>
              <w:adjustRightInd/>
              <w:snapToGrid/>
              <w:spacing w:before="60" w:after="60" w:line="240" w:lineRule="auto"/>
              <w:ind w:left="141" w:right="141"/>
              <w:jc w:val="center"/>
              <w:rPr>
                <w:rFonts w:eastAsia="Times New Roman"/>
                <w:sz w:val="18"/>
                <w:szCs w:val="18"/>
                <w:lang w:eastAsia="en-US"/>
              </w:rPr>
            </w:pPr>
          </w:p>
        </w:tc>
      </w:tr>
    </w:tbl>
    <w:p w14:paraId="071EA5A1" w14:textId="77777777" w:rsidR="00B9218A" w:rsidRPr="001C5029" w:rsidRDefault="00B9218A" w:rsidP="00B9218A">
      <w:pPr>
        <w:pStyle w:val="SingleTxtG"/>
        <w:spacing w:before="120"/>
        <w:jc w:val="left"/>
        <w:rPr>
          <w:i/>
          <w:iCs/>
        </w:rPr>
      </w:pPr>
      <w:r w:rsidRPr="001C5029">
        <w:rPr>
          <w:i/>
          <w:iCs/>
        </w:rPr>
        <w:t>(Reference documents: ST/SG/AC.10/C.3/2022/19, proposal 1, ST/SG/AC.10/C.3/2022/44</w:t>
      </w:r>
      <w:r>
        <w:rPr>
          <w:i/>
          <w:iCs/>
        </w:rPr>
        <w:t xml:space="preserve"> and informal document INF.44</w:t>
      </w:r>
      <w:r w:rsidRPr="001C5029">
        <w:rPr>
          <w:i/>
          <w:iCs/>
        </w:rPr>
        <w:t>,</w:t>
      </w:r>
      <w:r>
        <w:rPr>
          <w:i/>
          <w:iCs/>
        </w:rPr>
        <w:t xml:space="preserve"> amendment 1</w:t>
      </w:r>
      <w:r w:rsidRPr="001C5029">
        <w:rPr>
          <w:i/>
          <w:iCs/>
        </w:rPr>
        <w:t>)</w:t>
      </w:r>
    </w:p>
    <w:p w14:paraId="3DC4D90C" w14:textId="77777777" w:rsidR="00B9218A" w:rsidRPr="001C5029" w:rsidRDefault="00B9218A" w:rsidP="00B9218A">
      <w:pPr>
        <w:pStyle w:val="H1G"/>
      </w:pPr>
      <w:r w:rsidRPr="001C5029">
        <w:tab/>
      </w:r>
      <w:r w:rsidRPr="001C5029">
        <w:tab/>
        <w:t xml:space="preserve">Chapter </w:t>
      </w:r>
      <w:r>
        <w:t>3.3</w:t>
      </w:r>
    </w:p>
    <w:p w14:paraId="43C766BE" w14:textId="77777777" w:rsidR="00B9218A" w:rsidRDefault="00B9218A" w:rsidP="00B9218A">
      <w:pPr>
        <w:pStyle w:val="SingleTxtG"/>
        <w:ind w:left="2268" w:hanging="1134"/>
      </w:pPr>
      <w:r>
        <w:t>SP 28</w:t>
      </w:r>
      <w:r>
        <w:tab/>
        <w:t>Before “Division 4.1”, add “Class 3 or” and before “2.4.2.4”, add “2.3.1.4 and”.</w:t>
      </w:r>
    </w:p>
    <w:p w14:paraId="53BD6881" w14:textId="77777777" w:rsidR="00B9218A" w:rsidRPr="001C5029" w:rsidRDefault="00B9218A" w:rsidP="00B9218A">
      <w:pPr>
        <w:pStyle w:val="SingleTxtG"/>
        <w:rPr>
          <w:i/>
          <w:iCs/>
        </w:rPr>
      </w:pPr>
      <w:r w:rsidRPr="001C5029">
        <w:rPr>
          <w:i/>
          <w:iCs/>
        </w:rPr>
        <w:t xml:space="preserve">(Reference document: </w:t>
      </w:r>
      <w:r>
        <w:rPr>
          <w:i/>
          <w:iCs/>
        </w:rPr>
        <w:t>informal document INF.44</w:t>
      </w:r>
      <w:r w:rsidRPr="001C5029">
        <w:rPr>
          <w:i/>
          <w:iCs/>
        </w:rPr>
        <w:t>,</w:t>
      </w:r>
      <w:r>
        <w:rPr>
          <w:i/>
          <w:iCs/>
        </w:rPr>
        <w:t xml:space="preserve"> amendment 1</w:t>
      </w:r>
      <w:r w:rsidRPr="001C5029">
        <w:rPr>
          <w:i/>
          <w:iCs/>
        </w:rPr>
        <w:t>)</w:t>
      </w:r>
    </w:p>
    <w:p w14:paraId="245F02C5" w14:textId="77777777" w:rsidR="00B9218A" w:rsidRPr="003627CF" w:rsidRDefault="00B9218A" w:rsidP="00B9218A">
      <w:pPr>
        <w:pStyle w:val="SingleTxtG"/>
        <w:ind w:left="2268" w:hanging="1134"/>
      </w:pPr>
      <w:r w:rsidRPr="003627CF">
        <w:t>SP 310</w:t>
      </w:r>
      <w:r w:rsidRPr="003627CF">
        <w:tab/>
        <w:t>Amend to read as follows:</w:t>
      </w:r>
    </w:p>
    <w:p w14:paraId="6BF9F43D" w14:textId="77777777" w:rsidR="00B9218A" w:rsidRDefault="00B9218A" w:rsidP="00B9218A">
      <w:pPr>
        <w:pStyle w:val="SingleTxtG"/>
        <w:ind w:left="2268" w:hanging="1134"/>
      </w:pPr>
      <w:r>
        <w:t>“310</w:t>
      </w:r>
      <w:r>
        <w:tab/>
        <w:t xml:space="preserve">Cells or batteries from </w:t>
      </w:r>
      <w:r w:rsidRPr="003627CF">
        <w:t>production runs of not</w:t>
      </w:r>
      <w:r>
        <w:t xml:space="preserve"> more than 100 cells or batteries, or pre-production prototypes of cells or batteries when these prototypes are transported for testing, shall meet the provisions of 2.9.4 </w:t>
      </w:r>
      <w:proofErr w:type="gramStart"/>
      <w:r>
        <w:t>with the exception of</w:t>
      </w:r>
      <w:proofErr w:type="gramEnd"/>
      <w:r>
        <w:t xml:space="preserve"> 2.9.4 (a), (e) (vii), (f) (iii) if applicable, (f) (iv) if applicable and (g).</w:t>
      </w:r>
    </w:p>
    <w:p w14:paraId="6F1BBC99" w14:textId="77777777" w:rsidR="00B9218A" w:rsidRDefault="00B9218A" w:rsidP="00B9218A">
      <w:pPr>
        <w:pStyle w:val="SingleTxtG"/>
        <w:ind w:left="2268" w:hanging="1134"/>
      </w:pPr>
      <w:r>
        <w:tab/>
      </w:r>
      <w:r w:rsidRPr="00BD0839">
        <w:rPr>
          <w:b/>
          <w:bCs/>
          <w:i/>
          <w:iCs/>
        </w:rPr>
        <w:t>NOTE:</w:t>
      </w:r>
      <w:r w:rsidRPr="00BD0839">
        <w:rPr>
          <w:i/>
          <w:iCs/>
        </w:rPr>
        <w:tab/>
        <w:t>"Transported for testing" includes, but is not limited to, testing described in the Manual of Tests and Criteria, part III sub-section 38.3, integration testing and product performance testing.</w:t>
      </w:r>
    </w:p>
    <w:p w14:paraId="161F1DEA" w14:textId="77777777" w:rsidR="00B9218A" w:rsidRDefault="00B9218A" w:rsidP="00B9218A">
      <w:pPr>
        <w:pStyle w:val="SingleTxtG"/>
        <w:ind w:left="2268" w:hanging="1134"/>
      </w:pPr>
      <w:r>
        <w:tab/>
        <w:t>These cells and batteries shall be packaged in accordance with packing instruction P910 of 4.1.4.1 or LP905 of 4.1.4.3, as applicable.</w:t>
      </w:r>
    </w:p>
    <w:p w14:paraId="42CB55E0" w14:textId="77777777" w:rsidR="00B9218A" w:rsidRDefault="00B9218A" w:rsidP="00B9218A">
      <w:pPr>
        <w:pStyle w:val="SingleTxtG"/>
        <w:ind w:left="2268" w:hanging="1134"/>
      </w:pPr>
      <w:r>
        <w:tab/>
        <w:t>Articles (UN Nos. 3537, 3538, 3540, 3541, 3546, 3547 or 3548) may contain such cells or batteries provided that the applicable parts of packing instruction P006 of 4.1.4.1 or LP03 of 4.1.4.3, as applicable, are met.</w:t>
      </w:r>
    </w:p>
    <w:p w14:paraId="0DAA513D" w14:textId="77777777" w:rsidR="00B9218A" w:rsidRPr="007D18BC" w:rsidRDefault="00B9218A" w:rsidP="00B9218A">
      <w:pPr>
        <w:pStyle w:val="SingleTxtG"/>
        <w:ind w:left="2268" w:hanging="1134"/>
        <w:rPr>
          <w:highlight w:val="yellow"/>
        </w:rPr>
      </w:pPr>
      <w:r>
        <w:tab/>
        <w:t>The transport document shall include the following statement: “Transport in accordance with special provision 310”</w:t>
      </w:r>
    </w:p>
    <w:p w14:paraId="59FB42FC" w14:textId="77777777" w:rsidR="00B9218A" w:rsidRPr="001C5029" w:rsidRDefault="00B9218A" w:rsidP="00B9218A">
      <w:pPr>
        <w:pStyle w:val="SingleTxtG"/>
        <w:rPr>
          <w:i/>
          <w:iCs/>
        </w:rPr>
      </w:pPr>
      <w:r w:rsidRPr="003627CF">
        <w:rPr>
          <w:i/>
          <w:iCs/>
        </w:rPr>
        <w:t>(Reference document: informal document INF.51, as amended)</w:t>
      </w:r>
    </w:p>
    <w:p w14:paraId="1745B5BC" w14:textId="77777777" w:rsidR="00B9218A" w:rsidRPr="001C5029" w:rsidRDefault="00B9218A" w:rsidP="00B9218A">
      <w:pPr>
        <w:pStyle w:val="SingleTxtG"/>
        <w:rPr>
          <w:i/>
          <w:iCs/>
        </w:rPr>
      </w:pPr>
      <w:r w:rsidRPr="00B539A3">
        <w:rPr>
          <w:i/>
          <w:iCs/>
        </w:rPr>
        <w:t>(This amendment replaces the amendment in ST/SG/AC.10/C.3/118/Add.11, annex II)</w:t>
      </w:r>
    </w:p>
    <w:p w14:paraId="6859AE42" w14:textId="77777777" w:rsidR="00B9218A" w:rsidRPr="00A87C71" w:rsidRDefault="00B9218A" w:rsidP="00B9218A">
      <w:pPr>
        <w:pStyle w:val="SingleTxtG"/>
        <w:ind w:left="2268" w:hanging="1134"/>
        <w:rPr>
          <w:lang w:val="en-US"/>
        </w:rPr>
      </w:pPr>
      <w:r w:rsidRPr="003627CF">
        <w:t>SP 3</w:t>
      </w:r>
      <w:r>
        <w:t>63</w:t>
      </w:r>
      <w:r w:rsidRPr="003627CF">
        <w:tab/>
      </w:r>
      <w:r>
        <w:t xml:space="preserve">In (f), first paragraph, amend the second sentence to read </w:t>
      </w:r>
      <w:r>
        <w:rPr>
          <w:lang w:val="en-US"/>
        </w:rPr>
        <w:t>“</w:t>
      </w:r>
      <w:r w:rsidRPr="005D17A9">
        <w:rPr>
          <w:lang w:val="en-US"/>
        </w:rPr>
        <w:t>However, lithium batteries shall meet the provisions of 2.9.4, except that 2.9.4 (a), (e) (vii), (f) (iii) if applicable, (f) (iv) if applicable and (g) do not apply when batteries of a production run of not more than 100 cells or batteries, or pre-production prototypes of cells or batteries when these prototypes are transported for testing, are installed in machinery or engines.</w:t>
      </w:r>
      <w:r>
        <w:rPr>
          <w:lang w:val="en-US"/>
        </w:rPr>
        <w:t>”.</w:t>
      </w:r>
    </w:p>
    <w:p w14:paraId="537F0652" w14:textId="77777777" w:rsidR="00B9218A" w:rsidRPr="001C5029" w:rsidRDefault="00B9218A" w:rsidP="00B9218A">
      <w:pPr>
        <w:pStyle w:val="SingleTxtG"/>
        <w:rPr>
          <w:i/>
          <w:iCs/>
        </w:rPr>
      </w:pPr>
      <w:r w:rsidRPr="003627CF">
        <w:rPr>
          <w:i/>
          <w:iCs/>
        </w:rPr>
        <w:t>(Reference document: informal document INF.51, as amended)</w:t>
      </w:r>
    </w:p>
    <w:p w14:paraId="4B226AA7" w14:textId="77777777" w:rsidR="00B9218A" w:rsidRPr="001C5029" w:rsidRDefault="00B9218A" w:rsidP="00B9218A">
      <w:pPr>
        <w:pStyle w:val="SingleTxtG"/>
        <w:ind w:left="2268" w:hanging="1134"/>
      </w:pPr>
      <w:r w:rsidRPr="001C5029">
        <w:t>SP 365</w:t>
      </w:r>
      <w:r w:rsidRPr="001C5029">
        <w:tab/>
        <w:t>After “mercury”, add “or gallium”. Replace “UN 3506” by “UN Nos. 3506 or 3554, as appropriate”.</w:t>
      </w:r>
    </w:p>
    <w:p w14:paraId="026273F8" w14:textId="77777777" w:rsidR="00B9218A" w:rsidRPr="001C5029" w:rsidRDefault="00B9218A" w:rsidP="00B9218A">
      <w:pPr>
        <w:pStyle w:val="SingleTxtG"/>
        <w:rPr>
          <w:i/>
          <w:iCs/>
        </w:rPr>
      </w:pPr>
      <w:r w:rsidRPr="001C5029">
        <w:rPr>
          <w:i/>
          <w:iCs/>
        </w:rPr>
        <w:t>(Reference document: ST/SG/AC.10/C.3/2022/44, as amended)</w:t>
      </w:r>
    </w:p>
    <w:p w14:paraId="1607A8C5" w14:textId="77777777" w:rsidR="00B9218A" w:rsidRPr="001C5029" w:rsidRDefault="00B9218A" w:rsidP="00B9218A">
      <w:pPr>
        <w:pStyle w:val="SingleTxtG"/>
        <w:ind w:left="2268" w:hanging="1134"/>
      </w:pPr>
      <w:r w:rsidRPr="001C5029">
        <w:t>SP 366</w:t>
      </w:r>
      <w:r w:rsidRPr="001C5029">
        <w:tab/>
        <w:t>In the first sentence, after “mercury”, add “or gallium”. [In the second sentence, after “mercury”, add “or gallium”.]</w:t>
      </w:r>
    </w:p>
    <w:p w14:paraId="3EE23F79" w14:textId="77777777" w:rsidR="00B9218A" w:rsidRPr="001C5029" w:rsidRDefault="00B9218A" w:rsidP="00B9218A">
      <w:pPr>
        <w:pStyle w:val="SingleTxtG"/>
        <w:rPr>
          <w:i/>
          <w:iCs/>
        </w:rPr>
      </w:pPr>
      <w:r w:rsidRPr="001C5029">
        <w:rPr>
          <w:i/>
          <w:iCs/>
        </w:rPr>
        <w:t>(Reference document: ST/SG/AC.10/C.3/2022/44)</w:t>
      </w:r>
    </w:p>
    <w:p w14:paraId="08A9CE64" w14:textId="77777777" w:rsidR="00B9218A" w:rsidRPr="001C5029" w:rsidRDefault="00B9218A" w:rsidP="00B9218A">
      <w:pPr>
        <w:pStyle w:val="SingleTxtG"/>
        <w:ind w:left="2268" w:hanging="1134"/>
      </w:pPr>
      <w:r w:rsidRPr="001C5029">
        <w:t>SP 379</w:t>
      </w:r>
      <w:r w:rsidRPr="001C5029">
        <w:tab/>
        <w:t>In (d) (</w:t>
      </w:r>
      <w:proofErr w:type="spellStart"/>
      <w:r w:rsidRPr="001C5029">
        <w:t>i</w:t>
      </w:r>
      <w:proofErr w:type="spellEnd"/>
      <w:r w:rsidRPr="001C5029">
        <w:t xml:space="preserve">), replace “ISO 11114-1:2012 + A1:2017” by “ISO 11114-1:2012 + </w:t>
      </w:r>
      <w:proofErr w:type="spellStart"/>
      <w:r w:rsidRPr="001C5029">
        <w:t>Amd</w:t>
      </w:r>
      <w:proofErr w:type="spellEnd"/>
      <w:r w:rsidRPr="001C5029">
        <w:t xml:space="preserve"> 1:2017”.</w:t>
      </w:r>
    </w:p>
    <w:p w14:paraId="755F861A" w14:textId="77777777" w:rsidR="00B9218A" w:rsidRPr="001C5029" w:rsidRDefault="00B9218A" w:rsidP="00B9218A">
      <w:pPr>
        <w:pStyle w:val="SingleTxtG"/>
        <w:rPr>
          <w:i/>
          <w:iCs/>
        </w:rPr>
      </w:pPr>
      <w:r w:rsidRPr="001C5029">
        <w:rPr>
          <w:i/>
          <w:iCs/>
        </w:rPr>
        <w:t>(Reference document: ST/SG/AC.10/C.3/2022/14, proposal on editorial amendments)</w:t>
      </w:r>
    </w:p>
    <w:p w14:paraId="6CA880FD" w14:textId="77777777" w:rsidR="00B9218A" w:rsidRDefault="00B9218A" w:rsidP="00B9218A">
      <w:pPr>
        <w:pStyle w:val="SingleTxtG"/>
        <w:ind w:left="2268" w:hanging="1134"/>
        <w:rPr>
          <w:lang w:val="en-US"/>
        </w:rPr>
      </w:pPr>
      <w:r w:rsidRPr="00061081">
        <w:t>SP 388</w:t>
      </w:r>
      <w:r w:rsidRPr="00061081">
        <w:tab/>
        <w:t xml:space="preserve">In the eighth paragraph, amend the second sentence to read </w:t>
      </w:r>
      <w:r w:rsidRPr="00061081">
        <w:rPr>
          <w:lang w:val="en-US"/>
        </w:rPr>
        <w:t>“However, lithium batteries shall meet the provisions of 2.9.4, except that 2.9.4 (a), (e) (vii), (f) (iii) if applicable, (f) (iv) if applicable and (g) do not apply when batteries of a production run of not more than 100 cells or batteries, or pre-production prototypes of cells or batteries when these prototypes are transported for testing, are installed in machinery or engines.”.</w:t>
      </w:r>
    </w:p>
    <w:p w14:paraId="17695955" w14:textId="77777777" w:rsidR="00B9218A" w:rsidRPr="00A87C71" w:rsidRDefault="00B9218A" w:rsidP="00B9218A">
      <w:pPr>
        <w:pStyle w:val="SingleTxtG"/>
        <w:ind w:left="2268" w:hanging="1134"/>
        <w:rPr>
          <w:lang w:val="en-US"/>
        </w:rPr>
      </w:pPr>
      <w:r>
        <w:rPr>
          <w:lang w:val="en-US"/>
        </w:rPr>
        <w:tab/>
        <w:t>In the last paragraph, delete “or equipment” (twice).</w:t>
      </w:r>
    </w:p>
    <w:p w14:paraId="3F94C940" w14:textId="77777777" w:rsidR="00B9218A" w:rsidRPr="001C5029" w:rsidRDefault="00B9218A" w:rsidP="00B9218A">
      <w:pPr>
        <w:pStyle w:val="SingleTxtG"/>
        <w:rPr>
          <w:i/>
          <w:iCs/>
        </w:rPr>
      </w:pPr>
      <w:r w:rsidRPr="003627CF">
        <w:rPr>
          <w:i/>
          <w:iCs/>
        </w:rPr>
        <w:t>(Reference document: informal document INF.51, as amended)</w:t>
      </w:r>
    </w:p>
    <w:p w14:paraId="49F97F01" w14:textId="77777777" w:rsidR="00B9218A" w:rsidRPr="001C5029" w:rsidRDefault="00B9218A" w:rsidP="00B9218A">
      <w:pPr>
        <w:pStyle w:val="H1G"/>
      </w:pPr>
      <w:r w:rsidRPr="001C5029">
        <w:tab/>
      </w:r>
      <w:r w:rsidRPr="001C5029">
        <w:tab/>
        <w:t>Alphabetical index</w:t>
      </w:r>
    </w:p>
    <w:p w14:paraId="038A32A4" w14:textId="77777777" w:rsidR="00B9218A" w:rsidRPr="001C5029" w:rsidRDefault="00B9218A" w:rsidP="00B9218A">
      <w:pPr>
        <w:pStyle w:val="SingleTxtG"/>
        <w:ind w:left="2268" w:hanging="1134"/>
      </w:pPr>
      <w:r w:rsidRPr="001C5029">
        <w:t>Add the following new entries in alphabetical order:</w:t>
      </w:r>
    </w:p>
    <w:tbl>
      <w:tblPr>
        <w:tblW w:w="736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038"/>
        <w:gridCol w:w="811"/>
        <w:gridCol w:w="1516"/>
      </w:tblGrid>
      <w:tr w:rsidR="00B9218A" w:rsidRPr="001C5029" w14:paraId="4E32462A" w14:textId="77777777" w:rsidTr="00453509">
        <w:trPr>
          <w:cantSplit/>
          <w:trHeight w:val="403"/>
        </w:trPr>
        <w:tc>
          <w:tcPr>
            <w:tcW w:w="5042" w:type="dxa"/>
            <w:tcBorders>
              <w:top w:val="single" w:sz="4" w:space="0" w:color="auto"/>
              <w:left w:val="single" w:sz="4" w:space="0" w:color="auto"/>
              <w:bottom w:val="single" w:sz="4" w:space="0" w:color="auto"/>
              <w:right w:val="single" w:sz="4" w:space="0" w:color="auto"/>
            </w:tcBorders>
            <w:hideMark/>
          </w:tcPr>
          <w:p w14:paraId="67C578EB" w14:textId="77777777" w:rsidR="00B9218A" w:rsidRPr="001C5029" w:rsidRDefault="00B9218A" w:rsidP="00453509">
            <w:pPr>
              <w:suppressAutoHyphens w:val="0"/>
              <w:kinsoku/>
              <w:overflowPunct/>
              <w:autoSpaceDE/>
              <w:adjustRightInd/>
              <w:snapToGrid/>
              <w:spacing w:before="40" w:after="40" w:line="220" w:lineRule="exact"/>
              <w:ind w:right="113"/>
              <w:rPr>
                <w:sz w:val="18"/>
                <w:szCs w:val="18"/>
                <w:lang w:val="fr-FR" w:eastAsia="en-US"/>
              </w:rPr>
            </w:pPr>
            <w:proofErr w:type="spellStart"/>
            <w:r w:rsidRPr="001C5029">
              <w:t>Butylenes</w:t>
            </w:r>
            <w:proofErr w:type="spellEnd"/>
            <w:r w:rsidRPr="001C5029">
              <w:t xml:space="preserve"> mixture, see</w:t>
            </w:r>
          </w:p>
        </w:tc>
        <w:tc>
          <w:tcPr>
            <w:tcW w:w="812" w:type="dxa"/>
            <w:tcBorders>
              <w:top w:val="single" w:sz="4" w:space="0" w:color="auto"/>
              <w:left w:val="single" w:sz="4" w:space="0" w:color="auto"/>
              <w:bottom w:val="single" w:sz="4" w:space="0" w:color="auto"/>
              <w:right w:val="single" w:sz="4" w:space="0" w:color="auto"/>
            </w:tcBorders>
            <w:hideMark/>
          </w:tcPr>
          <w:p w14:paraId="1DBCCA2E"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sidRPr="001C5029">
              <w:rPr>
                <w:sz w:val="18"/>
                <w:szCs w:val="18"/>
                <w:lang w:val="fr-FR" w:eastAsia="en-US"/>
              </w:rPr>
              <w:t>2.1</w:t>
            </w:r>
          </w:p>
        </w:tc>
        <w:tc>
          <w:tcPr>
            <w:tcW w:w="1517" w:type="dxa"/>
            <w:tcBorders>
              <w:top w:val="single" w:sz="4" w:space="0" w:color="auto"/>
              <w:left w:val="single" w:sz="4" w:space="0" w:color="auto"/>
              <w:bottom w:val="single" w:sz="4" w:space="0" w:color="auto"/>
              <w:right w:val="single" w:sz="4" w:space="0" w:color="auto"/>
            </w:tcBorders>
            <w:hideMark/>
          </w:tcPr>
          <w:p w14:paraId="6EA51562"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sidRPr="001C5029">
              <w:rPr>
                <w:sz w:val="18"/>
                <w:szCs w:val="18"/>
                <w:lang w:val="fr-FR" w:eastAsia="en-US"/>
              </w:rPr>
              <w:t>1012</w:t>
            </w:r>
          </w:p>
        </w:tc>
      </w:tr>
      <w:tr w:rsidR="00B9218A" w:rsidRPr="001C5029" w14:paraId="5CC002AE" w14:textId="77777777" w:rsidTr="00453509">
        <w:trPr>
          <w:cantSplit/>
          <w:trHeight w:val="403"/>
        </w:trPr>
        <w:tc>
          <w:tcPr>
            <w:tcW w:w="5042" w:type="dxa"/>
            <w:tcBorders>
              <w:top w:val="single" w:sz="4" w:space="0" w:color="auto"/>
              <w:left w:val="single" w:sz="4" w:space="0" w:color="auto"/>
              <w:bottom w:val="single" w:sz="4" w:space="0" w:color="auto"/>
              <w:right w:val="single" w:sz="4" w:space="0" w:color="auto"/>
            </w:tcBorders>
            <w:hideMark/>
          </w:tcPr>
          <w:p w14:paraId="79BA92F2" w14:textId="77777777" w:rsidR="00B9218A" w:rsidRPr="001C5029" w:rsidRDefault="00B9218A" w:rsidP="00453509">
            <w:pPr>
              <w:suppressAutoHyphens w:val="0"/>
              <w:kinsoku/>
              <w:overflowPunct/>
              <w:autoSpaceDE/>
              <w:adjustRightInd/>
              <w:snapToGrid/>
              <w:spacing w:before="40" w:after="40" w:line="220" w:lineRule="exact"/>
              <w:ind w:right="113"/>
              <w:rPr>
                <w:sz w:val="18"/>
                <w:szCs w:val="18"/>
                <w:lang w:val="fr-FR" w:eastAsia="en-US"/>
              </w:rPr>
            </w:pPr>
            <w:r w:rsidRPr="001C5029">
              <w:rPr>
                <w:sz w:val="18"/>
                <w:szCs w:val="18"/>
                <w:lang w:val="fr-FR" w:eastAsia="en-US"/>
              </w:rPr>
              <w:t>DISILANE</w:t>
            </w:r>
          </w:p>
        </w:tc>
        <w:tc>
          <w:tcPr>
            <w:tcW w:w="812" w:type="dxa"/>
            <w:tcBorders>
              <w:top w:val="single" w:sz="4" w:space="0" w:color="auto"/>
              <w:left w:val="single" w:sz="4" w:space="0" w:color="auto"/>
              <w:bottom w:val="single" w:sz="4" w:space="0" w:color="auto"/>
              <w:right w:val="single" w:sz="4" w:space="0" w:color="auto"/>
            </w:tcBorders>
            <w:hideMark/>
          </w:tcPr>
          <w:p w14:paraId="05A43804"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sidRPr="001C5029">
              <w:rPr>
                <w:sz w:val="18"/>
                <w:szCs w:val="18"/>
                <w:lang w:val="fr-FR" w:eastAsia="en-US"/>
              </w:rPr>
              <w:t>2.1</w:t>
            </w:r>
          </w:p>
        </w:tc>
        <w:tc>
          <w:tcPr>
            <w:tcW w:w="1517" w:type="dxa"/>
            <w:tcBorders>
              <w:top w:val="single" w:sz="4" w:space="0" w:color="auto"/>
              <w:left w:val="single" w:sz="4" w:space="0" w:color="auto"/>
              <w:bottom w:val="single" w:sz="4" w:space="0" w:color="auto"/>
              <w:right w:val="single" w:sz="4" w:space="0" w:color="auto"/>
            </w:tcBorders>
            <w:hideMark/>
          </w:tcPr>
          <w:p w14:paraId="0805ACBA"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sidRPr="001C5029">
              <w:rPr>
                <w:sz w:val="18"/>
                <w:szCs w:val="18"/>
                <w:lang w:val="fr-FR" w:eastAsia="en-US"/>
              </w:rPr>
              <w:t>3553</w:t>
            </w:r>
          </w:p>
        </w:tc>
      </w:tr>
      <w:tr w:rsidR="00B9218A" w:rsidRPr="001C5029" w14:paraId="61039B9C" w14:textId="77777777" w:rsidTr="00453509">
        <w:trPr>
          <w:cantSplit/>
          <w:trHeight w:val="403"/>
        </w:trPr>
        <w:tc>
          <w:tcPr>
            <w:tcW w:w="5042" w:type="dxa"/>
            <w:tcBorders>
              <w:top w:val="single" w:sz="4" w:space="0" w:color="auto"/>
              <w:left w:val="single" w:sz="4" w:space="0" w:color="auto"/>
              <w:bottom w:val="single" w:sz="4" w:space="0" w:color="auto"/>
              <w:right w:val="single" w:sz="4" w:space="0" w:color="auto"/>
            </w:tcBorders>
            <w:hideMark/>
          </w:tcPr>
          <w:p w14:paraId="4D33C65F" w14:textId="77777777" w:rsidR="00B9218A" w:rsidRPr="001C5029" w:rsidRDefault="00B9218A" w:rsidP="00453509">
            <w:pPr>
              <w:suppressAutoHyphens w:val="0"/>
              <w:kinsoku/>
              <w:overflowPunct/>
              <w:autoSpaceDE/>
              <w:adjustRightInd/>
              <w:snapToGrid/>
              <w:spacing w:before="40" w:after="40" w:line="220" w:lineRule="exact"/>
              <w:ind w:right="113"/>
              <w:rPr>
                <w:sz w:val="18"/>
                <w:szCs w:val="18"/>
                <w:lang w:val="fr-FR" w:eastAsia="en-US"/>
              </w:rPr>
            </w:pPr>
            <w:r w:rsidRPr="001C5029">
              <w:rPr>
                <w:rFonts w:eastAsia="Times New Roman"/>
                <w:sz w:val="18"/>
                <w:szCs w:val="18"/>
              </w:rPr>
              <w:t>GALLIUM CONTAINED IN MANUFACTURED ARTICLES</w:t>
            </w:r>
          </w:p>
        </w:tc>
        <w:tc>
          <w:tcPr>
            <w:tcW w:w="812" w:type="dxa"/>
            <w:tcBorders>
              <w:top w:val="single" w:sz="4" w:space="0" w:color="auto"/>
              <w:left w:val="single" w:sz="4" w:space="0" w:color="auto"/>
              <w:bottom w:val="single" w:sz="4" w:space="0" w:color="auto"/>
              <w:right w:val="single" w:sz="4" w:space="0" w:color="auto"/>
            </w:tcBorders>
            <w:hideMark/>
          </w:tcPr>
          <w:p w14:paraId="564DF956"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sidRPr="001C5029">
              <w:rPr>
                <w:sz w:val="18"/>
                <w:szCs w:val="18"/>
                <w:lang w:val="fr-FR" w:eastAsia="en-US"/>
              </w:rPr>
              <w:t>8</w:t>
            </w:r>
          </w:p>
        </w:tc>
        <w:tc>
          <w:tcPr>
            <w:tcW w:w="1517" w:type="dxa"/>
            <w:tcBorders>
              <w:top w:val="single" w:sz="4" w:space="0" w:color="auto"/>
              <w:left w:val="single" w:sz="4" w:space="0" w:color="auto"/>
              <w:bottom w:val="single" w:sz="4" w:space="0" w:color="auto"/>
              <w:right w:val="single" w:sz="4" w:space="0" w:color="auto"/>
            </w:tcBorders>
            <w:hideMark/>
          </w:tcPr>
          <w:p w14:paraId="08633562"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sidRPr="001C5029">
              <w:rPr>
                <w:sz w:val="18"/>
                <w:szCs w:val="18"/>
                <w:lang w:val="fr-FR" w:eastAsia="en-US"/>
              </w:rPr>
              <w:t>3554</w:t>
            </w:r>
          </w:p>
        </w:tc>
      </w:tr>
      <w:tr w:rsidR="00B9218A" w:rsidRPr="001C5029" w14:paraId="4AD23E54" w14:textId="77777777" w:rsidTr="00453509">
        <w:trPr>
          <w:cantSplit/>
          <w:trHeight w:val="403"/>
        </w:trPr>
        <w:tc>
          <w:tcPr>
            <w:tcW w:w="5042" w:type="dxa"/>
            <w:tcBorders>
              <w:top w:val="single" w:sz="4" w:space="0" w:color="auto"/>
              <w:left w:val="single" w:sz="4" w:space="0" w:color="auto"/>
              <w:bottom w:val="single" w:sz="4" w:space="0" w:color="auto"/>
              <w:right w:val="single" w:sz="4" w:space="0" w:color="auto"/>
            </w:tcBorders>
          </w:tcPr>
          <w:p w14:paraId="6275938D" w14:textId="77777777" w:rsidR="00B9218A" w:rsidRPr="001C5029" w:rsidRDefault="00B9218A" w:rsidP="00453509">
            <w:pPr>
              <w:suppressAutoHyphens w:val="0"/>
              <w:kinsoku/>
              <w:overflowPunct/>
              <w:autoSpaceDE/>
              <w:adjustRightInd/>
              <w:snapToGrid/>
              <w:spacing w:before="40" w:after="40" w:line="220" w:lineRule="exact"/>
              <w:ind w:right="113"/>
              <w:rPr>
                <w:rFonts w:eastAsia="Times New Roman"/>
                <w:sz w:val="18"/>
                <w:szCs w:val="18"/>
              </w:rPr>
            </w:pPr>
            <w:r w:rsidRPr="001B3D79">
              <w:rPr>
                <w:snapToGrid w:val="0"/>
                <w:sz w:val="18"/>
                <w:szCs w:val="18"/>
              </w:rPr>
              <w:t>TRIFLUOROMETHYLTETRAZOLE-SODIUM SALT IN ACETONE, with not less than 68</w:t>
            </w:r>
            <w:r>
              <w:rPr>
                <w:snapToGrid w:val="0"/>
                <w:sz w:val="18"/>
                <w:szCs w:val="18"/>
              </w:rPr>
              <w:t> </w:t>
            </w:r>
            <w:r w:rsidRPr="001B3D79">
              <w:rPr>
                <w:snapToGrid w:val="0"/>
                <w:sz w:val="18"/>
                <w:szCs w:val="18"/>
              </w:rPr>
              <w:t>% acetone, by mass</w:t>
            </w:r>
          </w:p>
        </w:tc>
        <w:tc>
          <w:tcPr>
            <w:tcW w:w="812" w:type="dxa"/>
            <w:tcBorders>
              <w:top w:val="single" w:sz="4" w:space="0" w:color="auto"/>
              <w:left w:val="single" w:sz="4" w:space="0" w:color="auto"/>
              <w:bottom w:val="single" w:sz="4" w:space="0" w:color="auto"/>
              <w:right w:val="single" w:sz="4" w:space="0" w:color="auto"/>
            </w:tcBorders>
          </w:tcPr>
          <w:p w14:paraId="53AA66EE"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Pr>
                <w:sz w:val="18"/>
                <w:szCs w:val="18"/>
                <w:lang w:val="fr-FR" w:eastAsia="en-US"/>
              </w:rPr>
              <w:t>3</w:t>
            </w:r>
          </w:p>
        </w:tc>
        <w:tc>
          <w:tcPr>
            <w:tcW w:w="1517" w:type="dxa"/>
            <w:tcBorders>
              <w:top w:val="single" w:sz="4" w:space="0" w:color="auto"/>
              <w:left w:val="single" w:sz="4" w:space="0" w:color="auto"/>
              <w:bottom w:val="single" w:sz="4" w:space="0" w:color="auto"/>
              <w:right w:val="single" w:sz="4" w:space="0" w:color="auto"/>
            </w:tcBorders>
          </w:tcPr>
          <w:p w14:paraId="4B3BA914" w14:textId="77777777" w:rsidR="00B9218A" w:rsidRPr="001C5029" w:rsidRDefault="00B9218A" w:rsidP="00453509">
            <w:pPr>
              <w:kinsoku/>
              <w:overflowPunct/>
              <w:autoSpaceDE/>
              <w:adjustRightInd/>
              <w:snapToGrid/>
              <w:spacing w:after="120"/>
              <w:ind w:left="284" w:hanging="284"/>
              <w:jc w:val="center"/>
              <w:rPr>
                <w:sz w:val="18"/>
                <w:szCs w:val="18"/>
                <w:lang w:val="fr-FR" w:eastAsia="en-US"/>
              </w:rPr>
            </w:pPr>
            <w:r>
              <w:rPr>
                <w:sz w:val="18"/>
                <w:szCs w:val="18"/>
                <w:lang w:val="fr-FR" w:eastAsia="en-US"/>
              </w:rPr>
              <w:t>3555</w:t>
            </w:r>
          </w:p>
        </w:tc>
      </w:tr>
    </w:tbl>
    <w:p w14:paraId="7EAE0317" w14:textId="1A82BA2A" w:rsidR="00B9218A" w:rsidRPr="001C5029" w:rsidRDefault="00B9218A" w:rsidP="00B9218A">
      <w:pPr>
        <w:pStyle w:val="SingleTxtG"/>
        <w:spacing w:before="120"/>
        <w:rPr>
          <w:i/>
          <w:iCs/>
        </w:rPr>
      </w:pPr>
      <w:r w:rsidRPr="001C5029">
        <w:rPr>
          <w:i/>
          <w:iCs/>
        </w:rPr>
        <w:t>(Reference document: informal document INF.7, as amended, ST/SG/AC.10/C.3/2022/19, consequential amendment, ST/SG/AC.10/C.3/2022/44, consequential amendment</w:t>
      </w:r>
      <w:r>
        <w:rPr>
          <w:i/>
          <w:iCs/>
        </w:rPr>
        <w:t xml:space="preserve"> and informal document INF.44, consequential amendment</w:t>
      </w:r>
      <w:r w:rsidRPr="001C5029">
        <w:rPr>
          <w:i/>
          <w:iCs/>
        </w:rPr>
        <w:t>)</w:t>
      </w:r>
    </w:p>
    <w:p w14:paraId="74B97CBE" w14:textId="77777777" w:rsidR="00B9218A" w:rsidRPr="001C5029" w:rsidRDefault="00B9218A" w:rsidP="00B9218A">
      <w:pPr>
        <w:pStyle w:val="H1G"/>
      </w:pPr>
      <w:r w:rsidRPr="001C5029">
        <w:tab/>
      </w:r>
      <w:r w:rsidRPr="001C5029">
        <w:tab/>
        <w:t>Chapter 4.1</w:t>
      </w:r>
    </w:p>
    <w:p w14:paraId="0AF37ABD" w14:textId="77777777" w:rsidR="00B9218A" w:rsidRDefault="00B9218A" w:rsidP="00B9218A">
      <w:pPr>
        <w:pStyle w:val="SingleTxtG"/>
        <w:ind w:left="2268" w:hanging="1134"/>
      </w:pPr>
      <w:r>
        <w:t>[4.1.1.10 (a)</w:t>
      </w:r>
      <w:r>
        <w:tab/>
        <w:t>The amendment does not apply to the English version.]</w:t>
      </w:r>
    </w:p>
    <w:p w14:paraId="39B865EC"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722AF097" w14:textId="77777777" w:rsidR="00B9218A" w:rsidRPr="001C5029" w:rsidRDefault="00B9218A" w:rsidP="00B9218A">
      <w:pPr>
        <w:pStyle w:val="SingleTxtG"/>
        <w:ind w:left="2268" w:hanging="1134"/>
      </w:pPr>
      <w:r w:rsidRPr="001C5029">
        <w:t>4.1.4.1, P003</w:t>
      </w:r>
      <w:r w:rsidRPr="001C5029">
        <w:tab/>
        <w:t>In special packing provision PP90, replace “UN 3506” by “UN Nos. 3506 and 3554” and after “mercury”, add “or gallium, as appropriate,”.</w:t>
      </w:r>
    </w:p>
    <w:p w14:paraId="745CB33C" w14:textId="77777777" w:rsidR="00B9218A" w:rsidRPr="001C5029" w:rsidRDefault="00B9218A" w:rsidP="00B9218A">
      <w:pPr>
        <w:pStyle w:val="SingleTxtG"/>
        <w:rPr>
          <w:i/>
          <w:iCs/>
        </w:rPr>
      </w:pPr>
      <w:r w:rsidRPr="001C5029">
        <w:rPr>
          <w:i/>
          <w:iCs/>
        </w:rPr>
        <w:t>(Reference document: ST/SG/AC.10/C.3/2022/44, as amended)</w:t>
      </w:r>
    </w:p>
    <w:p w14:paraId="2354F1AB" w14:textId="77777777" w:rsidR="00B9218A" w:rsidRDefault="00B9218A" w:rsidP="00B9218A">
      <w:pPr>
        <w:pStyle w:val="SingleTxtG"/>
        <w:ind w:left="2268" w:hanging="1134"/>
      </w:pPr>
      <w:r w:rsidRPr="001C5029">
        <w:t xml:space="preserve">4.1.4.1, </w:t>
      </w:r>
      <w:r>
        <w:t>P006</w:t>
      </w:r>
      <w:r>
        <w:tab/>
        <w:t>At the end, add a new (5) to read as follows:</w:t>
      </w:r>
    </w:p>
    <w:p w14:paraId="0CC8041E" w14:textId="77777777" w:rsidR="00B9218A" w:rsidRDefault="00B9218A" w:rsidP="00B9218A">
      <w:pPr>
        <w:pStyle w:val="SingleTxtG"/>
        <w:ind w:left="1701" w:hanging="567"/>
      </w:pPr>
      <w:r>
        <w:t>“(5)</w:t>
      </w:r>
      <w:r>
        <w:tab/>
        <w:t>Articles containing pre-production prototype lithium cells or batteries when these prototypes are transported for testing or production runs of not more than 100 lithium cells or batteries that are of a type that have not met the testing requirements of part III, sub-section 38.3 of the Manual of Tests and Criteria, part III sub-section 38.3 shall in addition meet the following:</w:t>
      </w:r>
    </w:p>
    <w:p w14:paraId="7052A1F3" w14:textId="77777777" w:rsidR="00B9218A" w:rsidRDefault="00B9218A" w:rsidP="00B9218A">
      <w:pPr>
        <w:pStyle w:val="SingleTxtG"/>
        <w:ind w:left="2268" w:hanging="567"/>
      </w:pPr>
      <w:r>
        <w:t>(a)</w:t>
      </w:r>
      <w:r>
        <w:tab/>
      </w:r>
      <w:proofErr w:type="spellStart"/>
      <w:r>
        <w:t>Packagings</w:t>
      </w:r>
      <w:proofErr w:type="spellEnd"/>
      <w:r>
        <w:t xml:space="preserve"> shall conform to the requirements in paragraph (1) of this packing </w:t>
      </w:r>
      <w:proofErr w:type="gramStart"/>
      <w:r>
        <w:t>instruction;</w:t>
      </w:r>
      <w:proofErr w:type="gramEnd"/>
    </w:p>
    <w:p w14:paraId="2D1BEA2E" w14:textId="77777777" w:rsidR="00B9218A" w:rsidRDefault="00B9218A" w:rsidP="00B9218A">
      <w:pPr>
        <w:pStyle w:val="SingleTxtG"/>
        <w:ind w:left="2268" w:hanging="567"/>
      </w:pPr>
      <w:r>
        <w:t>(b)</w:t>
      </w:r>
      <w:r>
        <w:tab/>
        <w:t xml:space="preserve">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w:t>
      </w:r>
      <w:proofErr w:type="gramStart"/>
      <w:r>
        <w:t>non-conductive;</w:t>
      </w:r>
      <w:proofErr w:type="gramEnd"/>
    </w:p>
    <w:p w14:paraId="22F3A6C7" w14:textId="77777777" w:rsidR="00B9218A" w:rsidRDefault="00B9218A" w:rsidP="00B9218A">
      <w:pPr>
        <w:pStyle w:val="SingleTxtG"/>
        <w:ind w:left="2268" w:hanging="567"/>
      </w:pPr>
      <w:r>
        <w:t>(c)</w:t>
      </w:r>
      <w:r>
        <w:tab/>
        <w:t xml:space="preserve">Non-combustibility of the cushioning material shall be assessed according to a standard recognized in the country where the packaging is designed or </w:t>
      </w:r>
      <w:proofErr w:type="gramStart"/>
      <w:r>
        <w:t>manufactured;</w:t>
      </w:r>
      <w:proofErr w:type="gramEnd"/>
    </w:p>
    <w:p w14:paraId="7851DF61" w14:textId="77777777" w:rsidR="00B9218A" w:rsidRDefault="00B9218A" w:rsidP="00B9218A">
      <w:pPr>
        <w:pStyle w:val="SingleTxtG"/>
        <w:ind w:left="2268" w:hanging="567"/>
      </w:pPr>
      <w:r>
        <w:t>(d)</w:t>
      </w:r>
      <w:r>
        <w:tab/>
        <w:t>The article may be transported unpackaged under conditions specified by the competent authority. Additional conditions that may be considered in the approval process include, but are not limited to:</w:t>
      </w:r>
    </w:p>
    <w:p w14:paraId="77F38A31" w14:textId="77777777" w:rsidR="00B9218A" w:rsidRDefault="00B9218A" w:rsidP="00B9218A">
      <w:pPr>
        <w:pStyle w:val="SingleTxtG"/>
        <w:ind w:left="2835" w:hanging="567"/>
      </w:pPr>
      <w:r>
        <w:t>(</w:t>
      </w:r>
      <w:proofErr w:type="spellStart"/>
      <w:r>
        <w:t>i</w:t>
      </w:r>
      <w:proofErr w:type="spellEnd"/>
      <w:r>
        <w:t>)</w:t>
      </w:r>
      <w:r>
        <w:tab/>
        <w:t xml:space="preserve">The article shall be strong enough to withstand the shocks and loadings normally encountered during transport, including </w:t>
      </w:r>
      <w:r w:rsidRPr="003931FF">
        <w:t>trans-shipment</w:t>
      </w:r>
      <w:r>
        <w:t xml:space="preserve"> between cargo transport units and between cargo transport units and warehouses as well as any removal from a pallet for subsequent manual or mechanical handling; and</w:t>
      </w:r>
    </w:p>
    <w:p w14:paraId="550960AD" w14:textId="77777777" w:rsidR="00B9218A" w:rsidRDefault="00B9218A" w:rsidP="00B9218A">
      <w:pPr>
        <w:pStyle w:val="SingleTxtG"/>
        <w:ind w:left="2835" w:hanging="567"/>
      </w:pPr>
      <w:r>
        <w:t>(ii)</w:t>
      </w:r>
      <w:r>
        <w:tab/>
        <w:t>The article shall be fixed in cradles or crates or other handling devices in such a way that it will not become loose during normal conditions of transport.”</w:t>
      </w:r>
    </w:p>
    <w:p w14:paraId="63CEB5D2" w14:textId="77777777" w:rsidR="00B9218A" w:rsidRPr="001C5029" w:rsidRDefault="00B9218A" w:rsidP="00B9218A">
      <w:pPr>
        <w:pStyle w:val="SingleTxtG"/>
        <w:rPr>
          <w:i/>
          <w:iCs/>
        </w:rPr>
      </w:pPr>
      <w:r w:rsidRPr="001C5029">
        <w:rPr>
          <w:i/>
          <w:iCs/>
        </w:rPr>
        <w:t xml:space="preserve">(Reference document: </w:t>
      </w:r>
      <w:r>
        <w:rPr>
          <w:i/>
          <w:iCs/>
        </w:rPr>
        <w:t>informal document INF.51</w:t>
      </w:r>
      <w:r w:rsidRPr="001C5029">
        <w:rPr>
          <w:i/>
          <w:iCs/>
        </w:rPr>
        <w:t>)</w:t>
      </w:r>
    </w:p>
    <w:p w14:paraId="0C22257D" w14:textId="77777777" w:rsidR="00B9218A" w:rsidRPr="001C5029" w:rsidRDefault="00B9218A" w:rsidP="00B9218A">
      <w:pPr>
        <w:pStyle w:val="SingleTxtG"/>
        <w:keepNext/>
        <w:ind w:left="2268" w:hanging="1134"/>
      </w:pPr>
      <w:r w:rsidRPr="001C5029">
        <w:t>4.1.4.1, P200</w:t>
      </w:r>
      <w:r w:rsidRPr="001C5029">
        <w:tab/>
        <w:t>In table 2, add the following new row:</w:t>
      </w:r>
    </w:p>
    <w:tbl>
      <w:tblPr>
        <w:tblStyle w:val="TableGrid"/>
        <w:tblW w:w="8506" w:type="dxa"/>
        <w:tblInd w:w="1129" w:type="dxa"/>
        <w:tblLayout w:type="fixed"/>
        <w:tblLook w:val="04A0" w:firstRow="1" w:lastRow="0" w:firstColumn="1" w:lastColumn="0" w:noHBand="0" w:noVBand="1"/>
      </w:tblPr>
      <w:tblGrid>
        <w:gridCol w:w="567"/>
        <w:gridCol w:w="1560"/>
        <w:gridCol w:w="531"/>
        <w:gridCol w:w="532"/>
        <w:gridCol w:w="531"/>
        <w:gridCol w:w="532"/>
        <w:gridCol w:w="531"/>
        <w:gridCol w:w="532"/>
        <w:gridCol w:w="532"/>
        <w:gridCol w:w="531"/>
        <w:gridCol w:w="532"/>
        <w:gridCol w:w="531"/>
        <w:gridCol w:w="532"/>
        <w:gridCol w:w="532"/>
      </w:tblGrid>
      <w:tr w:rsidR="00B9218A" w:rsidRPr="001C5029" w14:paraId="4174FB7E" w14:textId="77777777" w:rsidTr="00453509">
        <w:trPr>
          <w:trHeight w:val="1713"/>
        </w:trPr>
        <w:tc>
          <w:tcPr>
            <w:tcW w:w="567" w:type="dxa"/>
            <w:vAlign w:val="center"/>
          </w:tcPr>
          <w:p w14:paraId="1504EAFA" w14:textId="77777777" w:rsidR="00B9218A" w:rsidRPr="001C5029" w:rsidRDefault="00B9218A" w:rsidP="00453509">
            <w:pPr>
              <w:keepNext/>
              <w:jc w:val="center"/>
            </w:pPr>
            <w:r w:rsidRPr="001C5029">
              <w:rPr>
                <w:b/>
                <w:sz w:val="18"/>
                <w:lang w:val="en-GB"/>
              </w:rPr>
              <w:t>UN No.</w:t>
            </w:r>
          </w:p>
        </w:tc>
        <w:tc>
          <w:tcPr>
            <w:tcW w:w="1560" w:type="dxa"/>
            <w:vAlign w:val="center"/>
          </w:tcPr>
          <w:p w14:paraId="78B745FE" w14:textId="77777777" w:rsidR="00B9218A" w:rsidRPr="001C5029" w:rsidRDefault="00B9218A" w:rsidP="00453509">
            <w:pPr>
              <w:keepNext/>
              <w:ind w:firstLine="145"/>
            </w:pPr>
            <w:r w:rsidRPr="001C5029">
              <w:rPr>
                <w:b/>
                <w:sz w:val="18"/>
                <w:lang w:val="en-GB"/>
              </w:rPr>
              <w:t>Name and description</w:t>
            </w:r>
          </w:p>
        </w:tc>
        <w:tc>
          <w:tcPr>
            <w:tcW w:w="531" w:type="dxa"/>
            <w:textDirection w:val="btLr"/>
            <w:vAlign w:val="center"/>
          </w:tcPr>
          <w:p w14:paraId="2A0524ED" w14:textId="77777777" w:rsidR="00B9218A" w:rsidRPr="001C5029" w:rsidRDefault="00B9218A" w:rsidP="00453509">
            <w:pPr>
              <w:keepNext/>
              <w:jc w:val="center"/>
            </w:pPr>
            <w:r w:rsidRPr="001C5029">
              <w:rPr>
                <w:b/>
                <w:sz w:val="18"/>
                <w:lang w:val="en-GB"/>
              </w:rPr>
              <w:t>Class or Division</w:t>
            </w:r>
          </w:p>
        </w:tc>
        <w:tc>
          <w:tcPr>
            <w:tcW w:w="532" w:type="dxa"/>
            <w:textDirection w:val="btLr"/>
            <w:vAlign w:val="center"/>
          </w:tcPr>
          <w:p w14:paraId="2266511F" w14:textId="77777777" w:rsidR="00B9218A" w:rsidRPr="001C5029" w:rsidRDefault="00B9218A" w:rsidP="00453509">
            <w:pPr>
              <w:keepNext/>
              <w:jc w:val="center"/>
            </w:pPr>
            <w:r w:rsidRPr="001C5029">
              <w:rPr>
                <w:b/>
                <w:sz w:val="18"/>
                <w:lang w:val="en-GB"/>
              </w:rPr>
              <w:t>Subsidiary hazard</w:t>
            </w:r>
          </w:p>
        </w:tc>
        <w:tc>
          <w:tcPr>
            <w:tcW w:w="531" w:type="dxa"/>
            <w:textDirection w:val="btLr"/>
            <w:vAlign w:val="center"/>
          </w:tcPr>
          <w:p w14:paraId="4A42CE81" w14:textId="77777777" w:rsidR="00B9218A" w:rsidRPr="001C5029" w:rsidRDefault="00B9218A" w:rsidP="00453509">
            <w:pPr>
              <w:keepNext/>
              <w:jc w:val="center"/>
            </w:pPr>
            <w:r w:rsidRPr="001C5029">
              <w:rPr>
                <w:b/>
                <w:sz w:val="18"/>
                <w:lang w:val="en-GB"/>
              </w:rPr>
              <w:t>LC</w:t>
            </w:r>
            <w:r w:rsidRPr="001C5029">
              <w:rPr>
                <w:b/>
                <w:sz w:val="18"/>
                <w:vertAlign w:val="subscript"/>
                <w:lang w:val="en-GB"/>
              </w:rPr>
              <w:t>50</w:t>
            </w:r>
            <w:r w:rsidRPr="001C5029">
              <w:rPr>
                <w:b/>
                <w:sz w:val="18"/>
                <w:lang w:val="en-GB"/>
              </w:rPr>
              <w:t xml:space="preserve"> (ml/m³)</w:t>
            </w:r>
          </w:p>
        </w:tc>
        <w:tc>
          <w:tcPr>
            <w:tcW w:w="532" w:type="dxa"/>
            <w:textDirection w:val="btLr"/>
            <w:vAlign w:val="center"/>
          </w:tcPr>
          <w:p w14:paraId="7FF90633" w14:textId="77777777" w:rsidR="00B9218A" w:rsidRPr="001C5029" w:rsidRDefault="00B9218A" w:rsidP="00453509">
            <w:pPr>
              <w:keepNext/>
              <w:jc w:val="center"/>
            </w:pPr>
            <w:r w:rsidRPr="001C5029">
              <w:rPr>
                <w:b/>
                <w:sz w:val="18"/>
                <w:lang w:val="en-GB"/>
              </w:rPr>
              <w:t>Cylinders</w:t>
            </w:r>
          </w:p>
        </w:tc>
        <w:tc>
          <w:tcPr>
            <w:tcW w:w="531" w:type="dxa"/>
            <w:textDirection w:val="btLr"/>
            <w:vAlign w:val="center"/>
          </w:tcPr>
          <w:p w14:paraId="0F6FBC7B" w14:textId="77777777" w:rsidR="00B9218A" w:rsidRPr="001C5029" w:rsidRDefault="00B9218A" w:rsidP="00453509">
            <w:pPr>
              <w:keepNext/>
              <w:jc w:val="center"/>
            </w:pPr>
            <w:r w:rsidRPr="001C5029">
              <w:rPr>
                <w:b/>
                <w:sz w:val="18"/>
                <w:lang w:val="en-GB"/>
              </w:rPr>
              <w:t>Tubes</w:t>
            </w:r>
          </w:p>
        </w:tc>
        <w:tc>
          <w:tcPr>
            <w:tcW w:w="532" w:type="dxa"/>
            <w:textDirection w:val="btLr"/>
            <w:vAlign w:val="center"/>
          </w:tcPr>
          <w:p w14:paraId="4C9E682A" w14:textId="77777777" w:rsidR="00B9218A" w:rsidRPr="001C5029" w:rsidRDefault="00B9218A" w:rsidP="00453509">
            <w:pPr>
              <w:keepNext/>
              <w:jc w:val="center"/>
            </w:pPr>
            <w:r w:rsidRPr="001C5029">
              <w:rPr>
                <w:b/>
                <w:sz w:val="18"/>
                <w:lang w:val="en-GB"/>
              </w:rPr>
              <w:t>Pressure drums</w:t>
            </w:r>
          </w:p>
        </w:tc>
        <w:tc>
          <w:tcPr>
            <w:tcW w:w="532" w:type="dxa"/>
            <w:textDirection w:val="btLr"/>
            <w:vAlign w:val="center"/>
          </w:tcPr>
          <w:p w14:paraId="740EF6E9" w14:textId="77777777" w:rsidR="00B9218A" w:rsidRPr="001C5029" w:rsidRDefault="00B9218A" w:rsidP="00453509">
            <w:pPr>
              <w:keepNext/>
              <w:jc w:val="center"/>
            </w:pPr>
            <w:r w:rsidRPr="001C5029">
              <w:rPr>
                <w:b/>
                <w:sz w:val="18"/>
                <w:lang w:val="en-GB"/>
              </w:rPr>
              <w:t>Bundles of cylinders</w:t>
            </w:r>
          </w:p>
        </w:tc>
        <w:tc>
          <w:tcPr>
            <w:tcW w:w="531" w:type="dxa"/>
            <w:textDirection w:val="btLr"/>
            <w:vAlign w:val="center"/>
          </w:tcPr>
          <w:p w14:paraId="7D2338CF" w14:textId="77777777" w:rsidR="00B9218A" w:rsidRPr="001C5029" w:rsidRDefault="00B9218A" w:rsidP="00453509">
            <w:pPr>
              <w:keepNext/>
              <w:jc w:val="center"/>
            </w:pPr>
            <w:r w:rsidRPr="001C5029">
              <w:rPr>
                <w:b/>
                <w:sz w:val="18"/>
                <w:lang w:val="en-GB"/>
              </w:rPr>
              <w:t>MEGCs</w:t>
            </w:r>
          </w:p>
        </w:tc>
        <w:tc>
          <w:tcPr>
            <w:tcW w:w="532" w:type="dxa"/>
            <w:textDirection w:val="btLr"/>
            <w:vAlign w:val="center"/>
          </w:tcPr>
          <w:p w14:paraId="4B475A41" w14:textId="77777777" w:rsidR="00B9218A" w:rsidRPr="001C5029" w:rsidRDefault="00B9218A" w:rsidP="00453509">
            <w:pPr>
              <w:keepNext/>
              <w:jc w:val="center"/>
            </w:pPr>
            <w:r w:rsidRPr="001C5029">
              <w:rPr>
                <w:b/>
                <w:sz w:val="18"/>
                <w:lang w:val="en-GB"/>
              </w:rPr>
              <w:t>Test period (years)</w:t>
            </w:r>
          </w:p>
        </w:tc>
        <w:tc>
          <w:tcPr>
            <w:tcW w:w="531" w:type="dxa"/>
            <w:textDirection w:val="btLr"/>
            <w:vAlign w:val="center"/>
          </w:tcPr>
          <w:p w14:paraId="0B5E4F9A" w14:textId="77777777" w:rsidR="00B9218A" w:rsidRPr="001C5029" w:rsidRDefault="00B9218A" w:rsidP="00453509">
            <w:pPr>
              <w:keepNext/>
              <w:jc w:val="center"/>
            </w:pPr>
            <w:r w:rsidRPr="001C5029">
              <w:rPr>
                <w:b/>
                <w:sz w:val="18"/>
                <w:lang w:val="en-GB"/>
              </w:rPr>
              <w:t>Test pressure (bar)</w:t>
            </w:r>
          </w:p>
        </w:tc>
        <w:tc>
          <w:tcPr>
            <w:tcW w:w="532" w:type="dxa"/>
            <w:textDirection w:val="btLr"/>
            <w:vAlign w:val="center"/>
          </w:tcPr>
          <w:p w14:paraId="3C206E35" w14:textId="77777777" w:rsidR="00B9218A" w:rsidRPr="001C5029" w:rsidRDefault="00B9218A" w:rsidP="00453509">
            <w:pPr>
              <w:keepNext/>
              <w:jc w:val="center"/>
            </w:pPr>
            <w:r w:rsidRPr="001C5029">
              <w:rPr>
                <w:b/>
                <w:sz w:val="18"/>
                <w:lang w:val="en-GB"/>
              </w:rPr>
              <w:t>Filling ratio</w:t>
            </w:r>
          </w:p>
        </w:tc>
        <w:tc>
          <w:tcPr>
            <w:tcW w:w="532" w:type="dxa"/>
            <w:textDirection w:val="btLr"/>
            <w:vAlign w:val="center"/>
          </w:tcPr>
          <w:p w14:paraId="4330C7FD" w14:textId="77777777" w:rsidR="00B9218A" w:rsidRPr="001C5029" w:rsidRDefault="00B9218A" w:rsidP="00453509">
            <w:pPr>
              <w:keepNext/>
              <w:jc w:val="center"/>
            </w:pPr>
            <w:r w:rsidRPr="001C5029">
              <w:rPr>
                <w:b/>
                <w:sz w:val="18"/>
                <w:lang w:val="en-GB"/>
              </w:rPr>
              <w:t>Special packing provisions</w:t>
            </w:r>
          </w:p>
        </w:tc>
      </w:tr>
      <w:tr w:rsidR="00B9218A" w:rsidRPr="001C5029" w14:paraId="04B9920B" w14:textId="77777777" w:rsidTr="00453509">
        <w:trPr>
          <w:trHeight w:val="283"/>
        </w:trPr>
        <w:tc>
          <w:tcPr>
            <w:tcW w:w="567" w:type="dxa"/>
          </w:tcPr>
          <w:p w14:paraId="3FE0EEA9" w14:textId="77777777" w:rsidR="00B9218A" w:rsidRPr="001C5029" w:rsidRDefault="00B9218A" w:rsidP="00453509">
            <w:pPr>
              <w:keepNext/>
              <w:jc w:val="center"/>
              <w:rPr>
                <w:lang w:val="en-GB"/>
              </w:rPr>
            </w:pPr>
            <w:r w:rsidRPr="001C5029">
              <w:rPr>
                <w:lang w:val="en-GB"/>
              </w:rPr>
              <w:t>3553</w:t>
            </w:r>
          </w:p>
        </w:tc>
        <w:tc>
          <w:tcPr>
            <w:tcW w:w="1560" w:type="dxa"/>
          </w:tcPr>
          <w:p w14:paraId="333093B9" w14:textId="77777777" w:rsidR="00B9218A" w:rsidRPr="001C5029" w:rsidRDefault="00B9218A" w:rsidP="00453509">
            <w:pPr>
              <w:keepNext/>
              <w:ind w:firstLine="145"/>
              <w:rPr>
                <w:lang w:val="en-GB"/>
              </w:rPr>
            </w:pPr>
            <w:r w:rsidRPr="001C5029">
              <w:rPr>
                <w:lang w:val="en-GB"/>
              </w:rPr>
              <w:t>DISILANE</w:t>
            </w:r>
          </w:p>
        </w:tc>
        <w:tc>
          <w:tcPr>
            <w:tcW w:w="531" w:type="dxa"/>
          </w:tcPr>
          <w:p w14:paraId="69A0013D" w14:textId="77777777" w:rsidR="00B9218A" w:rsidRPr="001C5029" w:rsidRDefault="00B9218A" w:rsidP="00453509">
            <w:pPr>
              <w:keepNext/>
              <w:jc w:val="center"/>
              <w:rPr>
                <w:lang w:val="en-GB"/>
              </w:rPr>
            </w:pPr>
            <w:r w:rsidRPr="001C5029">
              <w:rPr>
                <w:lang w:val="en-GB"/>
              </w:rPr>
              <w:t>2.1</w:t>
            </w:r>
          </w:p>
        </w:tc>
        <w:tc>
          <w:tcPr>
            <w:tcW w:w="532" w:type="dxa"/>
          </w:tcPr>
          <w:p w14:paraId="3A5C639E" w14:textId="77777777" w:rsidR="00B9218A" w:rsidRPr="001C5029" w:rsidRDefault="00B9218A" w:rsidP="00453509">
            <w:pPr>
              <w:keepNext/>
              <w:jc w:val="center"/>
              <w:rPr>
                <w:lang w:val="en-GB"/>
              </w:rPr>
            </w:pPr>
          </w:p>
        </w:tc>
        <w:tc>
          <w:tcPr>
            <w:tcW w:w="531" w:type="dxa"/>
          </w:tcPr>
          <w:p w14:paraId="056671CE" w14:textId="77777777" w:rsidR="00B9218A" w:rsidRPr="001C5029" w:rsidRDefault="00B9218A" w:rsidP="00453509">
            <w:pPr>
              <w:keepNext/>
              <w:jc w:val="center"/>
              <w:rPr>
                <w:lang w:val="en-GB"/>
              </w:rPr>
            </w:pPr>
          </w:p>
        </w:tc>
        <w:tc>
          <w:tcPr>
            <w:tcW w:w="532" w:type="dxa"/>
          </w:tcPr>
          <w:p w14:paraId="4628914D" w14:textId="77777777" w:rsidR="00B9218A" w:rsidRPr="001C5029" w:rsidRDefault="00B9218A" w:rsidP="00453509">
            <w:pPr>
              <w:keepNext/>
              <w:jc w:val="center"/>
              <w:rPr>
                <w:lang w:val="en-GB"/>
              </w:rPr>
            </w:pPr>
            <w:r w:rsidRPr="001C5029">
              <w:rPr>
                <w:lang w:val="en-GB"/>
              </w:rPr>
              <w:t>X</w:t>
            </w:r>
          </w:p>
        </w:tc>
        <w:tc>
          <w:tcPr>
            <w:tcW w:w="531" w:type="dxa"/>
          </w:tcPr>
          <w:p w14:paraId="1D5B09EC" w14:textId="77777777" w:rsidR="00B9218A" w:rsidRPr="001C5029" w:rsidRDefault="00B9218A" w:rsidP="00453509">
            <w:pPr>
              <w:keepNext/>
              <w:jc w:val="center"/>
              <w:rPr>
                <w:lang w:val="en-GB"/>
              </w:rPr>
            </w:pPr>
            <w:r w:rsidRPr="001C5029">
              <w:rPr>
                <w:lang w:val="en-GB"/>
              </w:rPr>
              <w:t>X</w:t>
            </w:r>
          </w:p>
        </w:tc>
        <w:tc>
          <w:tcPr>
            <w:tcW w:w="532" w:type="dxa"/>
          </w:tcPr>
          <w:p w14:paraId="48985922" w14:textId="77777777" w:rsidR="00B9218A" w:rsidRPr="001C5029" w:rsidRDefault="00B9218A" w:rsidP="00453509">
            <w:pPr>
              <w:keepNext/>
              <w:jc w:val="center"/>
              <w:rPr>
                <w:lang w:val="en-GB"/>
              </w:rPr>
            </w:pPr>
            <w:r w:rsidRPr="001C5029">
              <w:rPr>
                <w:lang w:val="en-GB"/>
              </w:rPr>
              <w:t>X</w:t>
            </w:r>
          </w:p>
        </w:tc>
        <w:tc>
          <w:tcPr>
            <w:tcW w:w="532" w:type="dxa"/>
          </w:tcPr>
          <w:p w14:paraId="17A04240" w14:textId="77777777" w:rsidR="00B9218A" w:rsidRPr="001C5029" w:rsidRDefault="00B9218A" w:rsidP="00453509">
            <w:pPr>
              <w:keepNext/>
              <w:jc w:val="center"/>
              <w:rPr>
                <w:lang w:val="en-GB"/>
              </w:rPr>
            </w:pPr>
            <w:r w:rsidRPr="001C5029">
              <w:rPr>
                <w:lang w:val="en-GB"/>
              </w:rPr>
              <w:t>X</w:t>
            </w:r>
          </w:p>
        </w:tc>
        <w:tc>
          <w:tcPr>
            <w:tcW w:w="531" w:type="dxa"/>
          </w:tcPr>
          <w:p w14:paraId="7A1A3D01" w14:textId="77777777" w:rsidR="00B9218A" w:rsidRPr="001C5029" w:rsidRDefault="00B9218A" w:rsidP="00453509">
            <w:pPr>
              <w:keepNext/>
              <w:jc w:val="center"/>
              <w:rPr>
                <w:lang w:val="en-GB"/>
              </w:rPr>
            </w:pPr>
          </w:p>
        </w:tc>
        <w:tc>
          <w:tcPr>
            <w:tcW w:w="532" w:type="dxa"/>
          </w:tcPr>
          <w:p w14:paraId="5BA35290" w14:textId="77777777" w:rsidR="00B9218A" w:rsidRPr="001C5029" w:rsidRDefault="00B9218A" w:rsidP="00453509">
            <w:pPr>
              <w:keepNext/>
              <w:jc w:val="center"/>
              <w:rPr>
                <w:lang w:val="en-GB"/>
              </w:rPr>
            </w:pPr>
            <w:r w:rsidRPr="001C5029">
              <w:rPr>
                <w:lang w:val="en-GB"/>
              </w:rPr>
              <w:t>10</w:t>
            </w:r>
          </w:p>
        </w:tc>
        <w:tc>
          <w:tcPr>
            <w:tcW w:w="531" w:type="dxa"/>
          </w:tcPr>
          <w:p w14:paraId="23A33A40" w14:textId="77777777" w:rsidR="00B9218A" w:rsidRPr="001C5029" w:rsidRDefault="00B9218A" w:rsidP="00453509">
            <w:pPr>
              <w:keepNext/>
              <w:jc w:val="center"/>
              <w:rPr>
                <w:lang w:val="en-GB"/>
              </w:rPr>
            </w:pPr>
            <w:r w:rsidRPr="001C5029">
              <w:rPr>
                <w:lang w:val="en-GB"/>
              </w:rPr>
              <w:t>225</w:t>
            </w:r>
          </w:p>
        </w:tc>
        <w:tc>
          <w:tcPr>
            <w:tcW w:w="532" w:type="dxa"/>
          </w:tcPr>
          <w:p w14:paraId="47FE7E38" w14:textId="77777777" w:rsidR="00B9218A" w:rsidRPr="001C5029" w:rsidRDefault="00B9218A" w:rsidP="00453509">
            <w:pPr>
              <w:keepNext/>
              <w:jc w:val="center"/>
              <w:rPr>
                <w:lang w:val="en-GB"/>
              </w:rPr>
            </w:pPr>
            <w:r w:rsidRPr="001C5029">
              <w:rPr>
                <w:lang w:val="en-GB"/>
              </w:rPr>
              <w:t>0.39</w:t>
            </w:r>
          </w:p>
        </w:tc>
        <w:tc>
          <w:tcPr>
            <w:tcW w:w="532" w:type="dxa"/>
          </w:tcPr>
          <w:p w14:paraId="093D0370" w14:textId="77777777" w:rsidR="00B9218A" w:rsidRPr="001C5029" w:rsidRDefault="00B9218A" w:rsidP="00453509">
            <w:pPr>
              <w:keepNext/>
              <w:jc w:val="center"/>
              <w:rPr>
                <w:lang w:val="en-GB"/>
              </w:rPr>
            </w:pPr>
            <w:r w:rsidRPr="001C5029">
              <w:rPr>
                <w:lang w:val="en-GB"/>
              </w:rPr>
              <w:t>q</w:t>
            </w:r>
          </w:p>
        </w:tc>
      </w:tr>
    </w:tbl>
    <w:p w14:paraId="5E2465DE" w14:textId="77777777" w:rsidR="00B9218A" w:rsidRPr="001C5029" w:rsidRDefault="00B9218A" w:rsidP="00B9218A">
      <w:pPr>
        <w:pStyle w:val="SingleTxtG"/>
        <w:spacing w:before="120"/>
        <w:rPr>
          <w:i/>
          <w:iCs/>
        </w:rPr>
      </w:pPr>
      <w:r w:rsidRPr="001C5029">
        <w:rPr>
          <w:i/>
          <w:iCs/>
        </w:rPr>
        <w:t>(Reference document: ST/SG/AC.10/C.3/2022/19, proposal 2)</w:t>
      </w:r>
    </w:p>
    <w:p w14:paraId="3564E67E" w14:textId="242C9F59" w:rsidR="00B9218A" w:rsidRDefault="00B9218A" w:rsidP="00B9218A">
      <w:pPr>
        <w:pStyle w:val="SingleTxtG"/>
        <w:ind w:left="2268" w:hanging="1134"/>
      </w:pPr>
      <w:r>
        <w:t>[</w:t>
      </w:r>
      <w:r w:rsidRPr="001C5029">
        <w:t xml:space="preserve">4.1.4.1, </w:t>
      </w:r>
      <w:r>
        <w:t>P203</w:t>
      </w:r>
      <w:r>
        <w:tab/>
      </w:r>
      <w:r>
        <w:tab/>
      </w:r>
      <w:r>
        <w:tab/>
        <w:t>In (5), amend the heading to read “(5) Filling”. In the last paragraph replace “degree of filling” by “gas filled into the receptacle”.]</w:t>
      </w:r>
    </w:p>
    <w:p w14:paraId="7AEB3860"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2CDEBB74" w14:textId="77777777" w:rsidR="00B9218A" w:rsidRPr="001C5029" w:rsidRDefault="00B9218A" w:rsidP="00B9218A">
      <w:pPr>
        <w:pStyle w:val="SingleTxtG"/>
        <w:ind w:left="2268" w:hanging="1134"/>
      </w:pPr>
      <w:r w:rsidRPr="001C5029">
        <w:t>4.1.4.1, P301</w:t>
      </w:r>
      <w:r w:rsidRPr="001C5029">
        <w:tab/>
        <w:t>In the second row after the heading, first sentence, replace “</w:t>
      </w:r>
      <w:r w:rsidRPr="001C5029">
        <w:rPr>
          <w:b/>
          <w:bCs/>
        </w:rPr>
        <w:t>4.1.1</w:t>
      </w:r>
      <w:r w:rsidRPr="001C5029">
        <w:t>” by “</w:t>
      </w:r>
      <w:r w:rsidRPr="001C5029">
        <w:rPr>
          <w:b/>
          <w:bCs/>
        </w:rPr>
        <w:t>4.1.1.1, 4.1.1.2, 4.1.1.4, 4.1.1.5, 4.1.1.6”</w:t>
      </w:r>
      <w:r w:rsidRPr="001C5029">
        <w:t>.</w:t>
      </w:r>
    </w:p>
    <w:p w14:paraId="77CA1F4A" w14:textId="77777777" w:rsidR="00B9218A" w:rsidRPr="001C5029" w:rsidRDefault="00B9218A" w:rsidP="00B9218A">
      <w:pPr>
        <w:pStyle w:val="SingleTxtG"/>
        <w:rPr>
          <w:i/>
          <w:iCs/>
        </w:rPr>
      </w:pPr>
      <w:r w:rsidRPr="001C5029">
        <w:rPr>
          <w:i/>
          <w:iCs/>
        </w:rPr>
        <w:t>(Reference document: ST/SG/AC.10/C.3/2022/17, proposal 4)</w:t>
      </w:r>
    </w:p>
    <w:p w14:paraId="201F4508" w14:textId="77777777" w:rsidR="00B9218A" w:rsidRDefault="00B9218A" w:rsidP="00B9218A">
      <w:pPr>
        <w:pStyle w:val="SingleTxtG"/>
        <w:ind w:left="2268" w:hanging="1134"/>
      </w:pPr>
      <w:r>
        <w:t>[</w:t>
      </w:r>
      <w:r w:rsidRPr="001C5029">
        <w:t xml:space="preserve">4.1.4.1, </w:t>
      </w:r>
      <w:r>
        <w:t>P650</w:t>
      </w:r>
      <w:r>
        <w:tab/>
      </w:r>
      <w:r>
        <w:tab/>
      </w:r>
      <w:r>
        <w:tab/>
        <w:t>Amend (6) to read as follows:</w:t>
      </w:r>
    </w:p>
    <w:p w14:paraId="6AA81427" w14:textId="77777777" w:rsidR="00B9218A" w:rsidRDefault="00B9218A" w:rsidP="00B9218A">
      <w:pPr>
        <w:pStyle w:val="SingleTxtG"/>
        <w:ind w:left="1701" w:hanging="567"/>
      </w:pPr>
      <w:r>
        <w:t>“(6)</w:t>
      </w:r>
      <w:r>
        <w:tab/>
        <w:t xml:space="preserve">The completed package shall be capable of withstanding a 1.2 m drop in any orientation without leakage from the primary receptacle(s), which shall remain protected by absorbent material, when required, in the secondary packaging. </w:t>
      </w:r>
    </w:p>
    <w:p w14:paraId="4D1A0A9D" w14:textId="77777777" w:rsidR="00B9218A" w:rsidRDefault="00B9218A" w:rsidP="00B9218A">
      <w:pPr>
        <w:pStyle w:val="SingleTxtG"/>
        <w:ind w:left="2835" w:hanging="1134"/>
      </w:pPr>
      <w:r w:rsidRPr="0085541A">
        <w:rPr>
          <w:b/>
          <w:bCs/>
          <w:i/>
          <w:iCs/>
        </w:rPr>
        <w:t>NOTE:</w:t>
      </w:r>
      <w:r w:rsidRPr="0085541A">
        <w:rPr>
          <w:i/>
          <w:iCs/>
        </w:rPr>
        <w:tab/>
      </w:r>
      <w:r w:rsidRPr="00396A42">
        <w:rPr>
          <w:i/>
          <w:iCs/>
        </w:rPr>
        <w:t>Capability may be demonstrated by testing, assessment or experience</w:t>
      </w:r>
      <w:r w:rsidRPr="0085541A">
        <w:rPr>
          <w:i/>
          <w:iCs/>
        </w:rPr>
        <w:t>.</w:t>
      </w:r>
      <w:r>
        <w:t>”</w:t>
      </w:r>
    </w:p>
    <w:p w14:paraId="7B15F8D5" w14:textId="77777777" w:rsidR="00B9218A" w:rsidRDefault="00B9218A" w:rsidP="00B9218A">
      <w:pPr>
        <w:pStyle w:val="SingleTxtG"/>
        <w:ind w:left="2268" w:hanging="1134"/>
      </w:pPr>
      <w:r w:rsidRPr="005D0F25">
        <w:tab/>
      </w:r>
      <w:r>
        <w:t>In (7) (d), at the end, add “and”.</w:t>
      </w:r>
    </w:p>
    <w:p w14:paraId="14F7EE61" w14:textId="77777777" w:rsidR="00B9218A" w:rsidRDefault="00B9218A" w:rsidP="00B9218A">
      <w:pPr>
        <w:pStyle w:val="SingleTxtG"/>
        <w:ind w:left="2268" w:hanging="1134"/>
      </w:pPr>
      <w:r>
        <w:tab/>
        <w:t>Under (7) (e), add the following new note:</w:t>
      </w:r>
    </w:p>
    <w:p w14:paraId="0680C167" w14:textId="77777777" w:rsidR="00B9218A" w:rsidRDefault="00B9218A" w:rsidP="00B9218A">
      <w:pPr>
        <w:pStyle w:val="SingleTxtG"/>
        <w:ind w:left="2268" w:hanging="1134"/>
      </w:pPr>
      <w:r>
        <w:t>“</w:t>
      </w:r>
      <w:r w:rsidRPr="001570C9">
        <w:rPr>
          <w:b/>
          <w:bCs/>
          <w:i/>
          <w:iCs/>
        </w:rPr>
        <w:t>NOTE:</w:t>
      </w:r>
      <w:r>
        <w:rPr>
          <w:i/>
          <w:iCs/>
        </w:rPr>
        <w:tab/>
      </w:r>
      <w:r w:rsidRPr="00396A42">
        <w:rPr>
          <w:i/>
          <w:iCs/>
        </w:rPr>
        <w:t>Capability may be demonstrated by testing, assessment or experience</w:t>
      </w:r>
      <w:r w:rsidRPr="0085541A">
        <w:rPr>
          <w:i/>
          <w:iCs/>
        </w:rPr>
        <w:t>.</w:t>
      </w:r>
      <w:r>
        <w:t>”</w:t>
      </w:r>
    </w:p>
    <w:p w14:paraId="14884ECF" w14:textId="77777777" w:rsidR="00B9218A" w:rsidRDefault="00B9218A" w:rsidP="00B9218A">
      <w:pPr>
        <w:pStyle w:val="SingleTxtG"/>
        <w:ind w:left="2268" w:hanging="1134"/>
      </w:pPr>
      <w:r w:rsidRPr="005D0F25">
        <w:tab/>
      </w:r>
      <w:r>
        <w:t>In (8) (c), at the end, add “and”.</w:t>
      </w:r>
    </w:p>
    <w:p w14:paraId="4C440C21" w14:textId="77777777" w:rsidR="00B9218A" w:rsidRDefault="00B9218A" w:rsidP="00B9218A">
      <w:pPr>
        <w:pStyle w:val="SingleTxtG"/>
        <w:ind w:left="2268" w:hanging="1134"/>
      </w:pPr>
      <w:r w:rsidRPr="005D0F25">
        <w:tab/>
      </w:r>
      <w:r>
        <w:t>In (9) (a), at the end, add “and”.]</w:t>
      </w:r>
    </w:p>
    <w:p w14:paraId="699218EA" w14:textId="77777777" w:rsidR="00B9218A" w:rsidRPr="001C5029" w:rsidRDefault="00B9218A" w:rsidP="00B9218A">
      <w:pPr>
        <w:pStyle w:val="SingleTxtG"/>
        <w:rPr>
          <w:i/>
          <w:iCs/>
        </w:rPr>
      </w:pPr>
      <w:r w:rsidRPr="001C5029">
        <w:rPr>
          <w:i/>
          <w:iCs/>
        </w:rPr>
        <w:t xml:space="preserve">(Reference document: </w:t>
      </w:r>
      <w:r>
        <w:rPr>
          <w:i/>
          <w:iCs/>
        </w:rPr>
        <w:t>informal document INF.46</w:t>
      </w:r>
      <w:r w:rsidRPr="001C5029">
        <w:rPr>
          <w:i/>
          <w:iCs/>
        </w:rPr>
        <w:t>, as amended)</w:t>
      </w:r>
    </w:p>
    <w:p w14:paraId="24D2BB6D" w14:textId="77777777" w:rsidR="00B9218A" w:rsidRPr="001C5029" w:rsidRDefault="00B9218A" w:rsidP="00B9218A">
      <w:pPr>
        <w:pStyle w:val="SingleTxtG"/>
        <w:ind w:left="2268" w:hanging="1134"/>
      </w:pPr>
      <w:r w:rsidRPr="001C5029">
        <w:t>4.1.4.1, P800</w:t>
      </w:r>
      <w:r w:rsidRPr="001C5029">
        <w:tab/>
        <w:t>In special packing provision PP41, at the end, add the following new sentence: “Interior supports shall be provided to prevent movement after the dissipation of the refrigerant.”</w:t>
      </w:r>
    </w:p>
    <w:p w14:paraId="436D0616" w14:textId="77777777" w:rsidR="00B9218A" w:rsidRPr="001C5029" w:rsidRDefault="00B9218A" w:rsidP="00B9218A">
      <w:pPr>
        <w:pStyle w:val="SingleTxtG"/>
        <w:rPr>
          <w:i/>
          <w:iCs/>
        </w:rPr>
      </w:pPr>
      <w:r w:rsidRPr="001C5029">
        <w:rPr>
          <w:i/>
          <w:iCs/>
        </w:rPr>
        <w:t>(Reference document: ST/SG/AC.10/C.3/2022/12, alternative oral proposal)</w:t>
      </w:r>
    </w:p>
    <w:p w14:paraId="488F4A64" w14:textId="77777777" w:rsidR="00B9218A" w:rsidRPr="001C5029" w:rsidRDefault="00B9218A" w:rsidP="00B9218A">
      <w:pPr>
        <w:pStyle w:val="SingleTxtG"/>
        <w:ind w:left="2268" w:hanging="1134"/>
      </w:pPr>
      <w:r w:rsidRPr="001C5029">
        <w:t>4.1.4.1, P803</w:t>
      </w:r>
      <w:r w:rsidRPr="001C5029">
        <w:tab/>
        <w:t>At the end, add a new paragraph to read as follows:</w:t>
      </w:r>
    </w:p>
    <w:p w14:paraId="3C25B459" w14:textId="77777777" w:rsidR="00B9218A" w:rsidRPr="001C5029" w:rsidRDefault="00B9218A" w:rsidP="00B9218A">
      <w:pPr>
        <w:pStyle w:val="SingleTxtG"/>
        <w:ind w:left="2268" w:hanging="1134"/>
      </w:pPr>
      <w:r w:rsidRPr="001C5029">
        <w:t>“</w:t>
      </w:r>
      <w:proofErr w:type="spellStart"/>
      <w:r w:rsidRPr="001C5029">
        <w:t>Packagings</w:t>
      </w:r>
      <w:proofErr w:type="spellEnd"/>
      <w:r w:rsidRPr="001C5029">
        <w:t xml:space="preserve"> shall conform to the packing group II performance level.”</w:t>
      </w:r>
    </w:p>
    <w:p w14:paraId="0D8481E4" w14:textId="77777777" w:rsidR="00B9218A" w:rsidRPr="001C5029" w:rsidRDefault="00B9218A" w:rsidP="00B9218A">
      <w:pPr>
        <w:pStyle w:val="SingleTxtG"/>
        <w:rPr>
          <w:i/>
          <w:iCs/>
        </w:rPr>
      </w:pPr>
      <w:r w:rsidRPr="001C5029">
        <w:rPr>
          <w:i/>
          <w:iCs/>
        </w:rPr>
        <w:t>(Reference document: ST/SG/AC.10/C.3/2022/17, proposal 3)</w:t>
      </w:r>
    </w:p>
    <w:p w14:paraId="2F77CD37" w14:textId="77777777" w:rsidR="00B9218A" w:rsidRDefault="00B9218A" w:rsidP="00B9218A">
      <w:pPr>
        <w:pStyle w:val="SingleTxtG"/>
        <w:ind w:left="2268" w:hanging="1134"/>
      </w:pPr>
      <w:r>
        <w:t>4.1.4.1</w:t>
      </w:r>
      <w:r>
        <w:tab/>
        <w:t>Add the following new packing instruction:</w:t>
      </w:r>
    </w:p>
    <w:tbl>
      <w:tblPr>
        <w:tblStyle w:val="TableGrid"/>
        <w:tblW w:w="0" w:type="auto"/>
        <w:tblInd w:w="1134" w:type="dxa"/>
        <w:tblLook w:val="04A0" w:firstRow="1" w:lastRow="0" w:firstColumn="1" w:lastColumn="0" w:noHBand="0" w:noVBand="1"/>
      </w:tblPr>
      <w:tblGrid>
        <w:gridCol w:w="7366"/>
      </w:tblGrid>
      <w:tr w:rsidR="00B9218A" w:rsidRPr="000E4484" w14:paraId="390E0EFC" w14:textId="77777777" w:rsidTr="00453509">
        <w:tc>
          <w:tcPr>
            <w:tcW w:w="7366" w:type="dxa"/>
            <w:tcBorders>
              <w:top w:val="single" w:sz="4" w:space="0" w:color="auto"/>
              <w:left w:val="single" w:sz="4" w:space="0" w:color="auto"/>
              <w:bottom w:val="single" w:sz="4" w:space="0" w:color="auto"/>
              <w:right w:val="single" w:sz="4" w:space="0" w:color="auto"/>
            </w:tcBorders>
            <w:hideMark/>
          </w:tcPr>
          <w:p w14:paraId="2208721A" w14:textId="77777777" w:rsidR="00B9218A" w:rsidRPr="000E4484" w:rsidRDefault="00B9218A" w:rsidP="00453509">
            <w:pPr>
              <w:pStyle w:val="SingleTxtG"/>
              <w:tabs>
                <w:tab w:val="center" w:pos="3679"/>
                <w:tab w:val="right" w:pos="7223"/>
              </w:tabs>
              <w:ind w:left="135" w:right="0"/>
              <w:rPr>
                <w:b/>
                <w:bCs/>
              </w:rPr>
            </w:pPr>
            <w:r w:rsidRPr="000E4484">
              <w:rPr>
                <w:b/>
                <w:bCs/>
              </w:rPr>
              <w:t>P303</w:t>
            </w:r>
            <w:r w:rsidRPr="000E4484">
              <w:rPr>
                <w:b/>
                <w:bCs/>
              </w:rPr>
              <w:tab/>
              <w:t>PACKING INSTRUCTION</w:t>
            </w:r>
            <w:r w:rsidRPr="000E4484">
              <w:rPr>
                <w:b/>
                <w:bCs/>
              </w:rPr>
              <w:tab/>
              <w:t>P303</w:t>
            </w:r>
          </w:p>
        </w:tc>
      </w:tr>
      <w:tr w:rsidR="00B9218A" w:rsidRPr="000E4484" w14:paraId="1E59AC92" w14:textId="77777777" w:rsidTr="00453509">
        <w:tc>
          <w:tcPr>
            <w:tcW w:w="7366" w:type="dxa"/>
            <w:tcBorders>
              <w:top w:val="single" w:sz="4" w:space="0" w:color="auto"/>
              <w:left w:val="single" w:sz="4" w:space="0" w:color="auto"/>
              <w:bottom w:val="single" w:sz="4" w:space="0" w:color="auto"/>
              <w:right w:val="single" w:sz="4" w:space="0" w:color="auto"/>
            </w:tcBorders>
            <w:hideMark/>
          </w:tcPr>
          <w:p w14:paraId="6B61B495" w14:textId="77777777" w:rsidR="00B9218A" w:rsidRPr="000E4484" w:rsidRDefault="00B9218A" w:rsidP="00453509">
            <w:pPr>
              <w:pStyle w:val="SingleTxtG"/>
              <w:ind w:left="135"/>
            </w:pPr>
            <w:r w:rsidRPr="000E4484">
              <w:t>This instruction applies to UN No. 3555.</w:t>
            </w:r>
          </w:p>
        </w:tc>
      </w:tr>
      <w:tr w:rsidR="00B9218A" w:rsidRPr="000E4484" w14:paraId="46BEE15B" w14:textId="77777777" w:rsidTr="00453509">
        <w:tc>
          <w:tcPr>
            <w:tcW w:w="7366" w:type="dxa"/>
            <w:tcBorders>
              <w:top w:val="single" w:sz="4" w:space="0" w:color="auto"/>
              <w:left w:val="single" w:sz="4" w:space="0" w:color="auto"/>
              <w:bottom w:val="single" w:sz="4" w:space="0" w:color="auto"/>
              <w:right w:val="single" w:sz="4" w:space="0" w:color="auto"/>
            </w:tcBorders>
          </w:tcPr>
          <w:p w14:paraId="713E1B01" w14:textId="77777777" w:rsidR="00B9218A" w:rsidRPr="000E4484" w:rsidRDefault="00B9218A" w:rsidP="00453509">
            <w:pPr>
              <w:pStyle w:val="SingleTxtG"/>
              <w:tabs>
                <w:tab w:val="left" w:pos="959"/>
                <w:tab w:val="left" w:pos="1555"/>
              </w:tabs>
              <w:ind w:left="135" w:right="135"/>
              <w:jc w:val="left"/>
            </w:pPr>
            <w:r w:rsidRPr="000E4484">
              <w:t xml:space="preserve">The </w:t>
            </w:r>
            <w:r w:rsidRPr="006E68A1">
              <w:t xml:space="preserve">following </w:t>
            </w:r>
            <w:proofErr w:type="spellStart"/>
            <w:r w:rsidRPr="006E68A1">
              <w:t>packagings</w:t>
            </w:r>
            <w:proofErr w:type="spellEnd"/>
            <w:r w:rsidRPr="000E4484">
              <w:t xml:space="preserve"> are authorized, provided that the general provisions of 4.1.1 and 4.1.3 as well as 4.1.5.12 are met:</w:t>
            </w:r>
          </w:p>
          <w:p w14:paraId="769ED784" w14:textId="77777777" w:rsidR="00B9218A" w:rsidRPr="000E4484" w:rsidRDefault="00B9218A" w:rsidP="00453509">
            <w:pPr>
              <w:pStyle w:val="SingleTxtG"/>
              <w:tabs>
                <w:tab w:val="left" w:pos="959"/>
                <w:tab w:val="left" w:pos="1555"/>
              </w:tabs>
              <w:ind w:left="135" w:right="135"/>
              <w:jc w:val="left"/>
            </w:pPr>
            <w:r w:rsidRPr="000E4484">
              <w:t xml:space="preserve">Plastics drum non-removeable head (1H1) of maximum capacity 250 </w:t>
            </w:r>
            <w:r w:rsidRPr="00D32BEB">
              <w:rPr>
                <w:i/>
                <w:iCs/>
              </w:rPr>
              <w:t>l</w:t>
            </w:r>
            <w:r w:rsidRPr="000E4484">
              <w:t>.</w:t>
            </w:r>
          </w:p>
        </w:tc>
      </w:tr>
      <w:tr w:rsidR="00B9218A" w:rsidRPr="000E4484" w14:paraId="1275D069" w14:textId="77777777" w:rsidTr="00453509">
        <w:tc>
          <w:tcPr>
            <w:tcW w:w="7366" w:type="dxa"/>
            <w:tcBorders>
              <w:top w:val="single" w:sz="4" w:space="0" w:color="auto"/>
              <w:left w:val="single" w:sz="4" w:space="0" w:color="auto"/>
              <w:bottom w:val="single" w:sz="4" w:space="0" w:color="auto"/>
              <w:right w:val="single" w:sz="4" w:space="0" w:color="auto"/>
            </w:tcBorders>
            <w:hideMark/>
          </w:tcPr>
          <w:p w14:paraId="23D84A62" w14:textId="77777777" w:rsidR="00B9218A" w:rsidRPr="000E4484" w:rsidRDefault="00B9218A" w:rsidP="00453509">
            <w:pPr>
              <w:pStyle w:val="SingleTxtG"/>
              <w:tabs>
                <w:tab w:val="left" w:pos="959"/>
                <w:tab w:val="left" w:pos="1555"/>
              </w:tabs>
              <w:ind w:left="135" w:right="0"/>
              <w:jc w:val="left"/>
              <w:rPr>
                <w:b/>
                <w:bCs/>
              </w:rPr>
            </w:pPr>
            <w:r w:rsidRPr="000E4484">
              <w:rPr>
                <w:b/>
                <w:bCs/>
              </w:rPr>
              <w:t>Additional requirements:</w:t>
            </w:r>
          </w:p>
          <w:p w14:paraId="3BAA61C7" w14:textId="77777777" w:rsidR="00B9218A" w:rsidRPr="000E4484" w:rsidRDefault="00B9218A" w:rsidP="00453509">
            <w:pPr>
              <w:pStyle w:val="SingleTxtG"/>
              <w:tabs>
                <w:tab w:val="left" w:pos="959"/>
                <w:tab w:val="left" w:pos="1555"/>
              </w:tabs>
              <w:ind w:left="135" w:right="0"/>
              <w:jc w:val="left"/>
            </w:pPr>
            <w:r w:rsidRPr="000E4484">
              <w:t xml:space="preserve">The </w:t>
            </w:r>
            <w:proofErr w:type="spellStart"/>
            <w:r w:rsidRPr="000E4484">
              <w:t>packagings</w:t>
            </w:r>
            <w:proofErr w:type="spellEnd"/>
            <w:r w:rsidRPr="000E4484">
              <w:t xml:space="preserve"> shall be transported in an upright position.</w:t>
            </w:r>
          </w:p>
        </w:tc>
      </w:tr>
      <w:tr w:rsidR="00B9218A" w:rsidRPr="000E4484" w14:paraId="4F43F65A" w14:textId="77777777" w:rsidTr="00453509">
        <w:tc>
          <w:tcPr>
            <w:tcW w:w="7366" w:type="dxa"/>
            <w:tcBorders>
              <w:top w:val="single" w:sz="4" w:space="0" w:color="auto"/>
              <w:left w:val="single" w:sz="4" w:space="0" w:color="auto"/>
              <w:bottom w:val="single" w:sz="4" w:space="0" w:color="auto"/>
              <w:right w:val="single" w:sz="4" w:space="0" w:color="auto"/>
            </w:tcBorders>
            <w:hideMark/>
          </w:tcPr>
          <w:p w14:paraId="4CC8F9B3" w14:textId="77777777" w:rsidR="00B9218A" w:rsidRPr="000E4484" w:rsidRDefault="00B9218A" w:rsidP="00453509">
            <w:pPr>
              <w:pStyle w:val="SingleTxtG"/>
              <w:tabs>
                <w:tab w:val="left" w:pos="959"/>
                <w:tab w:val="left" w:pos="1555"/>
              </w:tabs>
              <w:ind w:left="135" w:right="0"/>
              <w:jc w:val="left"/>
              <w:rPr>
                <w:b/>
                <w:bCs/>
              </w:rPr>
            </w:pPr>
            <w:r w:rsidRPr="000E4484">
              <w:rPr>
                <w:b/>
                <w:bCs/>
              </w:rPr>
              <w:t>Special packing provisions:</w:t>
            </w:r>
          </w:p>
          <w:p w14:paraId="552032A6" w14:textId="77777777" w:rsidR="00B9218A" w:rsidRPr="000E4484" w:rsidRDefault="00B9218A" w:rsidP="00453509">
            <w:pPr>
              <w:pStyle w:val="SingleTxtG"/>
              <w:tabs>
                <w:tab w:val="left" w:pos="959"/>
                <w:tab w:val="left" w:pos="1555"/>
              </w:tabs>
              <w:ind w:left="135" w:right="0"/>
              <w:jc w:val="left"/>
              <w:rPr>
                <w:b/>
                <w:bCs/>
              </w:rPr>
            </w:pPr>
            <w:r w:rsidRPr="000E4484">
              <w:rPr>
                <w:b/>
                <w:bCs/>
              </w:rPr>
              <w:t>PP26</w:t>
            </w:r>
            <w:r w:rsidRPr="000E4484">
              <w:rPr>
                <w:b/>
                <w:bCs/>
              </w:rPr>
              <w:tab/>
            </w:r>
            <w:r w:rsidRPr="000E4484">
              <w:t xml:space="preserve">For UN No. 3555, </w:t>
            </w:r>
            <w:proofErr w:type="spellStart"/>
            <w:r w:rsidRPr="000E4484">
              <w:t>packagings</w:t>
            </w:r>
            <w:proofErr w:type="spellEnd"/>
            <w:r w:rsidRPr="000E4484">
              <w:t xml:space="preserve"> shall be lead free.</w:t>
            </w:r>
          </w:p>
        </w:tc>
      </w:tr>
    </w:tbl>
    <w:p w14:paraId="7D4EB1AF" w14:textId="77777777" w:rsidR="00B9218A" w:rsidRPr="001C5029" w:rsidRDefault="00B9218A" w:rsidP="00B9218A">
      <w:pPr>
        <w:pStyle w:val="SingleTxtG"/>
        <w:spacing w:before="120"/>
        <w:rPr>
          <w:i/>
          <w:iCs/>
        </w:rPr>
      </w:pPr>
      <w:r w:rsidRPr="001C5029">
        <w:rPr>
          <w:i/>
          <w:iCs/>
        </w:rPr>
        <w:t xml:space="preserve">(Reference document: </w:t>
      </w:r>
      <w:r>
        <w:rPr>
          <w:i/>
          <w:iCs/>
        </w:rPr>
        <w:t>informal document INF.44</w:t>
      </w:r>
      <w:r w:rsidRPr="001C5029">
        <w:rPr>
          <w:i/>
          <w:iCs/>
        </w:rPr>
        <w:t>,</w:t>
      </w:r>
      <w:r>
        <w:rPr>
          <w:i/>
          <w:iCs/>
        </w:rPr>
        <w:t xml:space="preserve"> amendment 1</w:t>
      </w:r>
      <w:r w:rsidRPr="001C5029">
        <w:rPr>
          <w:i/>
          <w:iCs/>
        </w:rPr>
        <w:t>)</w:t>
      </w:r>
    </w:p>
    <w:p w14:paraId="4F03825B" w14:textId="77777777" w:rsidR="00B9218A" w:rsidRDefault="00B9218A" w:rsidP="00B9218A">
      <w:pPr>
        <w:pStyle w:val="SingleTxtG"/>
        <w:keepNext/>
        <w:ind w:left="2268" w:hanging="1134"/>
      </w:pPr>
      <w:r w:rsidRPr="001C5029">
        <w:t>4.1.4.</w:t>
      </w:r>
      <w:r>
        <w:t>2</w:t>
      </w:r>
      <w:r w:rsidRPr="001C5029">
        <w:t xml:space="preserve">, </w:t>
      </w:r>
      <w:r>
        <w:t>IBC03</w:t>
      </w:r>
      <w:r>
        <w:tab/>
        <w:t>Amend special packing provision B11 to read as follows:</w:t>
      </w:r>
    </w:p>
    <w:p w14:paraId="54ACB998" w14:textId="77777777" w:rsidR="00B9218A" w:rsidRDefault="00B9218A" w:rsidP="00B9218A">
      <w:pPr>
        <w:pStyle w:val="SingleTxtG"/>
        <w:keepNext/>
        <w:ind w:left="2268" w:hanging="1134"/>
      </w:pPr>
      <w:r>
        <w:t>“</w:t>
      </w:r>
      <w:r w:rsidRPr="00F82381">
        <w:t>B11</w:t>
      </w:r>
      <w:r w:rsidRPr="00F82381">
        <w:tab/>
        <w:t>Notwithstanding the provisions of the second paragraph of 4.1.1.10, UN 2672 ammonia solution in concentrations not exceeding 25</w:t>
      </w:r>
      <w:r>
        <w:t> </w:t>
      </w:r>
      <w:r w:rsidRPr="00F82381">
        <w:t>% may be transported in</w:t>
      </w:r>
      <w:r>
        <w:t xml:space="preserve"> IBCs.”</w:t>
      </w:r>
    </w:p>
    <w:p w14:paraId="0158E293" w14:textId="77777777" w:rsidR="00B9218A" w:rsidRPr="001C5029" w:rsidRDefault="00B9218A" w:rsidP="00B9218A">
      <w:pPr>
        <w:pStyle w:val="SingleTxtG"/>
        <w:rPr>
          <w:i/>
          <w:iCs/>
        </w:rPr>
      </w:pPr>
      <w:r w:rsidRPr="001C5029">
        <w:rPr>
          <w:i/>
          <w:iCs/>
        </w:rPr>
        <w:t>(</w:t>
      </w:r>
      <w:r>
        <w:rPr>
          <w:i/>
          <w:iCs/>
        </w:rPr>
        <w:t>Reference document:</w:t>
      </w:r>
      <w:r w:rsidRPr="00A3439E">
        <w:t xml:space="preserve"> </w:t>
      </w:r>
      <w:r w:rsidRPr="00A3439E">
        <w:rPr>
          <w:i/>
          <w:iCs/>
        </w:rPr>
        <w:t>ST/SG/AC.10/C.3/2022/</w:t>
      </w:r>
      <w:r>
        <w:rPr>
          <w:i/>
          <w:iCs/>
        </w:rPr>
        <w:t>35, as amended</w:t>
      </w:r>
      <w:r w:rsidRPr="001C5029">
        <w:rPr>
          <w:i/>
          <w:iCs/>
        </w:rPr>
        <w:t>)</w:t>
      </w:r>
    </w:p>
    <w:p w14:paraId="49F8D986" w14:textId="77777777" w:rsidR="00B9218A" w:rsidRDefault="00B9218A" w:rsidP="00B9218A">
      <w:pPr>
        <w:pStyle w:val="SingleTxtG"/>
        <w:ind w:left="2268" w:hanging="1134"/>
      </w:pPr>
      <w:r w:rsidRPr="001C5029">
        <w:t>4.1.4.</w:t>
      </w:r>
      <w:r>
        <w:t>3</w:t>
      </w:r>
      <w:r w:rsidRPr="001C5029">
        <w:t xml:space="preserve">, </w:t>
      </w:r>
      <w:r>
        <w:t>LP03</w:t>
      </w:r>
      <w:r>
        <w:tab/>
        <w:t>Add a new (4) to read as follows:</w:t>
      </w:r>
    </w:p>
    <w:p w14:paraId="6ABDC564" w14:textId="77777777" w:rsidR="00B9218A" w:rsidRDefault="00B9218A" w:rsidP="00B9218A">
      <w:pPr>
        <w:pStyle w:val="SingleTxtG"/>
        <w:ind w:left="1701" w:hanging="567"/>
      </w:pPr>
      <w:r>
        <w:t>“(4)</w:t>
      </w:r>
      <w:r>
        <w:tab/>
        <w:t>Articles containing pre-production prototype lithium cells or batteries when these prototypes are transported for testing or production runs of not more than 100 lithium cells or batteries that are of a type that have not met the testing requirements of part III, sub-section 38.3 of the Manual of Tests and Criteria, part III sub-section 38.3 shall in addition meet the following:</w:t>
      </w:r>
    </w:p>
    <w:p w14:paraId="0D4A7F39" w14:textId="77777777" w:rsidR="00B9218A" w:rsidRDefault="00B9218A" w:rsidP="00B9218A">
      <w:pPr>
        <w:pStyle w:val="SingleTxtG"/>
        <w:ind w:left="2268" w:hanging="567"/>
      </w:pPr>
      <w:r>
        <w:t>(a)</w:t>
      </w:r>
      <w:r>
        <w:tab/>
      </w:r>
      <w:proofErr w:type="spellStart"/>
      <w:r>
        <w:t>Packagings</w:t>
      </w:r>
      <w:proofErr w:type="spellEnd"/>
      <w:r>
        <w:t xml:space="preserve"> shall conform to the requirements in paragraph (1) of this packing </w:t>
      </w:r>
      <w:proofErr w:type="gramStart"/>
      <w:r>
        <w:t>instruction;</w:t>
      </w:r>
      <w:proofErr w:type="gramEnd"/>
    </w:p>
    <w:p w14:paraId="7DFF64C7" w14:textId="77777777" w:rsidR="00B9218A" w:rsidRDefault="00B9218A" w:rsidP="00B9218A">
      <w:pPr>
        <w:pStyle w:val="SingleTxtG"/>
        <w:ind w:left="2268" w:hanging="567"/>
      </w:pPr>
      <w:r>
        <w:t>(b)</w:t>
      </w:r>
      <w:r>
        <w:tab/>
        <w:t xml:space="preserve">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w:t>
      </w:r>
      <w:proofErr w:type="gramStart"/>
      <w:r>
        <w:t>non-conductive;</w:t>
      </w:r>
      <w:proofErr w:type="gramEnd"/>
    </w:p>
    <w:p w14:paraId="49CA138A" w14:textId="77777777" w:rsidR="00B9218A" w:rsidRDefault="00B9218A" w:rsidP="00B9218A">
      <w:pPr>
        <w:pStyle w:val="SingleTxtG"/>
        <w:ind w:left="2268" w:hanging="567"/>
      </w:pPr>
      <w:r>
        <w:t>(c)</w:t>
      </w:r>
      <w:r>
        <w:tab/>
        <w:t>Non-combustibility of the cushioning material shall be assessed according to a standard recognized in the country where the packaging is designed or manufactured.”</w:t>
      </w:r>
    </w:p>
    <w:p w14:paraId="685C68AD" w14:textId="77777777" w:rsidR="00B9218A" w:rsidRPr="001C5029" w:rsidRDefault="00B9218A" w:rsidP="00B9218A">
      <w:pPr>
        <w:pStyle w:val="SingleTxtG"/>
        <w:rPr>
          <w:i/>
          <w:iCs/>
        </w:rPr>
      </w:pPr>
      <w:r w:rsidRPr="001C5029">
        <w:rPr>
          <w:i/>
          <w:iCs/>
        </w:rPr>
        <w:t xml:space="preserve">(Reference document: </w:t>
      </w:r>
      <w:r>
        <w:rPr>
          <w:i/>
          <w:iCs/>
        </w:rPr>
        <w:t>informal document INF.51</w:t>
      </w:r>
      <w:r w:rsidRPr="001C5029">
        <w:rPr>
          <w:i/>
          <w:iCs/>
        </w:rPr>
        <w:t>)</w:t>
      </w:r>
    </w:p>
    <w:p w14:paraId="3C28A2FE" w14:textId="77777777" w:rsidR="00B9218A" w:rsidRDefault="00B9218A" w:rsidP="00B9218A">
      <w:pPr>
        <w:pStyle w:val="SingleTxtG"/>
        <w:ind w:left="2268" w:hanging="1134"/>
      </w:pPr>
      <w:r w:rsidRPr="001C5029">
        <w:t>4.1.4.</w:t>
      </w:r>
      <w:r>
        <w:t>3</w:t>
      </w:r>
      <w:r w:rsidRPr="001C5029">
        <w:t xml:space="preserve">, </w:t>
      </w:r>
      <w:r>
        <w:t>LP903</w:t>
      </w:r>
      <w:r>
        <w:tab/>
        <w:t>Amend the first sentence under the heading to read: “</w:t>
      </w:r>
      <w:r w:rsidRPr="00DF30F6">
        <w:t>This instruction applies to large cells with a gross mass of more than 500 g, large batteries with a gross mass of more than 12 kg, and equipment containing large cells or large batteries of UN Nos. 3090, 3091, 3480 and 3481.</w:t>
      </w:r>
      <w:r>
        <w:t>”.</w:t>
      </w:r>
    </w:p>
    <w:p w14:paraId="7E01C48F" w14:textId="77777777" w:rsidR="00B9218A" w:rsidRDefault="00B9218A" w:rsidP="00B9218A">
      <w:pPr>
        <w:pStyle w:val="SingleTxtG"/>
        <w:ind w:left="2268" w:hanging="1134"/>
      </w:pPr>
      <w:r>
        <w:tab/>
        <w:t>In the second line, first paragraph, replace “</w:t>
      </w:r>
      <w:r w:rsidRPr="001E7582">
        <w:t>for a single battery and for a single item of equipment</w:t>
      </w:r>
      <w:r>
        <w:t>” by “</w:t>
      </w:r>
      <w:r w:rsidRPr="005F2ACF">
        <w:t xml:space="preserve">for </w:t>
      </w:r>
      <w:r>
        <w:t xml:space="preserve">cells, </w:t>
      </w:r>
      <w:r w:rsidRPr="004F2CD1">
        <w:t>batteries and equipment</w:t>
      </w:r>
      <w:r>
        <w:t>”.</w:t>
      </w:r>
    </w:p>
    <w:p w14:paraId="24DE9D6F" w14:textId="77777777" w:rsidR="00B9218A" w:rsidRDefault="00B9218A" w:rsidP="00B9218A">
      <w:pPr>
        <w:pStyle w:val="SingleTxtG"/>
        <w:ind w:left="2268" w:hanging="1134"/>
      </w:pPr>
      <w:r>
        <w:tab/>
        <w:t>In the second line, modify the last paragraph to read as follows:</w:t>
      </w:r>
    </w:p>
    <w:p w14:paraId="0B4A6BFE" w14:textId="77777777" w:rsidR="00B9218A" w:rsidRDefault="00B9218A" w:rsidP="00B9218A">
      <w:pPr>
        <w:pStyle w:val="SingleTxtG"/>
      </w:pPr>
      <w:r>
        <w:t xml:space="preserve">“Cells, batteries or equipment shall be placed in inner </w:t>
      </w:r>
      <w:proofErr w:type="spellStart"/>
      <w:r>
        <w:t>packagings</w:t>
      </w:r>
      <w:proofErr w:type="spellEnd"/>
      <w:r>
        <w:t xml:space="preserve"> or separated by other suitable means, such as placement in trays or by dividers, to ensure protection against damage that may be caused under normal conditions of transport by:</w:t>
      </w:r>
    </w:p>
    <w:p w14:paraId="411D9962" w14:textId="77777777" w:rsidR="00B9218A" w:rsidRDefault="00B9218A" w:rsidP="00B9218A">
      <w:pPr>
        <w:pStyle w:val="SingleTxtG"/>
        <w:ind w:left="2268" w:hanging="567"/>
      </w:pPr>
      <w:r>
        <w:t>(1)</w:t>
      </w:r>
      <w:r>
        <w:tab/>
        <w:t xml:space="preserve">its movement or placement within the large </w:t>
      </w:r>
      <w:proofErr w:type="gramStart"/>
      <w:r>
        <w:t>packaging;</w:t>
      </w:r>
      <w:proofErr w:type="gramEnd"/>
    </w:p>
    <w:p w14:paraId="27922197" w14:textId="77777777" w:rsidR="00B9218A" w:rsidRDefault="00B9218A" w:rsidP="00B9218A">
      <w:pPr>
        <w:pStyle w:val="SingleTxtG"/>
        <w:ind w:left="2268" w:hanging="567"/>
      </w:pPr>
      <w:r>
        <w:t>(2)</w:t>
      </w:r>
      <w:r>
        <w:tab/>
        <w:t xml:space="preserve">contact with other cells, </w:t>
      </w:r>
      <w:proofErr w:type="gramStart"/>
      <w:r>
        <w:t>batteries</w:t>
      </w:r>
      <w:proofErr w:type="gramEnd"/>
      <w:r>
        <w:t xml:space="preserve"> or equipment within the large packaging; and</w:t>
      </w:r>
    </w:p>
    <w:p w14:paraId="2C1F614B" w14:textId="77777777" w:rsidR="00B9218A" w:rsidRDefault="00B9218A" w:rsidP="00B9218A">
      <w:pPr>
        <w:pStyle w:val="SingleTxtG"/>
        <w:ind w:left="2268" w:hanging="567"/>
      </w:pPr>
      <w:r>
        <w:t>(3)</w:t>
      </w:r>
      <w:r>
        <w:tab/>
        <w:t xml:space="preserve">from any loads arising from the superimposed weight of cells, batteries, equipment and packaging components above the cell, </w:t>
      </w:r>
      <w:proofErr w:type="gramStart"/>
      <w:r>
        <w:t>battery</w:t>
      </w:r>
      <w:proofErr w:type="gramEnd"/>
      <w:r>
        <w:t xml:space="preserve"> or equipment within the large packaging.</w:t>
      </w:r>
    </w:p>
    <w:p w14:paraId="4AE44001" w14:textId="4B93A52A" w:rsidR="00B9218A" w:rsidRPr="001C5029" w:rsidRDefault="00B9218A" w:rsidP="00B9218A">
      <w:pPr>
        <w:pStyle w:val="SingleTxtG"/>
      </w:pPr>
      <w:r>
        <w:t xml:space="preserve">When </w:t>
      </w:r>
      <w:r w:rsidRPr="000B3944">
        <w:t>multiple</w:t>
      </w:r>
      <w:r>
        <w:t xml:space="preserve"> cells, </w:t>
      </w:r>
      <w:proofErr w:type="gramStart"/>
      <w:r>
        <w:t>batteries</w:t>
      </w:r>
      <w:proofErr w:type="gramEnd"/>
      <w:r>
        <w:t xml:space="preserve"> </w:t>
      </w:r>
      <w:r w:rsidRPr="005D4FB4">
        <w:t>or items of</w:t>
      </w:r>
      <w:r>
        <w:t xml:space="preserve"> equipment, are packed in the large packaging, bags (e.g., plastics) alone shall not be used to satisfy these requirements.”</w:t>
      </w:r>
    </w:p>
    <w:p w14:paraId="31784453" w14:textId="77777777" w:rsidR="00B9218A" w:rsidRPr="001C5029" w:rsidRDefault="00B9218A" w:rsidP="00B9218A">
      <w:pPr>
        <w:pStyle w:val="SingleTxtG"/>
        <w:rPr>
          <w:i/>
          <w:iCs/>
        </w:rPr>
      </w:pPr>
      <w:r w:rsidRPr="001C5029">
        <w:rPr>
          <w:i/>
          <w:iCs/>
        </w:rPr>
        <w:t xml:space="preserve">(Reference document: </w:t>
      </w:r>
      <w:r>
        <w:rPr>
          <w:i/>
          <w:iCs/>
        </w:rPr>
        <w:t>informal document INF.40</w:t>
      </w:r>
      <w:r w:rsidRPr="001C5029">
        <w:rPr>
          <w:i/>
          <w:iCs/>
        </w:rPr>
        <w:t>, as amended)</w:t>
      </w:r>
    </w:p>
    <w:p w14:paraId="6DE1F572" w14:textId="77777777" w:rsidR="00B9218A" w:rsidRPr="001C5029" w:rsidRDefault="00B9218A" w:rsidP="00B9218A">
      <w:pPr>
        <w:pStyle w:val="SingleTxtG"/>
        <w:ind w:left="2268" w:hanging="1134"/>
      </w:pPr>
      <w:r w:rsidRPr="001C5029">
        <w:t>4.1.6.1.2</w:t>
      </w:r>
      <w:r w:rsidRPr="001C5029">
        <w:tab/>
        <w:t>In the second sentence, replace “ISO 11114-2:2013” by “ISO 11114-2:2021”.</w:t>
      </w:r>
    </w:p>
    <w:p w14:paraId="109219B1" w14:textId="77777777" w:rsidR="00B9218A" w:rsidRPr="001C5029" w:rsidRDefault="00B9218A" w:rsidP="00B9218A">
      <w:pPr>
        <w:pStyle w:val="SingleTxtG"/>
        <w:rPr>
          <w:i/>
          <w:iCs/>
        </w:rPr>
      </w:pPr>
      <w:r w:rsidRPr="001C5029">
        <w:rPr>
          <w:i/>
          <w:iCs/>
        </w:rPr>
        <w:t>(Reference document: ST/SG/AC.10/C.3/2022/14, proposal 1)</w:t>
      </w:r>
    </w:p>
    <w:p w14:paraId="4FF057C4" w14:textId="77777777" w:rsidR="00B9218A" w:rsidRDefault="00B9218A" w:rsidP="00B9218A">
      <w:pPr>
        <w:pStyle w:val="SingleTxtG"/>
        <w:ind w:left="2268" w:hanging="1134"/>
      </w:pPr>
      <w:r>
        <w:t>[4.1.7.0.1</w:t>
      </w:r>
      <w:r>
        <w:tab/>
        <w:t>The amendment does not apply to the English version.]</w:t>
      </w:r>
    </w:p>
    <w:p w14:paraId="5263EA72"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5E25F4FF" w14:textId="77777777" w:rsidR="00B9218A" w:rsidRPr="001C5029" w:rsidRDefault="00B9218A" w:rsidP="00B9218A">
      <w:pPr>
        <w:pStyle w:val="H1G"/>
      </w:pPr>
      <w:r w:rsidRPr="001C5029">
        <w:tab/>
      </w:r>
      <w:r w:rsidRPr="001C5029">
        <w:tab/>
        <w:t xml:space="preserve">Chapter </w:t>
      </w:r>
      <w:r>
        <w:t>4.2</w:t>
      </w:r>
    </w:p>
    <w:p w14:paraId="7134D5D1" w14:textId="77777777" w:rsidR="00B9218A" w:rsidRDefault="00B9218A" w:rsidP="00B9218A">
      <w:pPr>
        <w:pStyle w:val="SingleTxtG"/>
        <w:ind w:left="2268" w:hanging="1134"/>
      </w:pPr>
      <w:r>
        <w:t>[4.2.1.9.2</w:t>
      </w:r>
      <w:r>
        <w:tab/>
        <w:t>The amendment does not apply to the English version.]</w:t>
      </w:r>
    </w:p>
    <w:p w14:paraId="12FBA472"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5AE06415" w14:textId="77777777" w:rsidR="00B9218A" w:rsidRDefault="00B9218A" w:rsidP="00B9218A">
      <w:pPr>
        <w:pStyle w:val="SingleTxtG"/>
        <w:keepNext/>
        <w:ind w:left="2268" w:hanging="1134"/>
      </w:pPr>
      <w:r>
        <w:t>[4.2.1.9.3</w:t>
      </w:r>
      <w:r>
        <w:tab/>
        <w:t>The amendment does not apply to the English version.]</w:t>
      </w:r>
    </w:p>
    <w:p w14:paraId="6D6C5C15"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71158564" w14:textId="77777777" w:rsidR="00B9218A" w:rsidRDefault="00B9218A" w:rsidP="00B9218A">
      <w:pPr>
        <w:pStyle w:val="SingleTxtG"/>
        <w:ind w:left="2268" w:hanging="1134"/>
      </w:pPr>
      <w:r>
        <w:t>[4.2.1.9.5</w:t>
      </w:r>
      <w:r>
        <w:tab/>
        <w:t>The amendment does not apply to the English version.]</w:t>
      </w:r>
    </w:p>
    <w:p w14:paraId="61AB3F98"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01B38436" w14:textId="77777777" w:rsidR="00B9218A" w:rsidRDefault="00B9218A" w:rsidP="00B9218A">
      <w:pPr>
        <w:pStyle w:val="SingleTxtG"/>
        <w:ind w:left="2268" w:hanging="1134"/>
      </w:pPr>
      <w:r>
        <w:t>[4.2.1.9.5.1</w:t>
      </w:r>
      <w:r>
        <w:tab/>
        <w:t>The amendment does not apply to the English version.]</w:t>
      </w:r>
    </w:p>
    <w:p w14:paraId="5EE3C4DC"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6304236F" w14:textId="77777777" w:rsidR="00B9218A" w:rsidRDefault="00B9218A" w:rsidP="00B9218A">
      <w:pPr>
        <w:pStyle w:val="SingleTxtG"/>
        <w:ind w:left="2268" w:hanging="1134"/>
      </w:pPr>
      <w:r>
        <w:t>[4.2.1.9.6</w:t>
      </w:r>
      <w:r>
        <w:tab/>
        <w:t>The amendment does not apply to the English version.]</w:t>
      </w:r>
    </w:p>
    <w:p w14:paraId="30D03F4E"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40194EFB" w14:textId="77777777" w:rsidR="00B9218A" w:rsidRDefault="00B9218A" w:rsidP="00B9218A">
      <w:pPr>
        <w:pStyle w:val="SingleTxtG"/>
        <w:ind w:left="2268" w:hanging="1134"/>
      </w:pPr>
      <w:r>
        <w:t>[4.2.1.13.13</w:t>
      </w:r>
      <w:r>
        <w:tab/>
        <w:t>The amendment does not apply to the English version.]</w:t>
      </w:r>
    </w:p>
    <w:p w14:paraId="25F7BD24"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2C1FCC45" w14:textId="77777777" w:rsidR="00B9218A" w:rsidRDefault="00B9218A" w:rsidP="00B9218A">
      <w:pPr>
        <w:pStyle w:val="SingleTxtG"/>
        <w:ind w:left="2268" w:hanging="1134"/>
      </w:pPr>
      <w:r>
        <w:t>[4.2.1.16.2</w:t>
      </w:r>
      <w:r>
        <w:tab/>
        <w:t>The amendment does not apply to the English version.]</w:t>
      </w:r>
    </w:p>
    <w:p w14:paraId="5AEC43C3"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34F081BB" w14:textId="77777777" w:rsidR="00B9218A" w:rsidRDefault="00B9218A" w:rsidP="00B9218A">
      <w:pPr>
        <w:pStyle w:val="SingleTxtG"/>
        <w:ind w:left="2268" w:hanging="1134"/>
      </w:pPr>
      <w:r>
        <w:t>[4.2.1.19.2</w:t>
      </w:r>
      <w:r>
        <w:tab/>
        <w:t>The amendment does not apply to the English version.]</w:t>
      </w:r>
    </w:p>
    <w:p w14:paraId="09ADC05F"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69B9C364" w14:textId="38F62923" w:rsidR="00B9218A" w:rsidRDefault="00B9218A" w:rsidP="00B9218A">
      <w:pPr>
        <w:pStyle w:val="SingleTxtG"/>
        <w:ind w:left="2268" w:hanging="1134"/>
      </w:pPr>
      <w:r>
        <w:t>[</w:t>
      </w:r>
      <w:r w:rsidRPr="001C5029">
        <w:t>4.</w:t>
      </w:r>
      <w:r>
        <w:t>2.3.6.2</w:t>
      </w:r>
      <w:r>
        <w:tab/>
        <w:t>In the first sentence, replace “</w:t>
      </w:r>
      <w:r w:rsidRPr="00151E34">
        <w:t>degree of filling</w:t>
      </w:r>
      <w:r>
        <w:t>” by “</w:t>
      </w:r>
      <w:r w:rsidRPr="00DF25A6">
        <w:t>quantity of gas filled into the shell</w:t>
      </w:r>
      <w:r>
        <w:t>”. In the second sentence, replace “</w:t>
      </w:r>
      <w:r w:rsidRPr="0023467F">
        <w:t xml:space="preserve">degree of filling of the </w:t>
      </w:r>
      <w:r>
        <w:t>shell” by “</w:t>
      </w:r>
      <w:r w:rsidRPr="00456BB1">
        <w:t>quantity of gas filled into the shell</w:t>
      </w:r>
      <w:r>
        <w:t>”.]</w:t>
      </w:r>
    </w:p>
    <w:p w14:paraId="1689CD17"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E17CE7">
        <w:rPr>
          <w:i/>
          <w:iCs/>
        </w:rPr>
        <w:t>, as amended)</w:t>
      </w:r>
    </w:p>
    <w:p w14:paraId="3F8DA533" w14:textId="77777777" w:rsidR="00B9218A" w:rsidRDefault="00B9218A" w:rsidP="00B9218A">
      <w:pPr>
        <w:pStyle w:val="SingleTxtG"/>
        <w:ind w:left="2268" w:hanging="1134"/>
      </w:pPr>
      <w:r>
        <w:t>[</w:t>
      </w:r>
      <w:r w:rsidRPr="001C5029">
        <w:t>4.</w:t>
      </w:r>
      <w:r>
        <w:t>2.3.6.4</w:t>
      </w:r>
      <w:r>
        <w:tab/>
        <w:t>Replace “</w:t>
      </w:r>
      <w:r w:rsidRPr="00151E34">
        <w:t>degree of filling</w:t>
      </w:r>
      <w:r>
        <w:t>” by “</w:t>
      </w:r>
      <w:r w:rsidRPr="00990496">
        <w:t>quantity of gas filled into the shell</w:t>
      </w:r>
      <w:r>
        <w:t>”.]</w:t>
      </w:r>
    </w:p>
    <w:p w14:paraId="3807780F"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1195ABD2" w14:textId="77777777" w:rsidR="00B9218A" w:rsidRDefault="00B9218A" w:rsidP="00B9218A">
      <w:pPr>
        <w:pStyle w:val="SingleTxtG"/>
        <w:ind w:left="2268" w:hanging="1134"/>
      </w:pPr>
      <w:r>
        <w:t>[</w:t>
      </w:r>
      <w:r w:rsidRPr="001C5029">
        <w:t>4.</w:t>
      </w:r>
      <w:r>
        <w:t>2.5.2.3</w:t>
      </w:r>
      <w:r>
        <w:tab/>
        <w:t>Replace “</w:t>
      </w:r>
      <w:r w:rsidRPr="00151E34">
        <w:t>degree of filling</w:t>
      </w:r>
      <w:r>
        <w:t>” by “filling ratio”.]</w:t>
      </w:r>
    </w:p>
    <w:p w14:paraId="35ED5EFF"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6E622FF4" w14:textId="77777777" w:rsidR="00B9218A" w:rsidRDefault="00B9218A" w:rsidP="00B9218A">
      <w:pPr>
        <w:pStyle w:val="SingleTxtG"/>
        <w:ind w:left="2268" w:hanging="1134"/>
      </w:pPr>
      <w:r>
        <w:t>[</w:t>
      </w:r>
      <w:r w:rsidRPr="001C5029">
        <w:t>4.</w:t>
      </w:r>
      <w:r>
        <w:t>2.5.2.6, T23</w:t>
      </w:r>
      <w:r>
        <w:tab/>
        <w:t>The amendment does not apply to the English version.]</w:t>
      </w:r>
    </w:p>
    <w:p w14:paraId="47D6A33E"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10416841" w14:textId="77777777" w:rsidR="00B9218A" w:rsidRDefault="00B9218A" w:rsidP="00B9218A">
      <w:pPr>
        <w:pStyle w:val="SingleTxtG"/>
        <w:ind w:left="2268" w:hanging="1134"/>
      </w:pPr>
      <w:r>
        <w:t>[</w:t>
      </w:r>
      <w:r w:rsidRPr="001C5029">
        <w:t>4.</w:t>
      </w:r>
      <w:r>
        <w:t>2.5.2.6, T50</w:t>
      </w:r>
      <w:r>
        <w:tab/>
        <w:t>The amendment does not apply to the English version.]</w:t>
      </w:r>
    </w:p>
    <w:p w14:paraId="38493A37"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6C4B1716" w14:textId="77777777" w:rsidR="00B9218A" w:rsidRDefault="00B9218A" w:rsidP="00B9218A">
      <w:pPr>
        <w:pStyle w:val="SingleTxtG"/>
        <w:ind w:left="2268" w:hanging="1134"/>
      </w:pPr>
      <w:r>
        <w:t>[</w:t>
      </w:r>
      <w:r w:rsidRPr="001C5029">
        <w:t>4.</w:t>
      </w:r>
      <w:r>
        <w:t>2.5.3, TP1</w:t>
      </w:r>
      <w:r>
        <w:tab/>
        <w:t>The amendment does not apply to the English version.]</w:t>
      </w:r>
    </w:p>
    <w:p w14:paraId="17C18F4C"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77A30416" w14:textId="77777777" w:rsidR="00B9218A" w:rsidRDefault="00B9218A" w:rsidP="00B9218A">
      <w:pPr>
        <w:pStyle w:val="SingleTxtG"/>
        <w:ind w:left="2268" w:hanging="1134"/>
      </w:pPr>
      <w:r>
        <w:t>[</w:t>
      </w:r>
      <w:r w:rsidRPr="001C5029">
        <w:t>4.</w:t>
      </w:r>
      <w:r>
        <w:t>2.5.3, TP2</w:t>
      </w:r>
      <w:r>
        <w:tab/>
        <w:t>The amendment does not apply to the English version.]</w:t>
      </w:r>
    </w:p>
    <w:p w14:paraId="43E0CA03"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21B29F0C" w14:textId="77777777" w:rsidR="00B9218A" w:rsidRDefault="00B9218A" w:rsidP="00B9218A">
      <w:pPr>
        <w:pStyle w:val="SingleTxtG"/>
        <w:ind w:left="2268" w:hanging="1134"/>
      </w:pPr>
      <w:r>
        <w:t>[</w:t>
      </w:r>
      <w:r w:rsidRPr="001C5029">
        <w:t>4.</w:t>
      </w:r>
      <w:r>
        <w:t>2.5.3, TP3</w:t>
      </w:r>
      <w:r>
        <w:tab/>
        <w:t>The amendment does not apply to the English version.]</w:t>
      </w:r>
    </w:p>
    <w:p w14:paraId="5C8C4D8C"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0D87EAED" w14:textId="77777777" w:rsidR="00B9218A" w:rsidRDefault="00B9218A" w:rsidP="00B9218A">
      <w:pPr>
        <w:pStyle w:val="SingleTxtG"/>
        <w:ind w:left="2268" w:hanging="1134"/>
      </w:pPr>
      <w:r>
        <w:t>[</w:t>
      </w:r>
      <w:r w:rsidRPr="001C5029">
        <w:t>4.</w:t>
      </w:r>
      <w:r>
        <w:t>2.5.3, TP4</w:t>
      </w:r>
      <w:r>
        <w:tab/>
        <w:t>The amendment does not apply to the English version.]</w:t>
      </w:r>
    </w:p>
    <w:p w14:paraId="324C2B43"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2F2486C7" w14:textId="77777777" w:rsidR="00B9218A" w:rsidRDefault="00B9218A" w:rsidP="00B9218A">
      <w:pPr>
        <w:pStyle w:val="SingleTxtG"/>
        <w:ind w:left="2268" w:hanging="1134"/>
      </w:pPr>
      <w:r>
        <w:t>[</w:t>
      </w:r>
      <w:r w:rsidRPr="001C5029">
        <w:t>4.</w:t>
      </w:r>
      <w:r>
        <w:t>2.5.3, TP5</w:t>
      </w:r>
      <w:r>
        <w:tab/>
        <w:t>Replace “</w:t>
      </w:r>
      <w:r w:rsidRPr="00151E34">
        <w:t>degree of filling</w:t>
      </w:r>
      <w:r>
        <w:t>” by “</w:t>
      </w:r>
      <w:r w:rsidRPr="0078319A">
        <w:t>restrictions on filling</w:t>
      </w:r>
      <w:r>
        <w:t>”.]</w:t>
      </w:r>
    </w:p>
    <w:p w14:paraId="2753472D"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40DE5CBE" w14:textId="77777777" w:rsidR="00B9218A" w:rsidRPr="001C5029" w:rsidRDefault="00B9218A" w:rsidP="00B9218A">
      <w:pPr>
        <w:pStyle w:val="H1G"/>
      </w:pPr>
      <w:r w:rsidRPr="001C5029">
        <w:tab/>
      </w:r>
      <w:r w:rsidRPr="001C5029">
        <w:tab/>
        <w:t xml:space="preserve">Chapter </w:t>
      </w:r>
      <w:r>
        <w:t>5.3</w:t>
      </w:r>
    </w:p>
    <w:p w14:paraId="2D98C53C" w14:textId="77777777" w:rsidR="00B9218A" w:rsidRDefault="00B9218A" w:rsidP="00B9218A">
      <w:pPr>
        <w:pStyle w:val="SingleTxtG"/>
        <w:keepNext/>
        <w:ind w:left="2268" w:hanging="1134"/>
      </w:pPr>
      <w:r>
        <w:t>5.3.1.1.5.1</w:t>
      </w:r>
      <w:r>
        <w:tab/>
        <w:t>In the first sentence, after “SCO-I”, add “or SCO-III”.</w:t>
      </w:r>
    </w:p>
    <w:p w14:paraId="58D34AF7"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w:t>
      </w:r>
      <w:r>
        <w:rPr>
          <w:i/>
          <w:iCs/>
        </w:rPr>
        <w:t>31</w:t>
      </w:r>
      <w:r w:rsidRPr="001C5029">
        <w:rPr>
          <w:i/>
          <w:iCs/>
        </w:rPr>
        <w:t>)</w:t>
      </w:r>
    </w:p>
    <w:p w14:paraId="3CEFBA1A" w14:textId="77777777" w:rsidR="00B9218A" w:rsidRPr="001C5029" w:rsidRDefault="00B9218A" w:rsidP="00B9218A">
      <w:pPr>
        <w:pStyle w:val="H1G"/>
      </w:pPr>
      <w:r w:rsidRPr="001C5029">
        <w:tab/>
      </w:r>
      <w:r w:rsidRPr="001C5029">
        <w:tab/>
        <w:t>Chapter 5.5</w:t>
      </w:r>
    </w:p>
    <w:p w14:paraId="53C33F27" w14:textId="77777777" w:rsidR="00B9218A" w:rsidRPr="001C5029" w:rsidRDefault="00B9218A" w:rsidP="00B9218A">
      <w:pPr>
        <w:pStyle w:val="SingleTxtG"/>
        <w:ind w:left="2268" w:hanging="1134"/>
        <w:rPr>
          <w:lang w:val="en-US"/>
        </w:rPr>
      </w:pPr>
      <w:r w:rsidRPr="001C5029">
        <w:t>5.5.3.3.1</w:t>
      </w:r>
      <w:r w:rsidRPr="001C5029">
        <w:tab/>
        <w:t xml:space="preserve">Replace </w:t>
      </w:r>
      <w:r w:rsidRPr="001C5029">
        <w:rPr>
          <w:lang w:val="en-US"/>
        </w:rPr>
        <w:t>“P650, P800, P901 or P904” by “P650 or P800”.</w:t>
      </w:r>
    </w:p>
    <w:p w14:paraId="045A8E7E" w14:textId="77777777" w:rsidR="00B9218A" w:rsidRPr="001C5029" w:rsidRDefault="00B9218A" w:rsidP="00B9218A">
      <w:pPr>
        <w:pStyle w:val="SingleTxtG"/>
        <w:rPr>
          <w:i/>
          <w:iCs/>
        </w:rPr>
      </w:pPr>
      <w:r w:rsidRPr="001C5029">
        <w:rPr>
          <w:i/>
          <w:iCs/>
        </w:rPr>
        <w:t>(Reference document: ST/SG/AC.10/C.3/2022/12, as amended)</w:t>
      </w:r>
    </w:p>
    <w:p w14:paraId="21192AA7" w14:textId="77777777" w:rsidR="00B9218A" w:rsidRPr="001C5029" w:rsidRDefault="00B9218A" w:rsidP="00B9218A">
      <w:pPr>
        <w:pStyle w:val="H1G"/>
      </w:pPr>
      <w:r w:rsidRPr="001C5029">
        <w:tab/>
      </w:r>
      <w:r w:rsidRPr="001C5029">
        <w:tab/>
        <w:t>Chapter 6.1</w:t>
      </w:r>
    </w:p>
    <w:p w14:paraId="5D8608F4" w14:textId="77777777" w:rsidR="00B9218A" w:rsidRPr="001C5029" w:rsidRDefault="00B9218A" w:rsidP="00B9218A">
      <w:pPr>
        <w:pStyle w:val="SingleTxtG"/>
        <w:ind w:left="2268" w:hanging="1134"/>
      </w:pPr>
      <w:r w:rsidRPr="001C5029">
        <w:t>6.1.3.1</w:t>
      </w:r>
      <w:r w:rsidRPr="001C5029">
        <w:tab/>
        <w:t>In the first sentence, after “marks”, insert “on a non-removable component”.</w:t>
      </w:r>
    </w:p>
    <w:p w14:paraId="7A1272FF" w14:textId="77777777" w:rsidR="00B9218A" w:rsidRPr="001C5029" w:rsidRDefault="00B9218A" w:rsidP="00B9218A">
      <w:pPr>
        <w:pStyle w:val="SingleTxtG"/>
        <w:ind w:left="2268" w:hanging="1134"/>
      </w:pPr>
      <w:r w:rsidRPr="001C5029">
        <w:tab/>
        <w:t>After the first paragraph, add the following new note:</w:t>
      </w:r>
    </w:p>
    <w:p w14:paraId="30D2923B" w14:textId="77777777" w:rsidR="00B9218A" w:rsidRPr="001C5029" w:rsidRDefault="00B9218A" w:rsidP="00C97CF3">
      <w:pPr>
        <w:pStyle w:val="SingleTxtG"/>
      </w:pPr>
      <w:r w:rsidRPr="001C5029">
        <w:t>“</w:t>
      </w:r>
      <w:r w:rsidRPr="001C5029">
        <w:rPr>
          <w:b/>
          <w:bCs/>
          <w:i/>
          <w:iCs/>
        </w:rPr>
        <w:t>NOTE:</w:t>
      </w:r>
      <w:r w:rsidRPr="001C5029">
        <w:rPr>
          <w:i/>
          <w:iCs/>
        </w:rPr>
        <w:tab/>
        <w:t xml:space="preserve">The provisions of 6.1.3.1 of the twenty-second revised edition of the Recommendations on the Transport of Dangerous Goods, Model Regulations may continue to be applied until 31 December 2026. </w:t>
      </w:r>
      <w:proofErr w:type="spellStart"/>
      <w:r w:rsidRPr="001C5029">
        <w:rPr>
          <w:i/>
          <w:iCs/>
        </w:rPr>
        <w:t>Packagings</w:t>
      </w:r>
      <w:proofErr w:type="spellEnd"/>
      <w:r w:rsidRPr="001C5029">
        <w:rPr>
          <w:i/>
          <w:iCs/>
        </w:rPr>
        <w:t xml:space="preserve"> manufactured before 1 January 2027 according to the provisions applicable at the date of manufacture may continue to be used.</w:t>
      </w:r>
      <w:r w:rsidRPr="001C5029">
        <w:t>”</w:t>
      </w:r>
    </w:p>
    <w:p w14:paraId="1940A300" w14:textId="77777777" w:rsidR="00B9218A" w:rsidRPr="001C5029" w:rsidRDefault="00B9218A" w:rsidP="00B9218A">
      <w:pPr>
        <w:pStyle w:val="SingleTxtG"/>
        <w:rPr>
          <w:i/>
          <w:iCs/>
        </w:rPr>
      </w:pPr>
      <w:r w:rsidRPr="001C5029">
        <w:rPr>
          <w:i/>
          <w:iCs/>
        </w:rPr>
        <w:t>(Reference document: ST/SG/AC.10/C.3/2022/41)</w:t>
      </w:r>
    </w:p>
    <w:p w14:paraId="5FB9E800" w14:textId="77777777" w:rsidR="00B9218A" w:rsidRDefault="00B9218A" w:rsidP="00B9218A">
      <w:pPr>
        <w:pStyle w:val="SingleTxtG"/>
        <w:ind w:left="2268" w:hanging="1134"/>
      </w:pPr>
      <w:r>
        <w:t>[6.1.5.5.4</w:t>
      </w:r>
      <w:r>
        <w:tab/>
        <w:t>The amendment does not apply to the English version.]</w:t>
      </w:r>
    </w:p>
    <w:p w14:paraId="7A064042"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5CDC1245" w14:textId="77777777" w:rsidR="00B9218A" w:rsidRPr="001C5029" w:rsidRDefault="00B9218A" w:rsidP="00B9218A">
      <w:pPr>
        <w:pStyle w:val="H1G"/>
      </w:pPr>
      <w:r w:rsidRPr="001C5029">
        <w:tab/>
      </w:r>
      <w:r w:rsidRPr="001C5029">
        <w:tab/>
        <w:t>Chapter 6.2</w:t>
      </w:r>
    </w:p>
    <w:p w14:paraId="01B5C94C" w14:textId="77777777" w:rsidR="00B9218A" w:rsidRDefault="00B9218A" w:rsidP="00B9218A">
      <w:pPr>
        <w:pStyle w:val="SingleTxtG"/>
        <w:ind w:left="2268" w:hanging="1134"/>
      </w:pPr>
      <w:r>
        <w:t>6.2.1.5.2</w:t>
      </w:r>
      <w:r>
        <w:tab/>
        <w:t>Insert the following note at the end:</w:t>
      </w:r>
    </w:p>
    <w:p w14:paraId="35F80F20" w14:textId="77777777" w:rsidR="00B9218A" w:rsidRDefault="00B9218A" w:rsidP="00B9218A">
      <w:pPr>
        <w:pStyle w:val="SingleTxtG"/>
      </w:pPr>
      <w:r>
        <w:t>“</w:t>
      </w:r>
      <w:r w:rsidRPr="00326D67">
        <w:rPr>
          <w:b/>
          <w:bCs/>
          <w:i/>
          <w:iCs/>
        </w:rPr>
        <w:t>NOTE:</w:t>
      </w:r>
      <w:r w:rsidRPr="00326D67">
        <w:rPr>
          <w:i/>
          <w:iCs/>
        </w:rPr>
        <w:tab/>
        <w:t>Closed cryogenic receptacles which were constructed in accordance with the initial inspection and test requirements of 6.2.1.5.2 applicable in the twenty-first revised edition of the Model Regulations but which do not however conform to the requirements of 6.2.1.5.2 relating to the initial inspection and test applicable in the twenty-second revised edition of the Model Regulations, may continue to be used.</w:t>
      </w:r>
      <w:r>
        <w:t>”</w:t>
      </w:r>
    </w:p>
    <w:p w14:paraId="0869000B"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ST/SG/AC.10/C.3/2022/6</w:t>
      </w:r>
      <w:r w:rsidRPr="001C5029">
        <w:rPr>
          <w:i/>
          <w:iCs/>
        </w:rPr>
        <w:t>)</w:t>
      </w:r>
    </w:p>
    <w:p w14:paraId="3F336011" w14:textId="77777777" w:rsidR="00B9218A" w:rsidRPr="001C5029" w:rsidRDefault="00B9218A" w:rsidP="00B9218A">
      <w:pPr>
        <w:pStyle w:val="SingleTxtG"/>
        <w:ind w:left="2268" w:hanging="1134"/>
      </w:pPr>
      <w:r w:rsidRPr="001C5029">
        <w:t>6.2.1.6.1</w:t>
      </w:r>
      <w:r w:rsidRPr="001C5029">
        <w:tab/>
        <w:t xml:space="preserve">In (d), note 3, first sentence, after “ISO 18119:2018”, add “+ </w:t>
      </w:r>
      <w:proofErr w:type="spellStart"/>
      <w:r w:rsidRPr="001C5029">
        <w:t>Amd</w:t>
      </w:r>
      <w:proofErr w:type="spellEnd"/>
      <w:r w:rsidRPr="001C5029">
        <w:t xml:space="preserve"> 1:2021”. Add the following new second sentence: “For a transitional period until 31 December 2026 the standard ISO 18119:2018 may be used for this same purpose”</w:t>
      </w:r>
    </w:p>
    <w:p w14:paraId="30F93D40" w14:textId="77777777" w:rsidR="00B9218A" w:rsidRPr="001C5029" w:rsidRDefault="00B9218A" w:rsidP="00B9218A">
      <w:pPr>
        <w:pStyle w:val="SingleTxtG"/>
        <w:rPr>
          <w:i/>
          <w:iCs/>
        </w:rPr>
      </w:pPr>
      <w:r w:rsidRPr="001C5029">
        <w:rPr>
          <w:i/>
          <w:iCs/>
        </w:rPr>
        <w:t>(Reference document: ST/SG/AC.10/C.3/2022/14, proposal 3)</w:t>
      </w:r>
    </w:p>
    <w:p w14:paraId="64AF8841" w14:textId="77777777" w:rsidR="00B9218A" w:rsidRPr="001C5029" w:rsidRDefault="00B9218A" w:rsidP="00B9218A">
      <w:pPr>
        <w:pStyle w:val="SingleTxtG"/>
        <w:keepNext/>
        <w:ind w:left="2268" w:hanging="1134"/>
      </w:pPr>
      <w:r w:rsidRPr="001C5029">
        <w:t>6.2.2.2</w:t>
      </w:r>
      <w:r w:rsidRPr="001C5029">
        <w:tab/>
        <w:t xml:space="preserve">In the table, replace “ISO 11114-1:2012 + A1:2017” by “ISO 11114-1:2012 + </w:t>
      </w:r>
      <w:proofErr w:type="spellStart"/>
      <w:r w:rsidRPr="001C5029">
        <w:t>Amd</w:t>
      </w:r>
      <w:proofErr w:type="spellEnd"/>
      <w:r w:rsidRPr="001C5029">
        <w:t> 1:2017”.</w:t>
      </w:r>
    </w:p>
    <w:p w14:paraId="3D0B14CF" w14:textId="77777777" w:rsidR="00B9218A" w:rsidRPr="001C5029" w:rsidRDefault="00B9218A" w:rsidP="00B9218A">
      <w:pPr>
        <w:pStyle w:val="SingleTxtG"/>
        <w:rPr>
          <w:i/>
          <w:iCs/>
        </w:rPr>
      </w:pPr>
      <w:r w:rsidRPr="001C5029">
        <w:rPr>
          <w:i/>
          <w:iCs/>
        </w:rPr>
        <w:t>(Reference document: ST/SG/AC.10/C.3/2022/14, proposal on editorial amendments)</w:t>
      </w:r>
    </w:p>
    <w:p w14:paraId="6D2A11F4" w14:textId="77777777" w:rsidR="00B9218A" w:rsidRPr="001C5029" w:rsidRDefault="00B9218A" w:rsidP="00B9218A">
      <w:pPr>
        <w:pStyle w:val="SingleTxtG"/>
        <w:ind w:left="2268" w:hanging="1134"/>
      </w:pPr>
      <w:r w:rsidRPr="001C5029">
        <w:tab/>
        <w:t>In the table, replace “ISO 11114-2:2013” by “ISO 11114-2:2021”. The second amendment does not apply to the English version.</w:t>
      </w:r>
    </w:p>
    <w:p w14:paraId="01FFA5CC" w14:textId="77777777" w:rsidR="00B9218A" w:rsidRPr="001C5029" w:rsidRDefault="00B9218A" w:rsidP="00B9218A">
      <w:pPr>
        <w:pStyle w:val="SingleTxtG"/>
        <w:rPr>
          <w:i/>
          <w:iCs/>
        </w:rPr>
      </w:pPr>
      <w:r w:rsidRPr="001C5029">
        <w:rPr>
          <w:i/>
          <w:iCs/>
        </w:rPr>
        <w:t>(Reference document: ST/SG/AC.10/C.3/2022/14, proposal 1)</w:t>
      </w:r>
    </w:p>
    <w:p w14:paraId="478822CE" w14:textId="77777777" w:rsidR="00B9218A" w:rsidRPr="001C5029" w:rsidRDefault="00B9218A" w:rsidP="00B9218A">
      <w:pPr>
        <w:pStyle w:val="SingleTxtG"/>
        <w:ind w:left="2268" w:hanging="1134"/>
      </w:pPr>
      <w:r w:rsidRPr="001C5029">
        <w:t>6.2.2.3</w:t>
      </w:r>
      <w:r w:rsidRPr="001C5029">
        <w:tab/>
        <w:t xml:space="preserve">In the first table, replace “ISO 10297:2014 + A1:2017” by “ISO 10297:2014 + </w:t>
      </w:r>
      <w:proofErr w:type="spellStart"/>
      <w:r w:rsidRPr="001C5029">
        <w:t>Amd</w:t>
      </w:r>
      <w:proofErr w:type="spellEnd"/>
      <w:r w:rsidRPr="001C5029">
        <w:t xml:space="preserve"> 1:2017” and replace “ISO 14246:2014 + A1:2017” by “ISO 14246:2014 + </w:t>
      </w:r>
      <w:proofErr w:type="spellStart"/>
      <w:r w:rsidRPr="001C5029">
        <w:t>Amd</w:t>
      </w:r>
      <w:proofErr w:type="spellEnd"/>
      <w:r w:rsidRPr="001C5029">
        <w:t xml:space="preserve"> 1:2017”.</w:t>
      </w:r>
    </w:p>
    <w:p w14:paraId="4CAC0C4F" w14:textId="77777777" w:rsidR="00B9218A" w:rsidRPr="001C5029" w:rsidRDefault="00B9218A" w:rsidP="00B9218A">
      <w:pPr>
        <w:pStyle w:val="SingleTxtG"/>
        <w:rPr>
          <w:i/>
          <w:iCs/>
        </w:rPr>
      </w:pPr>
      <w:r w:rsidRPr="001C5029">
        <w:rPr>
          <w:i/>
          <w:iCs/>
        </w:rPr>
        <w:t>(Reference document: ST/SG/AC.10/C.3/2022/14, proposal on editorial amendments)</w:t>
      </w:r>
    </w:p>
    <w:p w14:paraId="7F610A83" w14:textId="77777777" w:rsidR="00B9218A" w:rsidRPr="001C5029" w:rsidRDefault="00B9218A" w:rsidP="00B9218A">
      <w:pPr>
        <w:tabs>
          <w:tab w:val="left" w:pos="2268"/>
        </w:tabs>
        <w:kinsoku/>
        <w:overflowPunct/>
        <w:autoSpaceDE/>
        <w:autoSpaceDN/>
        <w:adjustRightInd/>
        <w:snapToGrid/>
        <w:spacing w:before="120" w:after="120"/>
        <w:ind w:left="2268" w:right="1134" w:hanging="1134"/>
        <w:jc w:val="both"/>
      </w:pPr>
      <w:r w:rsidRPr="001C5029">
        <w:t>6.2.2.4</w:t>
      </w:r>
      <w:r w:rsidRPr="001C5029">
        <w:tab/>
      </w:r>
      <w:r w:rsidRPr="001C5029">
        <w:tab/>
        <w:t>In the first table, in the row for ISO 18119:2018, replace “Until further notice” by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B9218A" w:rsidRPr="001C5029" w14:paraId="2C2AC471" w14:textId="77777777" w:rsidTr="00453509">
        <w:tc>
          <w:tcPr>
            <w:tcW w:w="1696" w:type="dxa"/>
            <w:shd w:val="clear" w:color="auto" w:fill="auto"/>
          </w:tcPr>
          <w:p w14:paraId="48DD3F4C" w14:textId="77777777" w:rsidR="00B9218A" w:rsidRPr="001C5029" w:rsidRDefault="00B9218A" w:rsidP="00453509">
            <w:r w:rsidRPr="001C5029">
              <w:rPr>
                <w:iCs/>
                <w:color w:val="000000"/>
              </w:rPr>
              <w:t>ISO 18119:2018 +</w:t>
            </w:r>
            <w:proofErr w:type="spellStart"/>
            <w:r w:rsidRPr="001C5029">
              <w:rPr>
                <w:iCs/>
                <w:color w:val="000000"/>
              </w:rPr>
              <w:t>Amd</w:t>
            </w:r>
            <w:proofErr w:type="spellEnd"/>
            <w:r w:rsidRPr="001C5029">
              <w:rPr>
                <w:iCs/>
                <w:color w:val="000000"/>
              </w:rPr>
              <w:t xml:space="preserve"> 1:2021</w:t>
            </w:r>
          </w:p>
        </w:tc>
        <w:tc>
          <w:tcPr>
            <w:tcW w:w="4508" w:type="dxa"/>
            <w:shd w:val="clear" w:color="auto" w:fill="auto"/>
          </w:tcPr>
          <w:p w14:paraId="6AD21C40" w14:textId="77777777" w:rsidR="00B9218A" w:rsidRPr="001C5029" w:rsidRDefault="00B9218A" w:rsidP="00453509">
            <w:r w:rsidRPr="001C5029">
              <w:rPr>
                <w:iCs/>
                <w:color w:val="000000"/>
              </w:rPr>
              <w:t>Gas cylinders – Seamless steel and seamless aluminium-alloy gas cylinders and tubes — Periodic inspection and testing</w:t>
            </w:r>
          </w:p>
        </w:tc>
        <w:tc>
          <w:tcPr>
            <w:tcW w:w="1446" w:type="dxa"/>
            <w:shd w:val="clear" w:color="auto" w:fill="auto"/>
          </w:tcPr>
          <w:p w14:paraId="1992B4B2" w14:textId="77777777" w:rsidR="00B9218A" w:rsidRPr="001C5029" w:rsidRDefault="00B9218A" w:rsidP="00453509">
            <w:r w:rsidRPr="001C5029">
              <w:t>Until further notice</w:t>
            </w:r>
          </w:p>
        </w:tc>
      </w:tr>
    </w:tbl>
    <w:p w14:paraId="7FBEEA3B" w14:textId="77777777" w:rsidR="00B9218A" w:rsidRPr="001C5029" w:rsidRDefault="00B9218A" w:rsidP="00B9218A">
      <w:pPr>
        <w:tabs>
          <w:tab w:val="left" w:pos="2268"/>
        </w:tabs>
        <w:kinsoku/>
        <w:overflowPunct/>
        <w:autoSpaceDE/>
        <w:autoSpaceDN/>
        <w:adjustRightInd/>
        <w:snapToGrid/>
        <w:spacing w:before="120" w:after="120"/>
        <w:ind w:left="2268" w:right="1134" w:hanging="1134"/>
        <w:jc w:val="both"/>
      </w:pPr>
      <w:r w:rsidRPr="001C5029">
        <w:tab/>
        <w:t xml:space="preserve">For ISO 10461:2005/A1:2006, replace “ISO 10461:2005/A1:2006” by “ISO 10461:2014 + </w:t>
      </w:r>
      <w:proofErr w:type="spellStart"/>
      <w:r w:rsidRPr="001C5029">
        <w:t>Amd</w:t>
      </w:r>
      <w:proofErr w:type="spellEnd"/>
      <w:r w:rsidRPr="001C5029">
        <w:t xml:space="preserve"> 1:2005”.</w:t>
      </w:r>
    </w:p>
    <w:p w14:paraId="5A2CC8B3" w14:textId="77777777" w:rsidR="00B9218A" w:rsidRPr="001C5029" w:rsidRDefault="00B9218A" w:rsidP="00B9218A">
      <w:pPr>
        <w:pStyle w:val="SingleTxtG"/>
        <w:rPr>
          <w:i/>
          <w:iCs/>
        </w:rPr>
      </w:pPr>
      <w:r w:rsidRPr="001C5029">
        <w:rPr>
          <w:i/>
          <w:iCs/>
        </w:rPr>
        <w:t>(Reference document: ST/SG/AC.10/C.3/2022/14, proposal 3 and proposal on editorial amendments)</w:t>
      </w:r>
    </w:p>
    <w:p w14:paraId="031C7131" w14:textId="77777777" w:rsidR="00B9218A" w:rsidRDefault="00B9218A" w:rsidP="00B9218A">
      <w:pPr>
        <w:pStyle w:val="SingleTxtG"/>
        <w:ind w:left="2268" w:hanging="1134"/>
      </w:pPr>
      <w:r>
        <w:t>6.2.2.7.3</w:t>
      </w:r>
      <w:r>
        <w:tab/>
        <w:t>Insert the following note at the end:</w:t>
      </w:r>
    </w:p>
    <w:p w14:paraId="752F296F" w14:textId="77777777" w:rsidR="00B9218A" w:rsidRDefault="00B9218A" w:rsidP="00B9218A">
      <w:pPr>
        <w:pStyle w:val="SingleTxtG"/>
      </w:pPr>
      <w:r>
        <w:t>“</w:t>
      </w:r>
      <w:r w:rsidRPr="00326D67">
        <w:rPr>
          <w:b/>
          <w:bCs/>
          <w:i/>
          <w:iCs/>
        </w:rPr>
        <w:t>NOTE:</w:t>
      </w:r>
      <w:r w:rsidRPr="00326D67">
        <w:rPr>
          <w:i/>
          <w:iCs/>
        </w:rPr>
        <w:tab/>
        <w:t>Acetylene cylinders constructed in accordance with the twenty-first revised edition of the Model Regulations which are not marked in accordance with 6.2.2.7.3 (k) or (l) applicable in the twenty-second revised edition of the Model Regulations, may continue to be used until the next periodic inspection and test two years after the coming into force of the twenty-third revised edition of the Model Regulation where they have to be marked according to the twenty-third revised edition of the Model Regulations or be taken out of operation.</w:t>
      </w:r>
      <w:r>
        <w:t>”</w:t>
      </w:r>
    </w:p>
    <w:p w14:paraId="2D556FDA"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ST/SG/AC.10/C.3/2022/6</w:t>
      </w:r>
      <w:r w:rsidRPr="001C5029">
        <w:rPr>
          <w:i/>
          <w:iCs/>
        </w:rPr>
        <w:t>)</w:t>
      </w:r>
    </w:p>
    <w:p w14:paraId="41B0D796" w14:textId="77777777" w:rsidR="00B9218A" w:rsidRDefault="00B9218A" w:rsidP="00B9218A">
      <w:pPr>
        <w:pStyle w:val="SingleTxtG"/>
        <w:ind w:left="2268" w:hanging="1134"/>
      </w:pPr>
      <w:r>
        <w:t>6.2.2.11</w:t>
      </w:r>
      <w:r>
        <w:tab/>
        <w:t>Insert the following note at the end:</w:t>
      </w:r>
    </w:p>
    <w:p w14:paraId="384B63B8" w14:textId="77777777" w:rsidR="00B9218A" w:rsidRDefault="00B9218A" w:rsidP="00B9218A">
      <w:pPr>
        <w:pStyle w:val="SingleTxtG"/>
      </w:pPr>
      <w:r>
        <w:t>“</w:t>
      </w:r>
      <w:r w:rsidRPr="00326D67">
        <w:rPr>
          <w:b/>
          <w:bCs/>
          <w:i/>
          <w:iCs/>
        </w:rPr>
        <w:t>NOTE:</w:t>
      </w:r>
      <w:r w:rsidRPr="00326D67">
        <w:rPr>
          <w:i/>
          <w:iCs/>
        </w:rPr>
        <w:tab/>
        <w:t xml:space="preserve">Closures of refillable pressure receptacles constructed manufactured before 1 </w:t>
      </w:r>
      <w:r>
        <w:rPr>
          <w:i/>
          <w:iCs/>
        </w:rPr>
        <w:t>January</w:t>
      </w:r>
      <w:r w:rsidRPr="00326D67">
        <w:rPr>
          <w:i/>
          <w:iCs/>
        </w:rPr>
        <w:t xml:space="preserve"> 202</w:t>
      </w:r>
      <w:r>
        <w:rPr>
          <w:i/>
          <w:iCs/>
        </w:rPr>
        <w:t>7</w:t>
      </w:r>
      <w:r w:rsidRPr="00326D67">
        <w:rPr>
          <w:i/>
          <w:iCs/>
        </w:rPr>
        <w:t xml:space="preserve"> in accordance with the requirements applicable in the twenty-first revised edition of the Model Regulations which are not marked in accordance with the requirements of 6.2.2.11 applicable in the twenty second revised edition may continue to be used.</w:t>
      </w:r>
      <w:r>
        <w:t>”</w:t>
      </w:r>
    </w:p>
    <w:p w14:paraId="3F3D5599"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ST/SG/AC.10/C.3/2022/6</w:t>
      </w:r>
      <w:r>
        <w:rPr>
          <w:i/>
          <w:iCs/>
        </w:rPr>
        <w:t>, as amended</w:t>
      </w:r>
      <w:r w:rsidRPr="001C5029">
        <w:rPr>
          <w:i/>
          <w:iCs/>
        </w:rPr>
        <w:t>)</w:t>
      </w:r>
    </w:p>
    <w:p w14:paraId="2F099A90" w14:textId="77777777" w:rsidR="00B9218A" w:rsidRPr="001C5029" w:rsidRDefault="00B9218A" w:rsidP="00B9218A">
      <w:pPr>
        <w:pStyle w:val="H1G"/>
      </w:pPr>
      <w:r w:rsidRPr="001C5029">
        <w:tab/>
      </w:r>
      <w:r w:rsidRPr="001C5029">
        <w:tab/>
        <w:t xml:space="preserve">Chapter </w:t>
      </w:r>
      <w:r>
        <w:t>6.5</w:t>
      </w:r>
    </w:p>
    <w:p w14:paraId="1E7B40D5" w14:textId="77777777" w:rsidR="00B9218A" w:rsidRDefault="00B9218A" w:rsidP="00B9218A">
      <w:pPr>
        <w:pStyle w:val="SingleTxtG"/>
        <w:ind w:left="2268" w:hanging="1134"/>
      </w:pPr>
      <w:r>
        <w:t>[6.5.5.1.7</w:t>
      </w:r>
      <w:r>
        <w:tab/>
        <w:t>The amendment does not apply to the English version.]</w:t>
      </w:r>
    </w:p>
    <w:p w14:paraId="7972FFE5"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4BCFF033" w14:textId="77777777" w:rsidR="00B9218A" w:rsidRDefault="00B9218A" w:rsidP="00B9218A">
      <w:pPr>
        <w:pStyle w:val="SingleTxtG"/>
        <w:ind w:left="2268" w:hanging="1134"/>
      </w:pPr>
      <w:r>
        <w:t>[6.5.6.8.4.2</w:t>
      </w:r>
      <w:r>
        <w:tab/>
        <w:t>The amendment does not apply to the English version.]</w:t>
      </w:r>
    </w:p>
    <w:p w14:paraId="033E9FAF"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1480B72C" w14:textId="77777777" w:rsidR="00B9218A" w:rsidRPr="001C5029" w:rsidRDefault="00B9218A" w:rsidP="00B9218A">
      <w:pPr>
        <w:pStyle w:val="H1G"/>
      </w:pPr>
      <w:r w:rsidRPr="001C5029">
        <w:tab/>
      </w:r>
      <w:r w:rsidRPr="001C5029">
        <w:tab/>
        <w:t xml:space="preserve">Chapter </w:t>
      </w:r>
      <w:r>
        <w:t>6.7</w:t>
      </w:r>
    </w:p>
    <w:p w14:paraId="28FFC81D" w14:textId="77777777" w:rsidR="00B9218A" w:rsidRDefault="00B9218A" w:rsidP="00B9218A">
      <w:pPr>
        <w:pStyle w:val="SingleTxtG"/>
        <w:ind w:left="2268" w:hanging="1134"/>
      </w:pPr>
      <w:r>
        <w:t>[6.7.4.15.1</w:t>
      </w:r>
      <w:r>
        <w:tab/>
        <w:t>In (</w:t>
      </w:r>
      <w:proofErr w:type="spellStart"/>
      <w:r>
        <w:t>i</w:t>
      </w:r>
      <w:proofErr w:type="spellEnd"/>
      <w:r>
        <w:t>) (iv), replace “</w:t>
      </w:r>
      <w:r w:rsidRPr="00151E34">
        <w:t>degree of filling</w:t>
      </w:r>
      <w:r>
        <w:t>” by “</w:t>
      </w:r>
      <w:r w:rsidRPr="00F83B9D">
        <w:t>Maximum allowable mass of gas filled</w:t>
      </w:r>
      <w:r>
        <w:t>”.</w:t>
      </w:r>
    </w:p>
    <w:p w14:paraId="77ACC2B2" w14:textId="77777777" w:rsidR="00B9218A" w:rsidRDefault="00B9218A" w:rsidP="00B9218A">
      <w:pPr>
        <w:pStyle w:val="SingleTxtG"/>
        <w:ind w:left="2268" w:hanging="1134"/>
      </w:pPr>
      <w:r>
        <w:tab/>
        <w:t>In figure 6.7.4.15.1, under “</w:t>
      </w:r>
      <w:r>
        <w:rPr>
          <w:b/>
          <w:bCs/>
        </w:rPr>
        <w:t>HOLDING TIMES</w:t>
      </w:r>
      <w:r w:rsidRPr="005F0254">
        <w:t>”</w:t>
      </w:r>
      <w:r>
        <w:t>, last column, replace “D</w:t>
      </w:r>
      <w:r w:rsidRPr="00151E34">
        <w:t>egree of filling</w:t>
      </w:r>
      <w:r>
        <w:t>” by “</w:t>
      </w:r>
      <w:r w:rsidRPr="00F83B9D">
        <w:t>Maximum allowable mass of gas filled</w:t>
      </w:r>
      <w:r>
        <w:t>”.]</w:t>
      </w:r>
    </w:p>
    <w:p w14:paraId="39B60F6A" w14:textId="77777777" w:rsidR="00B9218A" w:rsidRPr="001C5029" w:rsidRDefault="00B9218A" w:rsidP="00B9218A">
      <w:pPr>
        <w:pStyle w:val="SingleTxtG"/>
        <w:rPr>
          <w:i/>
          <w:iCs/>
        </w:rPr>
      </w:pPr>
      <w:r w:rsidRPr="001C5029">
        <w:rPr>
          <w:i/>
          <w:iCs/>
        </w:rPr>
        <w:t>(</w:t>
      </w:r>
      <w:r>
        <w:rPr>
          <w:i/>
          <w:iCs/>
        </w:rPr>
        <w:t>Reference documents:</w:t>
      </w:r>
      <w:r w:rsidRPr="00A3439E">
        <w:t xml:space="preserve"> </w:t>
      </w:r>
      <w:r w:rsidRPr="00A3439E">
        <w:rPr>
          <w:i/>
          <w:iCs/>
        </w:rPr>
        <w:t>ST/SG/AC.10/C.3/2022/</w:t>
      </w:r>
      <w:r>
        <w:rPr>
          <w:i/>
          <w:iCs/>
        </w:rPr>
        <w:t>23 and informal document INF.18</w:t>
      </w:r>
      <w:r w:rsidRPr="001C5029">
        <w:rPr>
          <w:i/>
          <w:iCs/>
        </w:rPr>
        <w:t>)</w:t>
      </w:r>
    </w:p>
    <w:p w14:paraId="187A2CF4" w14:textId="77777777" w:rsidR="00B9218A" w:rsidRPr="001C5029" w:rsidRDefault="00B9218A" w:rsidP="00B9218A">
      <w:pPr>
        <w:pStyle w:val="SingleTxtG"/>
        <w:ind w:left="2268" w:hanging="1134"/>
      </w:pPr>
      <w:r w:rsidRPr="001C5029">
        <w:t>6.7.5.2.4</w:t>
      </w:r>
      <w:r w:rsidRPr="001C5029">
        <w:tab/>
        <w:t xml:space="preserve">In (a), replace “ISO 11114-1:2012 + A1:2017” by “ISO 11114-1:2012 + </w:t>
      </w:r>
      <w:proofErr w:type="spellStart"/>
      <w:r w:rsidRPr="001C5029">
        <w:t>Amd</w:t>
      </w:r>
      <w:proofErr w:type="spellEnd"/>
      <w:r w:rsidRPr="001C5029">
        <w:t xml:space="preserve"> 1:2017” and replace “ISO 11114-2:2013” by “ISO 11114-2:2021”.</w:t>
      </w:r>
    </w:p>
    <w:p w14:paraId="221B3F25" w14:textId="77777777" w:rsidR="00B9218A" w:rsidRPr="001C5029" w:rsidRDefault="00B9218A" w:rsidP="00B9218A">
      <w:pPr>
        <w:pStyle w:val="SingleTxtG"/>
        <w:rPr>
          <w:i/>
          <w:iCs/>
        </w:rPr>
      </w:pPr>
      <w:r w:rsidRPr="001C5029">
        <w:rPr>
          <w:i/>
          <w:iCs/>
        </w:rPr>
        <w:t>(Reference document: ST/SG/AC.10/C.3/2022/14, proposal 1 and proposal on editorial amendments)</w:t>
      </w:r>
    </w:p>
    <w:p w14:paraId="0A523241" w14:textId="77777777" w:rsidR="00B9218A" w:rsidRPr="001C5029" w:rsidRDefault="00B9218A" w:rsidP="00B9218A">
      <w:pPr>
        <w:pStyle w:val="H1G"/>
      </w:pPr>
      <w:r w:rsidRPr="001C5029">
        <w:tab/>
      </w:r>
      <w:r w:rsidRPr="001C5029">
        <w:tab/>
        <w:t>Document ST/SG/AC.10/C.3/2022/2 with amendments to the Spanish version was adopted.</w:t>
      </w:r>
    </w:p>
    <w:p w14:paraId="0E5EA9DA" w14:textId="77777777" w:rsidR="00B9218A" w:rsidRPr="001C5029" w:rsidRDefault="00B9218A" w:rsidP="00B9218A">
      <w:pPr>
        <w:pStyle w:val="H1G"/>
      </w:pPr>
      <w:r w:rsidRPr="001C5029">
        <w:tab/>
      </w:r>
      <w:r w:rsidRPr="001C5029">
        <w:tab/>
      </w:r>
      <w:r>
        <w:t>[</w:t>
      </w:r>
      <w:r w:rsidRPr="009979FC">
        <w:t>Informal document INF.18 with additional amendments to the Spanish version was adopted.</w:t>
      </w:r>
      <w:r>
        <w:t>]</w:t>
      </w:r>
    </w:p>
    <w:p w14:paraId="60A6D98C" w14:textId="77777777" w:rsidR="00B9218A" w:rsidRPr="001C5029" w:rsidRDefault="00B9218A" w:rsidP="00B9218A">
      <w:pPr>
        <w:pStyle w:val="HChG"/>
      </w:pPr>
      <w:r w:rsidRPr="001C5029">
        <w:tab/>
        <w:t>II.</w:t>
      </w:r>
      <w:r w:rsidRPr="001C5029">
        <w:tab/>
        <w:t>Corrections to the twenty-second revised edition of the Recommendations on the Transport of Dangerous Goods, Model Regulations (ST/SG/AC.10/1/Rev.22)</w:t>
      </w:r>
    </w:p>
    <w:p w14:paraId="7BF4C964" w14:textId="77777777" w:rsidR="00B9218A" w:rsidRPr="001C5029" w:rsidRDefault="00B9218A" w:rsidP="00B9218A">
      <w:pPr>
        <w:pStyle w:val="H23G"/>
      </w:pPr>
      <w:r w:rsidRPr="001C5029">
        <w:tab/>
      </w:r>
      <w:r w:rsidRPr="001C5029">
        <w:tab/>
        <w:t>Chapter 3.2, dangerous goods list, for UN 0511</w:t>
      </w:r>
    </w:p>
    <w:p w14:paraId="78DEF2FE" w14:textId="77777777" w:rsidR="00B9218A" w:rsidRPr="001C5029" w:rsidRDefault="00B9218A" w:rsidP="00B9218A">
      <w:pPr>
        <w:pStyle w:val="SingleTxtG"/>
      </w:pPr>
      <w:r w:rsidRPr="001C5029">
        <w:t>Not applicable to English.</w:t>
      </w:r>
    </w:p>
    <w:p w14:paraId="1C1CE93F" w14:textId="77777777" w:rsidR="00B9218A" w:rsidRPr="001C5029" w:rsidRDefault="00B9218A" w:rsidP="00B9218A">
      <w:pPr>
        <w:pStyle w:val="SingleTxtG"/>
        <w:rPr>
          <w:i/>
          <w:iCs/>
        </w:rPr>
      </w:pPr>
      <w:r w:rsidRPr="001C5029">
        <w:rPr>
          <w:i/>
          <w:iCs/>
        </w:rPr>
        <w:t>(Reference document: ST/SG/AC.10/C.3/2022/1)</w:t>
      </w:r>
    </w:p>
    <w:p w14:paraId="1C2CC9D1" w14:textId="77777777" w:rsidR="00B9218A" w:rsidRPr="001C5029" w:rsidRDefault="00B9218A" w:rsidP="00B9218A">
      <w:pPr>
        <w:pStyle w:val="H23G"/>
      </w:pPr>
      <w:r w:rsidRPr="001C5029">
        <w:tab/>
      </w:r>
      <w:r w:rsidRPr="001C5029">
        <w:tab/>
        <w:t>Chapter 3.2, dangerous goods list, for UN 0512</w:t>
      </w:r>
    </w:p>
    <w:p w14:paraId="7D4705AD" w14:textId="77777777" w:rsidR="00B9218A" w:rsidRPr="001C5029" w:rsidRDefault="00B9218A" w:rsidP="00B9218A">
      <w:pPr>
        <w:pStyle w:val="SingleTxtG"/>
      </w:pPr>
      <w:r w:rsidRPr="001C5029">
        <w:t>Not applicable to English.</w:t>
      </w:r>
    </w:p>
    <w:p w14:paraId="28B1CB3D" w14:textId="77777777" w:rsidR="00B9218A" w:rsidRPr="001C5029" w:rsidRDefault="00B9218A" w:rsidP="00B9218A">
      <w:pPr>
        <w:pStyle w:val="SingleTxtG"/>
        <w:rPr>
          <w:i/>
          <w:iCs/>
        </w:rPr>
      </w:pPr>
      <w:r w:rsidRPr="001C5029">
        <w:rPr>
          <w:i/>
          <w:iCs/>
        </w:rPr>
        <w:t>(Reference document: ST/SG/AC.10/C.3/2022/1)</w:t>
      </w:r>
    </w:p>
    <w:p w14:paraId="47CEB3B5" w14:textId="77777777" w:rsidR="00B9218A" w:rsidRPr="001C5029" w:rsidRDefault="00B9218A" w:rsidP="00B9218A">
      <w:pPr>
        <w:pStyle w:val="H23G"/>
      </w:pPr>
      <w:r w:rsidRPr="001C5029">
        <w:tab/>
      </w:r>
      <w:r w:rsidRPr="001C5029">
        <w:tab/>
        <w:t>Chapter 3.2, dangerous goods list, for UN 0513</w:t>
      </w:r>
    </w:p>
    <w:p w14:paraId="5FD10AB5" w14:textId="77777777" w:rsidR="00B9218A" w:rsidRPr="001C5029" w:rsidRDefault="00B9218A" w:rsidP="00B9218A">
      <w:pPr>
        <w:pStyle w:val="SingleTxtG"/>
      </w:pPr>
      <w:r w:rsidRPr="001C5029">
        <w:t>Not applicable to English.</w:t>
      </w:r>
    </w:p>
    <w:p w14:paraId="7194A76E" w14:textId="77777777" w:rsidR="00B9218A" w:rsidRPr="001C5029" w:rsidRDefault="00B9218A" w:rsidP="00B9218A">
      <w:pPr>
        <w:pStyle w:val="SingleTxtG"/>
        <w:rPr>
          <w:i/>
          <w:iCs/>
        </w:rPr>
      </w:pPr>
      <w:r w:rsidRPr="001C5029">
        <w:rPr>
          <w:i/>
          <w:iCs/>
        </w:rPr>
        <w:t>(Reference document: ST/SG/AC.10/C.3/2022/1)</w:t>
      </w:r>
    </w:p>
    <w:p w14:paraId="6EE81374" w14:textId="77777777" w:rsidR="00B9218A" w:rsidRPr="001C5029" w:rsidRDefault="00B9218A" w:rsidP="00B9218A">
      <w:pPr>
        <w:keepNext/>
        <w:keepLines/>
        <w:tabs>
          <w:tab w:val="right" w:pos="851"/>
        </w:tabs>
        <w:spacing w:before="240" w:after="120" w:line="240" w:lineRule="exact"/>
        <w:ind w:left="1134" w:right="1134" w:hanging="1134"/>
        <w:rPr>
          <w:rFonts w:eastAsia="Times New Roman"/>
          <w:b/>
          <w:lang w:eastAsia="en-US"/>
        </w:rPr>
      </w:pPr>
      <w:r w:rsidRPr="001C5029">
        <w:rPr>
          <w:rFonts w:eastAsia="Times New Roman"/>
          <w:b/>
          <w:lang w:eastAsia="en-US"/>
        </w:rPr>
        <w:tab/>
      </w:r>
      <w:r w:rsidRPr="001C5029">
        <w:rPr>
          <w:rFonts w:eastAsia="Times New Roman"/>
          <w:b/>
          <w:lang w:eastAsia="en-US"/>
        </w:rPr>
        <w:tab/>
        <w:t>Alphabetical index, for “DETONATORS, ELECTRONIC programmable for blasting”</w:t>
      </w:r>
    </w:p>
    <w:p w14:paraId="583F49F1" w14:textId="77777777" w:rsidR="00B9218A" w:rsidRPr="001C5029" w:rsidRDefault="00B9218A" w:rsidP="00B9218A">
      <w:pPr>
        <w:pStyle w:val="SingleTxtG"/>
      </w:pPr>
      <w:r w:rsidRPr="001C5029">
        <w:t>Not applicable to English.</w:t>
      </w:r>
    </w:p>
    <w:p w14:paraId="0F0485AF" w14:textId="77777777" w:rsidR="00B9218A" w:rsidRPr="001C5029" w:rsidRDefault="00B9218A" w:rsidP="00B9218A">
      <w:pPr>
        <w:pStyle w:val="SingleTxtG"/>
        <w:rPr>
          <w:i/>
          <w:iCs/>
        </w:rPr>
      </w:pPr>
      <w:r w:rsidRPr="001C5029">
        <w:rPr>
          <w:i/>
          <w:iCs/>
        </w:rPr>
        <w:t>(Reference document: ST/SG/AC.10/C.3/2022/1, consequential modification)</w:t>
      </w:r>
    </w:p>
    <w:p w14:paraId="3B8949F7" w14:textId="77777777" w:rsidR="00B9218A" w:rsidRPr="001C5029" w:rsidRDefault="00B9218A" w:rsidP="00B9218A">
      <w:pPr>
        <w:pStyle w:val="H23G"/>
        <w:rPr>
          <w:lang w:val="en-US"/>
        </w:rPr>
      </w:pPr>
      <w:r w:rsidRPr="001C5029">
        <w:rPr>
          <w:lang w:val="en-US"/>
        </w:rPr>
        <w:tab/>
      </w:r>
      <w:r w:rsidRPr="001C5029">
        <w:rPr>
          <w:lang w:val="en-US"/>
        </w:rPr>
        <w:tab/>
        <w:t xml:space="preserve">Chapter 4.1, 4.1.4.1, P200, table 2, UN No. 1001, second row, column </w:t>
      </w:r>
      <w:r w:rsidRPr="001C5029">
        <w:t>“Special packing provisions”</w:t>
      </w:r>
    </w:p>
    <w:p w14:paraId="1CE755D6" w14:textId="77777777" w:rsidR="00B9218A" w:rsidRPr="001C5029" w:rsidRDefault="00B9218A" w:rsidP="00B9218A">
      <w:pPr>
        <w:pStyle w:val="SingleTxtG"/>
        <w:rPr>
          <w:lang w:val="en-US"/>
        </w:rPr>
      </w:pPr>
      <w:r w:rsidRPr="001C5029">
        <w:rPr>
          <w:i/>
          <w:iCs/>
          <w:lang w:val="en-US"/>
        </w:rPr>
        <w:t xml:space="preserve">Insert </w:t>
      </w:r>
      <w:r w:rsidRPr="001C5029">
        <w:rPr>
          <w:rFonts w:asciiTheme="majorBidi" w:hAnsiTheme="majorBidi" w:cstheme="majorBidi"/>
        </w:rPr>
        <w:t>c, p</w:t>
      </w:r>
    </w:p>
    <w:p w14:paraId="71D4A2B2" w14:textId="77777777" w:rsidR="00B9218A" w:rsidRPr="001C5029" w:rsidRDefault="00B9218A" w:rsidP="00B9218A">
      <w:pPr>
        <w:pStyle w:val="SingleTxtG"/>
        <w:rPr>
          <w:i/>
          <w:iCs/>
        </w:rPr>
      </w:pPr>
      <w:r w:rsidRPr="001C5029">
        <w:rPr>
          <w:i/>
          <w:iCs/>
        </w:rPr>
        <w:t>(Reference document: ST/SG/AC.10/C.3/2022/8)</w:t>
      </w:r>
    </w:p>
    <w:p w14:paraId="05726A19" w14:textId="77777777" w:rsidR="00B9218A" w:rsidRPr="001C5029" w:rsidRDefault="00B9218A" w:rsidP="00B9218A">
      <w:pPr>
        <w:pStyle w:val="H23G"/>
        <w:rPr>
          <w:lang w:val="en-US"/>
        </w:rPr>
      </w:pPr>
      <w:r w:rsidRPr="001C5029">
        <w:rPr>
          <w:lang w:val="en-US"/>
        </w:rPr>
        <w:tab/>
      </w:r>
      <w:r w:rsidRPr="001C5029">
        <w:rPr>
          <w:lang w:val="en-US"/>
        </w:rPr>
        <w:tab/>
        <w:t xml:space="preserve">Chapter 4.1, 4.1.4.1, P200, table 2, UN No. 3374, second row, column </w:t>
      </w:r>
      <w:r w:rsidRPr="001C5029">
        <w:t>“Special packing provisions”</w:t>
      </w:r>
    </w:p>
    <w:p w14:paraId="115CF60F" w14:textId="77777777" w:rsidR="00B9218A" w:rsidRPr="001C5029" w:rsidRDefault="00B9218A" w:rsidP="00B9218A">
      <w:pPr>
        <w:pStyle w:val="SingleTxtG"/>
        <w:rPr>
          <w:lang w:val="en-US"/>
        </w:rPr>
      </w:pPr>
      <w:r w:rsidRPr="001C5029">
        <w:rPr>
          <w:i/>
          <w:iCs/>
          <w:lang w:val="en-US"/>
        </w:rPr>
        <w:t xml:space="preserve">Insert </w:t>
      </w:r>
      <w:r w:rsidRPr="001C5029">
        <w:rPr>
          <w:rFonts w:asciiTheme="majorBidi" w:hAnsiTheme="majorBidi" w:cstheme="majorBidi"/>
        </w:rPr>
        <w:t>c, p</w:t>
      </w:r>
    </w:p>
    <w:p w14:paraId="36586109" w14:textId="77777777" w:rsidR="00B9218A" w:rsidRPr="00EB4B87" w:rsidRDefault="00B9218A" w:rsidP="00B9218A">
      <w:pPr>
        <w:pStyle w:val="SingleTxtG"/>
        <w:rPr>
          <w:i/>
          <w:iCs/>
        </w:rPr>
      </w:pPr>
      <w:r w:rsidRPr="001C5029">
        <w:rPr>
          <w:i/>
          <w:iCs/>
        </w:rPr>
        <w:t>(Reference document: ST/SG/AC.10/C.3/2022/8)</w:t>
      </w:r>
    </w:p>
    <w:p w14:paraId="778F69F6" w14:textId="5694F9F5" w:rsidR="00B9218A" w:rsidRPr="001C5029" w:rsidRDefault="00B9218A" w:rsidP="00B9218A">
      <w:pPr>
        <w:pStyle w:val="H23G"/>
        <w:rPr>
          <w:lang w:val="en-US"/>
        </w:rPr>
      </w:pPr>
      <w:r w:rsidRPr="001C5029">
        <w:rPr>
          <w:lang w:val="en-US"/>
        </w:rPr>
        <w:tab/>
      </w:r>
      <w:r w:rsidRPr="001C5029">
        <w:rPr>
          <w:lang w:val="en-US"/>
        </w:rPr>
        <w:tab/>
        <w:t xml:space="preserve">Chapter </w:t>
      </w:r>
      <w:r>
        <w:rPr>
          <w:lang w:val="en-US"/>
        </w:rPr>
        <w:t>6.4, 6.4.23.2 (c)</w:t>
      </w:r>
    </w:p>
    <w:p w14:paraId="53E0FE73" w14:textId="77777777" w:rsidR="00B9218A" w:rsidRPr="001C5029" w:rsidRDefault="00B9218A" w:rsidP="00B9218A">
      <w:pPr>
        <w:pStyle w:val="SingleTxtG"/>
        <w:rPr>
          <w:lang w:val="en-US"/>
        </w:rPr>
      </w:pPr>
      <w:r>
        <w:rPr>
          <w:i/>
          <w:iCs/>
          <w:lang w:val="en-US"/>
        </w:rPr>
        <w:t>For</w:t>
      </w:r>
      <w:r w:rsidRPr="001C5029">
        <w:rPr>
          <w:i/>
          <w:iCs/>
          <w:lang w:val="en-US"/>
        </w:rPr>
        <w:t xml:space="preserve"> </w:t>
      </w:r>
      <w:r>
        <w:rPr>
          <w:rFonts w:asciiTheme="majorBidi" w:hAnsiTheme="majorBidi" w:cstheme="majorBidi"/>
        </w:rPr>
        <w:t xml:space="preserve">(iii) </w:t>
      </w:r>
      <w:r w:rsidRPr="007A5C1D">
        <w:rPr>
          <w:rFonts w:asciiTheme="majorBidi" w:hAnsiTheme="majorBidi" w:cstheme="majorBidi"/>
          <w:i/>
          <w:iCs/>
        </w:rPr>
        <w:t>read</w:t>
      </w:r>
      <w:r>
        <w:rPr>
          <w:rFonts w:asciiTheme="majorBidi" w:hAnsiTheme="majorBidi" w:cstheme="majorBidi"/>
        </w:rPr>
        <w:t xml:space="preserve"> (v)</w:t>
      </w:r>
    </w:p>
    <w:p w14:paraId="798E53D2" w14:textId="77777777" w:rsidR="00B9218A" w:rsidRPr="00EB4B87" w:rsidRDefault="00B9218A" w:rsidP="00B9218A">
      <w:pPr>
        <w:pStyle w:val="SingleTxtG"/>
        <w:rPr>
          <w:i/>
          <w:iCs/>
        </w:rPr>
      </w:pPr>
      <w:r w:rsidRPr="001C5029">
        <w:rPr>
          <w:i/>
          <w:iCs/>
        </w:rPr>
        <w:t>(Reference document: ST/SG/AC.10/C.3/2022/</w:t>
      </w:r>
      <w:r>
        <w:rPr>
          <w:i/>
          <w:iCs/>
        </w:rPr>
        <w:t>16</w:t>
      </w:r>
      <w:r w:rsidRPr="001C5029">
        <w:rPr>
          <w:i/>
          <w:iCs/>
        </w:rPr>
        <w:t>)</w:t>
      </w:r>
    </w:p>
    <w:p w14:paraId="64329B85" w14:textId="77777777" w:rsidR="00B9218A" w:rsidRPr="001C5029" w:rsidRDefault="00B9218A" w:rsidP="00B9218A">
      <w:pPr>
        <w:pStyle w:val="HChG"/>
      </w:pPr>
      <w:r w:rsidRPr="001C5029">
        <w:tab/>
        <w:t>II</w:t>
      </w:r>
      <w:r>
        <w:t>I</w:t>
      </w:r>
      <w:r w:rsidRPr="001C5029">
        <w:t>.</w:t>
      </w:r>
      <w:r w:rsidRPr="001C5029">
        <w:tab/>
      </w:r>
      <w:r>
        <w:t>Modifications to the sixth version of the Guiding Principles for the Development of the Model Regulations on the Transport of Dangerous Goods [English only]</w:t>
      </w:r>
    </w:p>
    <w:p w14:paraId="04851D74" w14:textId="77777777" w:rsidR="00B9218A" w:rsidRDefault="00B9218A" w:rsidP="00B9218A">
      <w:pPr>
        <w:pStyle w:val="SingleTxtG"/>
        <w:ind w:left="2268" w:hanging="1134"/>
      </w:pPr>
      <w:r>
        <w:t>B.2, §2</w:t>
      </w:r>
      <w:r>
        <w:tab/>
        <w:t>In table 4.1, for 6.1, add the following new row:</w:t>
      </w:r>
    </w:p>
    <w:tbl>
      <w:tblPr>
        <w:tblStyle w:val="TableGrid"/>
        <w:tblW w:w="0" w:type="auto"/>
        <w:tblInd w:w="1701" w:type="dxa"/>
        <w:tblCellMar>
          <w:left w:w="57" w:type="dxa"/>
          <w:right w:w="57" w:type="dxa"/>
        </w:tblCellMar>
        <w:tblLook w:val="04A0" w:firstRow="1" w:lastRow="0" w:firstColumn="1" w:lastColumn="0" w:noHBand="0" w:noVBand="1"/>
      </w:tblPr>
      <w:tblGrid>
        <w:gridCol w:w="846"/>
        <w:gridCol w:w="3685"/>
        <w:gridCol w:w="709"/>
        <w:gridCol w:w="709"/>
        <w:gridCol w:w="850"/>
      </w:tblGrid>
      <w:tr w:rsidR="00B9218A" w14:paraId="48B0944D" w14:textId="77777777" w:rsidTr="00453509">
        <w:tc>
          <w:tcPr>
            <w:tcW w:w="846" w:type="dxa"/>
          </w:tcPr>
          <w:p w14:paraId="01C7A058" w14:textId="77777777" w:rsidR="00B9218A" w:rsidRDefault="00B9218A" w:rsidP="00453509">
            <w:pPr>
              <w:pStyle w:val="SingleTxtG"/>
              <w:ind w:left="0" w:right="0"/>
              <w:jc w:val="center"/>
            </w:pPr>
            <w:r>
              <w:t>6.1</w:t>
            </w:r>
          </w:p>
        </w:tc>
        <w:tc>
          <w:tcPr>
            <w:tcW w:w="3685" w:type="dxa"/>
          </w:tcPr>
          <w:p w14:paraId="625F0218" w14:textId="77777777" w:rsidR="00B9218A" w:rsidRDefault="00B9218A" w:rsidP="00453509">
            <w:pPr>
              <w:pStyle w:val="SingleTxtG"/>
              <w:ind w:left="0" w:right="0"/>
              <w:jc w:val="left"/>
            </w:pPr>
            <w:r>
              <w:t xml:space="preserve">Cobalt </w:t>
            </w:r>
            <w:proofErr w:type="spellStart"/>
            <w:r>
              <w:t>dihydroxide</w:t>
            </w:r>
            <w:proofErr w:type="spellEnd"/>
            <w:r>
              <w:t xml:space="preserve"> powder (UN </w:t>
            </w:r>
            <w:proofErr w:type="gramStart"/>
            <w:r>
              <w:t>3550)</w:t>
            </w:r>
            <w:r w:rsidRPr="00650429">
              <w:rPr>
                <w:vertAlign w:val="superscript"/>
              </w:rPr>
              <w:t>b</w:t>
            </w:r>
            <w:proofErr w:type="gramEnd"/>
          </w:p>
        </w:tc>
        <w:tc>
          <w:tcPr>
            <w:tcW w:w="709" w:type="dxa"/>
          </w:tcPr>
          <w:p w14:paraId="71E0406A" w14:textId="77777777" w:rsidR="00B9218A" w:rsidRDefault="00B9218A" w:rsidP="00453509">
            <w:pPr>
              <w:pStyle w:val="SingleTxtG"/>
              <w:ind w:left="0" w:right="0"/>
              <w:jc w:val="center"/>
            </w:pPr>
            <w:r>
              <w:t>None</w:t>
            </w:r>
          </w:p>
        </w:tc>
        <w:tc>
          <w:tcPr>
            <w:tcW w:w="709" w:type="dxa"/>
          </w:tcPr>
          <w:p w14:paraId="4314105A" w14:textId="77777777" w:rsidR="00B9218A" w:rsidRDefault="00B9218A" w:rsidP="00453509">
            <w:pPr>
              <w:pStyle w:val="SingleTxtG"/>
              <w:ind w:left="0" w:right="5"/>
              <w:jc w:val="center"/>
            </w:pPr>
            <w:r>
              <w:t>I</w:t>
            </w:r>
          </w:p>
        </w:tc>
        <w:tc>
          <w:tcPr>
            <w:tcW w:w="850" w:type="dxa"/>
          </w:tcPr>
          <w:p w14:paraId="73C4319F" w14:textId="77777777" w:rsidR="00B9218A" w:rsidRDefault="00B9218A" w:rsidP="00453509">
            <w:pPr>
              <w:pStyle w:val="SingleTxtG"/>
              <w:ind w:left="0" w:right="0"/>
              <w:jc w:val="center"/>
            </w:pPr>
            <w:r>
              <w:t>IBC07</w:t>
            </w:r>
          </w:p>
        </w:tc>
      </w:tr>
    </w:tbl>
    <w:p w14:paraId="39362B69" w14:textId="77777777" w:rsidR="00B9218A" w:rsidRDefault="00B9218A" w:rsidP="00B9218A">
      <w:pPr>
        <w:pStyle w:val="SingleTxtG"/>
        <w:spacing w:before="120"/>
        <w:ind w:left="2268" w:hanging="1134"/>
      </w:pPr>
      <w:r>
        <w:tab/>
        <w:t>Note b reads: “</w:t>
      </w:r>
      <w:r w:rsidRPr="00CE6DA8">
        <w:t xml:space="preserve"> </w:t>
      </w:r>
      <w:r w:rsidRPr="00CE6DA8">
        <w:rPr>
          <w:vertAlign w:val="superscript"/>
        </w:rPr>
        <w:t>b</w:t>
      </w:r>
      <w:r>
        <w:t xml:space="preserve">  </w:t>
      </w:r>
      <w:r w:rsidRPr="00CE6DA8">
        <w:t xml:space="preserve">Acknowledging the unique properties of cobalt </w:t>
      </w:r>
      <w:proofErr w:type="spellStart"/>
      <w:r w:rsidRPr="00CE6DA8">
        <w:t>dihydroxide</w:t>
      </w:r>
      <w:proofErr w:type="spellEnd"/>
      <w:r w:rsidRPr="00CE6DA8">
        <w:t xml:space="preserve"> powder, which include that this material is: hygroscopic, heavy with a density of 3.6 g/cm</w:t>
      </w:r>
      <w:r>
        <w:t>³</w:t>
      </w:r>
      <w:r w:rsidRPr="00CE6DA8">
        <w:t xml:space="preserve">, has zero vapour pressure, tends to clump and not remain airborne, and that the airborne fraction has a low </w:t>
      </w:r>
      <w:proofErr w:type="spellStart"/>
      <w:r w:rsidRPr="00CE6DA8">
        <w:t>respirability</w:t>
      </w:r>
      <w:proofErr w:type="spellEnd"/>
      <w:r w:rsidRPr="00CE6DA8">
        <w:t xml:space="preserve"> value of only 0.8 % modelled to deposit in the deep lung, the Sub-Committee of Experts on the Transport of Dangerous Goods agreed to authorize UN 3550 to be packed in flexible intermediate bulk containers, provided these include a sift-proof liner (to prevent any egress of dust during transport), and are transported in closed cargo transport units”.</w:t>
      </w:r>
    </w:p>
    <w:p w14:paraId="6E2C2206"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w:t>
      </w:r>
      <w:r>
        <w:rPr>
          <w:i/>
          <w:iCs/>
        </w:rPr>
        <w:t>3, as amended</w:t>
      </w:r>
      <w:r w:rsidRPr="001C5029">
        <w:rPr>
          <w:i/>
          <w:iCs/>
        </w:rPr>
        <w:t>)</w:t>
      </w:r>
    </w:p>
    <w:p w14:paraId="2E2239F1" w14:textId="77777777" w:rsidR="00B9218A" w:rsidRDefault="00B9218A" w:rsidP="00B9218A">
      <w:pPr>
        <w:pStyle w:val="SingleTxtG"/>
        <w:ind w:left="2268" w:hanging="1134"/>
      </w:pPr>
      <w:r>
        <w:t>C.3, §15</w:t>
      </w:r>
      <w:r>
        <w:tab/>
        <w:t>Delete the entry for TP2 and renumber TP3 to TP11 as TP2 to TP10.</w:t>
      </w:r>
    </w:p>
    <w:p w14:paraId="72158C78"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w:t>
      </w:r>
      <w:r>
        <w:rPr>
          <w:i/>
          <w:iCs/>
        </w:rPr>
        <w:t>39</w:t>
      </w:r>
      <w:r w:rsidRPr="001C5029">
        <w:rPr>
          <w:i/>
          <w:iCs/>
        </w:rPr>
        <w:t>)</w:t>
      </w:r>
    </w:p>
    <w:p w14:paraId="3FBAC118" w14:textId="77777777" w:rsidR="00B9218A" w:rsidRDefault="00B9218A" w:rsidP="00B9218A">
      <w:pPr>
        <w:pStyle w:val="SingleTxtG"/>
        <w:ind w:left="2268" w:hanging="1134"/>
      </w:pPr>
      <w:r>
        <w:t>C.3, §15</w:t>
      </w:r>
      <w:r>
        <w:tab/>
        <w:t>In the renumbered TP4, after “</w:t>
      </w:r>
      <w:r w:rsidRPr="00C5607F">
        <w:t>low specific activity</w:t>
      </w:r>
      <w:r>
        <w:t>” add “and surface contaminated objects”. After “3534)” add “, to chemicals under pressure (UN Nos. 3500 to 3505)”.</w:t>
      </w:r>
    </w:p>
    <w:p w14:paraId="7A8E85F7" w14:textId="77777777" w:rsidR="00B9218A" w:rsidRPr="001C5029" w:rsidRDefault="00B9218A" w:rsidP="00B9218A">
      <w:pPr>
        <w:pStyle w:val="SingleTxtG"/>
        <w:rPr>
          <w:i/>
          <w:iCs/>
        </w:rPr>
      </w:pPr>
      <w:r w:rsidRPr="001C5029">
        <w:rPr>
          <w:i/>
          <w:iCs/>
        </w:rPr>
        <w:t>(Reference document:</w:t>
      </w:r>
      <w:r w:rsidRPr="00A3439E">
        <w:t xml:space="preserve"> </w:t>
      </w:r>
      <w:r w:rsidRPr="00A3439E">
        <w:rPr>
          <w:i/>
          <w:iCs/>
        </w:rPr>
        <w:t>ST/SG/AC.10/C.3/2022/</w:t>
      </w:r>
      <w:r>
        <w:rPr>
          <w:i/>
          <w:iCs/>
        </w:rPr>
        <w:t>39, as amended</w:t>
      </w:r>
      <w:r w:rsidRPr="001C5029">
        <w:rPr>
          <w:i/>
          <w:iCs/>
        </w:rPr>
        <w:t>)</w:t>
      </w:r>
    </w:p>
    <w:p w14:paraId="48B6432D" w14:textId="77777777" w:rsidR="00B9218A" w:rsidRPr="00024F0F" w:rsidRDefault="00B9218A" w:rsidP="00B9218A">
      <w:pPr>
        <w:pStyle w:val="HChG"/>
        <w:rPr>
          <w:i/>
          <w:iCs/>
        </w:rPr>
      </w:pPr>
      <w:r>
        <w:tab/>
      </w:r>
      <w:r w:rsidRPr="008F7B6D">
        <w:t>I</w:t>
      </w:r>
      <w:r>
        <w:t>V</w:t>
      </w:r>
      <w:r w:rsidRPr="008F7B6D">
        <w:t>.</w:t>
      </w:r>
      <w:r w:rsidRPr="008F7B6D">
        <w:tab/>
        <w:t xml:space="preserve">Draft amendments to the Manual of Tests and Criteria (ST/SG/AC.10/11/Rev.7 and </w:t>
      </w:r>
      <w:proofErr w:type="gramStart"/>
      <w:r w:rsidRPr="008F7B6D">
        <w:t>Amend</w:t>
      </w:r>
      <w:proofErr w:type="gramEnd"/>
      <w:r w:rsidRPr="008F7B6D">
        <w:t>.1)</w:t>
      </w:r>
    </w:p>
    <w:p w14:paraId="133BE54D" w14:textId="77777777" w:rsidR="00B9218A" w:rsidRPr="00024F0F" w:rsidRDefault="00B9218A" w:rsidP="00B9218A">
      <w:pPr>
        <w:pStyle w:val="H1G"/>
      </w:pPr>
      <w:r w:rsidRPr="00024F0F">
        <w:tab/>
      </w:r>
      <w:r w:rsidRPr="00024F0F">
        <w:tab/>
      </w:r>
      <w:r>
        <w:t>Section 32</w:t>
      </w:r>
    </w:p>
    <w:p w14:paraId="7BD8672D" w14:textId="77777777" w:rsidR="00B9218A" w:rsidRDefault="00B9218A" w:rsidP="00B9218A">
      <w:pPr>
        <w:pStyle w:val="SingleTxtG"/>
        <w:ind w:left="2268" w:hanging="1134"/>
      </w:pPr>
      <w:r>
        <w:t>[32.2.2</w:t>
      </w:r>
      <w:r>
        <w:tab/>
        <w:t>In the first sentence, replace “60 °C” by “93 °C” and delete the rest of the sentence after that.</w:t>
      </w:r>
    </w:p>
    <w:p w14:paraId="37FB2FFF" w14:textId="77777777" w:rsidR="00B9218A" w:rsidRDefault="00B9218A" w:rsidP="00B9218A">
      <w:pPr>
        <w:pStyle w:val="SingleTxtG"/>
        <w:ind w:left="2268" w:hanging="1134"/>
      </w:pPr>
      <w:r>
        <w:tab/>
        <w:t>At the end of the paragraph, add the following text:</w:t>
      </w:r>
    </w:p>
    <w:p w14:paraId="3A6D0CD9" w14:textId="77777777" w:rsidR="00B9218A" w:rsidRDefault="00B9218A" w:rsidP="00B9218A">
      <w:pPr>
        <w:pStyle w:val="SingleTxtG"/>
        <w:ind w:left="2268" w:hanging="1134"/>
      </w:pPr>
      <w:r>
        <w:t>“For the purposes of transport, the following specifications apply in addition:</w:t>
      </w:r>
    </w:p>
    <w:p w14:paraId="0492B80D" w14:textId="77777777" w:rsidR="00B9218A" w:rsidRDefault="00B9218A" w:rsidP="00B9218A">
      <w:pPr>
        <w:pStyle w:val="SingleTxtG"/>
        <w:ind w:left="2835" w:hanging="567"/>
      </w:pPr>
      <w:r>
        <w:t>(a)</w:t>
      </w:r>
      <w:r>
        <w:tab/>
        <w:t>Substances are classified as flammable liquids only when their flash point is not more than 60 °C (flammable liquids Category 4 of the GHS is not implemented</w:t>
      </w:r>
      <w:proofErr w:type="gramStart"/>
      <w:r>
        <w:t>);</w:t>
      </w:r>
      <w:proofErr w:type="gramEnd"/>
    </w:p>
    <w:p w14:paraId="0BAB8EB0" w14:textId="77777777" w:rsidR="00B9218A" w:rsidRDefault="00B9218A" w:rsidP="00B9218A">
      <w:pPr>
        <w:pStyle w:val="SingleTxtG"/>
        <w:ind w:left="2835" w:hanging="567"/>
      </w:pPr>
      <w:r>
        <w:t>(b)</w:t>
      </w:r>
      <w:r>
        <w:tab/>
        <w:t>Additionally, substances transported or offered for transport at elevated temperatures, are classified as flammable liquids when they give off a flammable vapour at a temperature at or below the maximum transport temperature.”]</w:t>
      </w:r>
    </w:p>
    <w:p w14:paraId="4F8D9FBF" w14:textId="77777777" w:rsidR="00B9218A" w:rsidRPr="002F3465" w:rsidRDefault="00B9218A" w:rsidP="00B9218A">
      <w:pPr>
        <w:pStyle w:val="SingleTxtG"/>
        <w:rPr>
          <w:i/>
          <w:iCs/>
        </w:rPr>
      </w:pPr>
      <w:r w:rsidRPr="002F3465">
        <w:rPr>
          <w:i/>
          <w:iCs/>
        </w:rPr>
        <w:t>(Reference document: ST/SG/AC.10/C.3/202</w:t>
      </w:r>
      <w:r>
        <w:rPr>
          <w:i/>
          <w:iCs/>
        </w:rPr>
        <w:t>2</w:t>
      </w:r>
      <w:r w:rsidRPr="002F3465">
        <w:rPr>
          <w:i/>
          <w:iCs/>
        </w:rPr>
        <w:t>/</w:t>
      </w:r>
      <w:r>
        <w:rPr>
          <w:i/>
          <w:iCs/>
        </w:rPr>
        <w:t>11, proposal 2, paragraph 9</w:t>
      </w:r>
      <w:r w:rsidRPr="002F3465">
        <w:rPr>
          <w:i/>
          <w:iCs/>
        </w:rPr>
        <w:t>)</w:t>
      </w:r>
    </w:p>
    <w:p w14:paraId="073649DE" w14:textId="77777777" w:rsidR="00B9218A" w:rsidRPr="00024F0F" w:rsidRDefault="00B9218A" w:rsidP="00B9218A">
      <w:pPr>
        <w:pStyle w:val="H1G"/>
      </w:pPr>
      <w:r w:rsidRPr="00024F0F">
        <w:tab/>
      </w:r>
      <w:r w:rsidRPr="00024F0F">
        <w:tab/>
      </w:r>
      <w:r>
        <w:t>Section 37</w:t>
      </w:r>
    </w:p>
    <w:p w14:paraId="48BC7734" w14:textId="77777777" w:rsidR="00B9218A" w:rsidRDefault="00B9218A" w:rsidP="00B9218A">
      <w:pPr>
        <w:pStyle w:val="SingleTxtG"/>
        <w:keepNext/>
        <w:ind w:left="2268" w:hanging="1134"/>
      </w:pPr>
      <w:r>
        <w:t>[37.1.2</w:t>
      </w:r>
      <w:r>
        <w:tab/>
        <w:t>In the last sentence, replace “classification” by “transport-classification”.]</w:t>
      </w:r>
    </w:p>
    <w:p w14:paraId="0135F085" w14:textId="77777777" w:rsidR="00B9218A" w:rsidRPr="002F3465" w:rsidRDefault="00B9218A" w:rsidP="00B9218A">
      <w:pPr>
        <w:pStyle w:val="SingleTxtG"/>
        <w:keepNext/>
        <w:rPr>
          <w:i/>
          <w:iCs/>
        </w:rPr>
      </w:pPr>
      <w:r w:rsidRPr="002F3465">
        <w:rPr>
          <w:i/>
          <w:iCs/>
        </w:rPr>
        <w:t>(Reference document: ST/SG/AC.10/C.3/202</w:t>
      </w:r>
      <w:r>
        <w:rPr>
          <w:i/>
          <w:iCs/>
        </w:rPr>
        <w:t>2</w:t>
      </w:r>
      <w:r w:rsidRPr="002F3465">
        <w:rPr>
          <w:i/>
          <w:iCs/>
        </w:rPr>
        <w:t>/</w:t>
      </w:r>
      <w:r>
        <w:rPr>
          <w:i/>
          <w:iCs/>
        </w:rPr>
        <w:t>11, proposal 1</w:t>
      </w:r>
      <w:r w:rsidRPr="002F3465">
        <w:rPr>
          <w:i/>
          <w:iCs/>
        </w:rPr>
        <w:t>)</w:t>
      </w:r>
    </w:p>
    <w:p w14:paraId="3FB8BBB5" w14:textId="1AB5D822" w:rsidR="006D5CA9" w:rsidRPr="00B9218A" w:rsidRDefault="00B9218A" w:rsidP="00B9218A">
      <w:pPr>
        <w:spacing w:before="240"/>
        <w:jc w:val="center"/>
        <w:rPr>
          <w:u w:val="single"/>
        </w:rPr>
      </w:pPr>
      <w:r>
        <w:rPr>
          <w:u w:val="single"/>
        </w:rPr>
        <w:tab/>
      </w:r>
      <w:r>
        <w:rPr>
          <w:u w:val="single"/>
        </w:rPr>
        <w:tab/>
      </w:r>
      <w:r>
        <w:rPr>
          <w:u w:val="single"/>
        </w:rPr>
        <w:tab/>
      </w:r>
    </w:p>
    <w:p w14:paraId="5853EE65" w14:textId="77777777" w:rsidR="006D5CA9" w:rsidRPr="00CE5EDB" w:rsidRDefault="006D5CA9" w:rsidP="00155726">
      <w:pPr>
        <w:suppressAutoHyphens w:val="0"/>
        <w:kinsoku/>
        <w:overflowPunct/>
        <w:autoSpaceDE/>
        <w:autoSpaceDN/>
        <w:adjustRightInd/>
        <w:snapToGrid/>
        <w:spacing w:after="200" w:line="276" w:lineRule="auto"/>
      </w:pPr>
    </w:p>
    <w:sectPr w:rsidR="006D5CA9" w:rsidRPr="00CE5EDB" w:rsidSect="00D5429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0922" w14:textId="77777777" w:rsidR="00D57D47" w:rsidRPr="00C47B2E" w:rsidRDefault="00D57D47" w:rsidP="00C47B2E">
      <w:pPr>
        <w:pStyle w:val="Footer"/>
      </w:pPr>
    </w:p>
  </w:endnote>
  <w:endnote w:type="continuationSeparator" w:id="0">
    <w:p w14:paraId="25DF8A18" w14:textId="77777777" w:rsidR="00D57D47" w:rsidRPr="00C47B2E" w:rsidRDefault="00D57D47" w:rsidP="00C47B2E">
      <w:pPr>
        <w:pStyle w:val="Footer"/>
      </w:pPr>
    </w:p>
  </w:endnote>
  <w:endnote w:type="continuationNotice" w:id="1">
    <w:p w14:paraId="171A80ED" w14:textId="77777777" w:rsidR="00D57D47" w:rsidRPr="00C47B2E" w:rsidRDefault="00D57D4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0F3B" w14:textId="4004E2E3" w:rsidR="00D94B05" w:rsidRPr="00D54292" w:rsidRDefault="00D54292" w:rsidP="00D54292">
    <w:pPr>
      <w:pStyle w:val="Footer"/>
      <w:tabs>
        <w:tab w:val="right" w:pos="9598"/>
        <w:tab w:val="right" w:pos="9638"/>
      </w:tabs>
      <w:rPr>
        <w:sz w:val="18"/>
      </w:rPr>
    </w:pPr>
    <w:r w:rsidRPr="00D54292">
      <w:rPr>
        <w:b/>
        <w:sz w:val="18"/>
      </w:rPr>
      <w:fldChar w:fldCharType="begin"/>
    </w:r>
    <w:r w:rsidRPr="00D54292">
      <w:rPr>
        <w:b/>
        <w:sz w:val="18"/>
      </w:rPr>
      <w:instrText xml:space="preserve"> PAGE  \* MERGEFORMAT </w:instrText>
    </w:r>
    <w:r w:rsidRPr="00D54292">
      <w:rPr>
        <w:b/>
        <w:sz w:val="18"/>
      </w:rPr>
      <w:fldChar w:fldCharType="separate"/>
    </w:r>
    <w:r w:rsidRPr="00D54292">
      <w:rPr>
        <w:b/>
        <w:noProof/>
        <w:sz w:val="18"/>
      </w:rPr>
      <w:t>2</w:t>
    </w:r>
    <w:r w:rsidRPr="00D542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8BB" w14:textId="44297738" w:rsidR="00D94B05" w:rsidRPr="004337C2" w:rsidRDefault="00D54292" w:rsidP="00513742">
    <w:pPr>
      <w:pStyle w:val="Footer"/>
      <w:tabs>
        <w:tab w:val="left" w:pos="5775"/>
        <w:tab w:val="right" w:pos="9598"/>
        <w:tab w:val="right" w:pos="9638"/>
      </w:tabs>
      <w:jc w:val="right"/>
      <w:rPr>
        <w:b/>
        <w:bCs/>
        <w:sz w:val="18"/>
      </w:rPr>
    </w:pPr>
    <w:r>
      <w:rPr>
        <w:b/>
        <w:sz w:val="18"/>
      </w:rPr>
      <w:tab/>
    </w:r>
    <w:r w:rsidRPr="004337C2">
      <w:rPr>
        <w:b/>
        <w:bCs/>
        <w:sz w:val="18"/>
      </w:rPr>
      <w:fldChar w:fldCharType="begin"/>
    </w:r>
    <w:r w:rsidRPr="004337C2">
      <w:rPr>
        <w:b/>
        <w:bCs/>
        <w:sz w:val="18"/>
      </w:rPr>
      <w:instrText xml:space="preserve"> PAGE  \* MERGEFORMAT </w:instrText>
    </w:r>
    <w:r w:rsidRPr="004337C2">
      <w:rPr>
        <w:b/>
        <w:bCs/>
        <w:sz w:val="18"/>
      </w:rPr>
      <w:fldChar w:fldCharType="separate"/>
    </w:r>
    <w:r w:rsidRPr="004337C2">
      <w:rPr>
        <w:b/>
        <w:bCs/>
        <w:noProof/>
        <w:sz w:val="18"/>
      </w:rPr>
      <w:t>3</w:t>
    </w:r>
    <w:r w:rsidRPr="00433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761D" w14:textId="77777777" w:rsidR="00D94B05" w:rsidRPr="00D542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0FAA68A" wp14:editId="0AD3D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C9A3" w14:textId="77777777" w:rsidR="00D57D47" w:rsidRPr="00C47B2E" w:rsidRDefault="00D57D47" w:rsidP="00C47B2E">
      <w:pPr>
        <w:tabs>
          <w:tab w:val="right" w:pos="2155"/>
        </w:tabs>
        <w:spacing w:after="80" w:line="240" w:lineRule="auto"/>
        <w:ind w:left="680"/>
      </w:pPr>
      <w:r>
        <w:rPr>
          <w:u w:val="single"/>
        </w:rPr>
        <w:tab/>
      </w:r>
    </w:p>
  </w:footnote>
  <w:footnote w:type="continuationSeparator" w:id="0">
    <w:p w14:paraId="6671D36E" w14:textId="77777777" w:rsidR="00D57D47" w:rsidRPr="00C47B2E" w:rsidRDefault="00D57D47" w:rsidP="005E716E">
      <w:pPr>
        <w:tabs>
          <w:tab w:val="right" w:pos="2155"/>
        </w:tabs>
        <w:spacing w:after="80" w:line="240" w:lineRule="auto"/>
        <w:ind w:left="680"/>
      </w:pPr>
      <w:r>
        <w:rPr>
          <w:u w:val="single"/>
        </w:rPr>
        <w:tab/>
      </w:r>
    </w:p>
  </w:footnote>
  <w:footnote w:type="continuationNotice" w:id="1">
    <w:p w14:paraId="378DF401" w14:textId="77777777" w:rsidR="00D57D47" w:rsidRPr="00C47B2E" w:rsidRDefault="00D57D47" w:rsidP="00C47B2E">
      <w:pPr>
        <w:pStyle w:val="Footer"/>
      </w:pPr>
    </w:p>
  </w:footnote>
  <w:footnote w:id="2">
    <w:p w14:paraId="6A8C7608" w14:textId="77777777" w:rsidR="00EC3668" w:rsidRPr="001C19F5" w:rsidRDefault="00EC3668" w:rsidP="00EC3668">
      <w:pPr>
        <w:pStyle w:val="FootnoteText"/>
      </w:pPr>
      <w:r>
        <w:tab/>
      </w:r>
      <w:r>
        <w:rPr>
          <w:rStyle w:val="FootnoteReference"/>
        </w:rPr>
        <w:footnoteRef/>
      </w:r>
      <w:r>
        <w:t xml:space="preserve"> </w:t>
      </w:r>
      <w:r w:rsidRPr="001C19F5">
        <w:tab/>
      </w:r>
      <w:r>
        <w:t>For practical reasons, these annexes have been published as an addendum with the symbol ST/SG/AC.10/C.3/120/Add.1.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37FD" w14:textId="5ACE59FD" w:rsidR="00D54292" w:rsidRPr="00F10828" w:rsidRDefault="005C77DB">
    <w:pPr>
      <w:pStyle w:val="Header"/>
    </w:pPr>
    <w:r w:rsidRPr="00F10828">
      <w:t>ST/SG/AC.10/C.3/1</w:t>
    </w:r>
    <w:r w:rsidR="00B9218A">
      <w:t>20</w:t>
    </w:r>
    <w:r w:rsidR="00F96A32" w:rsidRPr="00F10828">
      <w:t>/Add.</w:t>
    </w:r>
    <w:r w:rsidR="00F96A3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A33" w14:textId="4290D875" w:rsidR="00D94B05" w:rsidRPr="00F10828" w:rsidRDefault="0089663C" w:rsidP="00D54292">
    <w:pPr>
      <w:pStyle w:val="Header"/>
      <w:jc w:val="right"/>
    </w:pPr>
    <w:r w:rsidRPr="001145F3">
      <w:t>ST/SG/AC.10/C.3/1</w:t>
    </w:r>
    <w:r w:rsidR="00B9218A">
      <w:t>20</w:t>
    </w:r>
    <w:r w:rsidR="001145F3">
      <w:t>A</w:t>
    </w:r>
    <w:r w:rsidR="001145F3" w:rsidRPr="00F10828">
      <w:t>dd.</w:t>
    </w:r>
    <w:r w:rsidR="001145F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82E" w14:textId="77777777" w:rsidR="00F96A32" w:rsidRDefault="00F96A32" w:rsidP="00F108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70A53"/>
    <w:multiLevelType w:val="hybridMultilevel"/>
    <w:tmpl w:val="FD8C9490"/>
    <w:lvl w:ilvl="0" w:tplc="9E56B49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10"/>
  </w:num>
  <w:num w:numId="2">
    <w:abstractNumId w:val="7"/>
  </w:num>
  <w:num w:numId="3">
    <w:abstractNumId w:val="1"/>
  </w:num>
  <w:num w:numId="4">
    <w:abstractNumId w:val="15"/>
  </w:num>
  <w:num w:numId="5">
    <w:abstractNumId w:val="16"/>
  </w:num>
  <w:num w:numId="6">
    <w:abstractNumId w:val="19"/>
  </w:num>
  <w:num w:numId="7">
    <w:abstractNumId w:val="5"/>
  </w:num>
  <w:num w:numId="8">
    <w:abstractNumId w:val="3"/>
  </w:num>
  <w:num w:numId="9">
    <w:abstractNumId w:val="18"/>
  </w:num>
  <w:num w:numId="10">
    <w:abstractNumId w:val="3"/>
  </w:num>
  <w:num w:numId="11">
    <w:abstractNumId w:val="18"/>
  </w:num>
  <w:num w:numId="12">
    <w:abstractNumId w:val="4"/>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6"/>
  </w:num>
  <w:num w:numId="24">
    <w:abstractNumId w:val="13"/>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2"/>
    <w:rsid w:val="000001CF"/>
    <w:rsid w:val="00000F78"/>
    <w:rsid w:val="00005960"/>
    <w:rsid w:val="00006EFE"/>
    <w:rsid w:val="00013E76"/>
    <w:rsid w:val="0002083D"/>
    <w:rsid w:val="00020E61"/>
    <w:rsid w:val="00020F6E"/>
    <w:rsid w:val="00021089"/>
    <w:rsid w:val="00021107"/>
    <w:rsid w:val="00021DEB"/>
    <w:rsid w:val="00023C6D"/>
    <w:rsid w:val="00025CC0"/>
    <w:rsid w:val="00025D80"/>
    <w:rsid w:val="0003164F"/>
    <w:rsid w:val="000366B5"/>
    <w:rsid w:val="00044E7F"/>
    <w:rsid w:val="00046A65"/>
    <w:rsid w:val="00046E92"/>
    <w:rsid w:val="00046FB4"/>
    <w:rsid w:val="00047CC9"/>
    <w:rsid w:val="00052A99"/>
    <w:rsid w:val="00057C37"/>
    <w:rsid w:val="00057C6D"/>
    <w:rsid w:val="00057F29"/>
    <w:rsid w:val="00060283"/>
    <w:rsid w:val="00063BE5"/>
    <w:rsid w:val="00063C90"/>
    <w:rsid w:val="00066EF4"/>
    <w:rsid w:val="00067B47"/>
    <w:rsid w:val="00067C9F"/>
    <w:rsid w:val="00072727"/>
    <w:rsid w:val="0007272D"/>
    <w:rsid w:val="00075F5E"/>
    <w:rsid w:val="000800E6"/>
    <w:rsid w:val="000823C3"/>
    <w:rsid w:val="00085726"/>
    <w:rsid w:val="000861E3"/>
    <w:rsid w:val="00091029"/>
    <w:rsid w:val="00094537"/>
    <w:rsid w:val="000968AA"/>
    <w:rsid w:val="000A19EB"/>
    <w:rsid w:val="000A20B6"/>
    <w:rsid w:val="000A515C"/>
    <w:rsid w:val="000B0FB1"/>
    <w:rsid w:val="000B2F6C"/>
    <w:rsid w:val="000C0B0D"/>
    <w:rsid w:val="000D686F"/>
    <w:rsid w:val="000D6D41"/>
    <w:rsid w:val="000E1D04"/>
    <w:rsid w:val="000E3553"/>
    <w:rsid w:val="000F03FD"/>
    <w:rsid w:val="000F05BB"/>
    <w:rsid w:val="000F19CD"/>
    <w:rsid w:val="000F4856"/>
    <w:rsid w:val="000F6640"/>
    <w:rsid w:val="000F6707"/>
    <w:rsid w:val="000F6ABD"/>
    <w:rsid w:val="000F6C75"/>
    <w:rsid w:val="000F7AB8"/>
    <w:rsid w:val="000F7C92"/>
    <w:rsid w:val="00101B98"/>
    <w:rsid w:val="001033A0"/>
    <w:rsid w:val="00103D7F"/>
    <w:rsid w:val="001042FA"/>
    <w:rsid w:val="00111365"/>
    <w:rsid w:val="001140A4"/>
    <w:rsid w:val="001145F3"/>
    <w:rsid w:val="001155D1"/>
    <w:rsid w:val="0012066F"/>
    <w:rsid w:val="001274D8"/>
    <w:rsid w:val="0013744B"/>
    <w:rsid w:val="00141972"/>
    <w:rsid w:val="00143458"/>
    <w:rsid w:val="0014454F"/>
    <w:rsid w:val="00144B00"/>
    <w:rsid w:val="00144D3D"/>
    <w:rsid w:val="0014704B"/>
    <w:rsid w:val="00150746"/>
    <w:rsid w:val="001514D1"/>
    <w:rsid w:val="00152AF1"/>
    <w:rsid w:val="00152E7A"/>
    <w:rsid w:val="001537AF"/>
    <w:rsid w:val="00153AD4"/>
    <w:rsid w:val="00154D57"/>
    <w:rsid w:val="00155726"/>
    <w:rsid w:val="001705F4"/>
    <w:rsid w:val="00171F37"/>
    <w:rsid w:val="001754FC"/>
    <w:rsid w:val="001801CF"/>
    <w:rsid w:val="0018324D"/>
    <w:rsid w:val="001832F2"/>
    <w:rsid w:val="001863D4"/>
    <w:rsid w:val="0018649E"/>
    <w:rsid w:val="00187687"/>
    <w:rsid w:val="001940BD"/>
    <w:rsid w:val="00195029"/>
    <w:rsid w:val="00195761"/>
    <w:rsid w:val="00196B8B"/>
    <w:rsid w:val="0019705E"/>
    <w:rsid w:val="001A1878"/>
    <w:rsid w:val="001A3C68"/>
    <w:rsid w:val="001A4A3F"/>
    <w:rsid w:val="001A66BB"/>
    <w:rsid w:val="001A67A5"/>
    <w:rsid w:val="001B153C"/>
    <w:rsid w:val="001C01A0"/>
    <w:rsid w:val="001C0841"/>
    <w:rsid w:val="001C23A6"/>
    <w:rsid w:val="001C2422"/>
    <w:rsid w:val="001C3D2C"/>
    <w:rsid w:val="001C5AAA"/>
    <w:rsid w:val="001C7F93"/>
    <w:rsid w:val="001D25F1"/>
    <w:rsid w:val="001E116F"/>
    <w:rsid w:val="001E1863"/>
    <w:rsid w:val="001F2746"/>
    <w:rsid w:val="001F6CC6"/>
    <w:rsid w:val="00203559"/>
    <w:rsid w:val="002038A9"/>
    <w:rsid w:val="00206787"/>
    <w:rsid w:val="002076F9"/>
    <w:rsid w:val="00215942"/>
    <w:rsid w:val="00216369"/>
    <w:rsid w:val="00217E21"/>
    <w:rsid w:val="002200B4"/>
    <w:rsid w:val="0022055F"/>
    <w:rsid w:val="00220C71"/>
    <w:rsid w:val="00220FFB"/>
    <w:rsid w:val="00224807"/>
    <w:rsid w:val="002260B7"/>
    <w:rsid w:val="00230FF0"/>
    <w:rsid w:val="002339CD"/>
    <w:rsid w:val="00246990"/>
    <w:rsid w:val="0024770E"/>
    <w:rsid w:val="00247E2C"/>
    <w:rsid w:val="00251F62"/>
    <w:rsid w:val="00252B07"/>
    <w:rsid w:val="0026027A"/>
    <w:rsid w:val="002606D5"/>
    <w:rsid w:val="00266558"/>
    <w:rsid w:val="002709F6"/>
    <w:rsid w:val="00272A92"/>
    <w:rsid w:val="002778B1"/>
    <w:rsid w:val="0028032F"/>
    <w:rsid w:val="00282C87"/>
    <w:rsid w:val="00283390"/>
    <w:rsid w:val="00284615"/>
    <w:rsid w:val="00286957"/>
    <w:rsid w:val="00292496"/>
    <w:rsid w:val="00296D06"/>
    <w:rsid w:val="00297CBA"/>
    <w:rsid w:val="002A1007"/>
    <w:rsid w:val="002A2679"/>
    <w:rsid w:val="002A29A9"/>
    <w:rsid w:val="002A32CB"/>
    <w:rsid w:val="002B03C5"/>
    <w:rsid w:val="002B5910"/>
    <w:rsid w:val="002B5E09"/>
    <w:rsid w:val="002B70E4"/>
    <w:rsid w:val="002C44AD"/>
    <w:rsid w:val="002C6809"/>
    <w:rsid w:val="002D0A89"/>
    <w:rsid w:val="002D5B2C"/>
    <w:rsid w:val="002D6C53"/>
    <w:rsid w:val="002E0FDB"/>
    <w:rsid w:val="002E2D79"/>
    <w:rsid w:val="002E2F97"/>
    <w:rsid w:val="002E4961"/>
    <w:rsid w:val="002E5C39"/>
    <w:rsid w:val="002E643D"/>
    <w:rsid w:val="002E6BE0"/>
    <w:rsid w:val="002F1FB7"/>
    <w:rsid w:val="002F5486"/>
    <w:rsid w:val="002F5595"/>
    <w:rsid w:val="002F6CD9"/>
    <w:rsid w:val="0030215A"/>
    <w:rsid w:val="003114DB"/>
    <w:rsid w:val="00313ADA"/>
    <w:rsid w:val="003179A7"/>
    <w:rsid w:val="00323B7D"/>
    <w:rsid w:val="0032502A"/>
    <w:rsid w:val="003259E1"/>
    <w:rsid w:val="00331A79"/>
    <w:rsid w:val="00334460"/>
    <w:rsid w:val="00334F6A"/>
    <w:rsid w:val="00336936"/>
    <w:rsid w:val="003378F8"/>
    <w:rsid w:val="00342AC8"/>
    <w:rsid w:val="00343302"/>
    <w:rsid w:val="003515D2"/>
    <w:rsid w:val="0035259C"/>
    <w:rsid w:val="00353C0D"/>
    <w:rsid w:val="00354056"/>
    <w:rsid w:val="00355D6B"/>
    <w:rsid w:val="00361598"/>
    <w:rsid w:val="00362884"/>
    <w:rsid w:val="00364141"/>
    <w:rsid w:val="00371057"/>
    <w:rsid w:val="0037185D"/>
    <w:rsid w:val="00371FA0"/>
    <w:rsid w:val="00372799"/>
    <w:rsid w:val="003730C2"/>
    <w:rsid w:val="00373940"/>
    <w:rsid w:val="00377E77"/>
    <w:rsid w:val="00390E25"/>
    <w:rsid w:val="00393EC4"/>
    <w:rsid w:val="00394E48"/>
    <w:rsid w:val="003979DE"/>
    <w:rsid w:val="003A2C68"/>
    <w:rsid w:val="003A2F82"/>
    <w:rsid w:val="003A5181"/>
    <w:rsid w:val="003A668F"/>
    <w:rsid w:val="003B1FCD"/>
    <w:rsid w:val="003B29FA"/>
    <w:rsid w:val="003B2D0D"/>
    <w:rsid w:val="003B4550"/>
    <w:rsid w:val="003B5075"/>
    <w:rsid w:val="003C0A9B"/>
    <w:rsid w:val="003C1E3F"/>
    <w:rsid w:val="003C6F1E"/>
    <w:rsid w:val="003C6F5E"/>
    <w:rsid w:val="003D25D7"/>
    <w:rsid w:val="003D2A18"/>
    <w:rsid w:val="003D370B"/>
    <w:rsid w:val="003D3996"/>
    <w:rsid w:val="003D42BF"/>
    <w:rsid w:val="003D7E96"/>
    <w:rsid w:val="003E2F0E"/>
    <w:rsid w:val="003E3252"/>
    <w:rsid w:val="003E5641"/>
    <w:rsid w:val="003F4ED2"/>
    <w:rsid w:val="003F74E0"/>
    <w:rsid w:val="00400DF4"/>
    <w:rsid w:val="0040275F"/>
    <w:rsid w:val="004049C8"/>
    <w:rsid w:val="0040568D"/>
    <w:rsid w:val="00405B9C"/>
    <w:rsid w:val="00406635"/>
    <w:rsid w:val="0041023B"/>
    <w:rsid w:val="0041298E"/>
    <w:rsid w:val="00413386"/>
    <w:rsid w:val="00421062"/>
    <w:rsid w:val="00425E41"/>
    <w:rsid w:val="0042686B"/>
    <w:rsid w:val="00426B3C"/>
    <w:rsid w:val="00430953"/>
    <w:rsid w:val="0043176D"/>
    <w:rsid w:val="004337C2"/>
    <w:rsid w:val="00434125"/>
    <w:rsid w:val="0045188D"/>
    <w:rsid w:val="00461253"/>
    <w:rsid w:val="00462D00"/>
    <w:rsid w:val="00470C3C"/>
    <w:rsid w:val="00473743"/>
    <w:rsid w:val="00477708"/>
    <w:rsid w:val="0048169E"/>
    <w:rsid w:val="004858F5"/>
    <w:rsid w:val="0048682A"/>
    <w:rsid w:val="00492EEE"/>
    <w:rsid w:val="00493687"/>
    <w:rsid w:val="0049547C"/>
    <w:rsid w:val="0049552F"/>
    <w:rsid w:val="004A05A7"/>
    <w:rsid w:val="004A2814"/>
    <w:rsid w:val="004A3033"/>
    <w:rsid w:val="004A3E5A"/>
    <w:rsid w:val="004A6230"/>
    <w:rsid w:val="004A6C7A"/>
    <w:rsid w:val="004B6B29"/>
    <w:rsid w:val="004B6FA6"/>
    <w:rsid w:val="004B726F"/>
    <w:rsid w:val="004C0622"/>
    <w:rsid w:val="004C0C68"/>
    <w:rsid w:val="004C1C1D"/>
    <w:rsid w:val="004C24A7"/>
    <w:rsid w:val="004C7BF1"/>
    <w:rsid w:val="004E1C4B"/>
    <w:rsid w:val="004E445C"/>
    <w:rsid w:val="004E5684"/>
    <w:rsid w:val="004E5704"/>
    <w:rsid w:val="004E60E3"/>
    <w:rsid w:val="004E6BAB"/>
    <w:rsid w:val="004E7B33"/>
    <w:rsid w:val="004F2F4E"/>
    <w:rsid w:val="004F30AA"/>
    <w:rsid w:val="004F7D1A"/>
    <w:rsid w:val="00501CCF"/>
    <w:rsid w:val="0050224B"/>
    <w:rsid w:val="00502ADC"/>
    <w:rsid w:val="005042C2"/>
    <w:rsid w:val="00507C3B"/>
    <w:rsid w:val="00513742"/>
    <w:rsid w:val="00515953"/>
    <w:rsid w:val="00520CB1"/>
    <w:rsid w:val="00520D03"/>
    <w:rsid w:val="00521A5D"/>
    <w:rsid w:val="00522138"/>
    <w:rsid w:val="00523D20"/>
    <w:rsid w:val="005247E3"/>
    <w:rsid w:val="00530B2B"/>
    <w:rsid w:val="00531A0E"/>
    <w:rsid w:val="00531E00"/>
    <w:rsid w:val="005348B9"/>
    <w:rsid w:val="00534B4B"/>
    <w:rsid w:val="00534E17"/>
    <w:rsid w:val="005373C8"/>
    <w:rsid w:val="00544419"/>
    <w:rsid w:val="0054677A"/>
    <w:rsid w:val="00551C45"/>
    <w:rsid w:val="005522C5"/>
    <w:rsid w:val="0055304D"/>
    <w:rsid w:val="00553BB1"/>
    <w:rsid w:val="005565F4"/>
    <w:rsid w:val="005644EF"/>
    <w:rsid w:val="00576E92"/>
    <w:rsid w:val="0058397B"/>
    <w:rsid w:val="005844FB"/>
    <w:rsid w:val="005872D7"/>
    <w:rsid w:val="00591E19"/>
    <w:rsid w:val="0059441D"/>
    <w:rsid w:val="00594E3A"/>
    <w:rsid w:val="005A0542"/>
    <w:rsid w:val="005A2639"/>
    <w:rsid w:val="005A6CB8"/>
    <w:rsid w:val="005C37BE"/>
    <w:rsid w:val="005C6E96"/>
    <w:rsid w:val="005C77DB"/>
    <w:rsid w:val="005D1E15"/>
    <w:rsid w:val="005D31B5"/>
    <w:rsid w:val="005D3C17"/>
    <w:rsid w:val="005D42A6"/>
    <w:rsid w:val="005D5AC1"/>
    <w:rsid w:val="005D7452"/>
    <w:rsid w:val="005E32D0"/>
    <w:rsid w:val="005E6AF7"/>
    <w:rsid w:val="005E716E"/>
    <w:rsid w:val="005F1A1A"/>
    <w:rsid w:val="005F2143"/>
    <w:rsid w:val="005F3398"/>
    <w:rsid w:val="005F5962"/>
    <w:rsid w:val="00607F0F"/>
    <w:rsid w:val="00611238"/>
    <w:rsid w:val="006122AE"/>
    <w:rsid w:val="00613CB3"/>
    <w:rsid w:val="00623E83"/>
    <w:rsid w:val="00624585"/>
    <w:rsid w:val="00624D06"/>
    <w:rsid w:val="00626972"/>
    <w:rsid w:val="00627469"/>
    <w:rsid w:val="0063046F"/>
    <w:rsid w:val="006315B9"/>
    <w:rsid w:val="00631B77"/>
    <w:rsid w:val="00632F37"/>
    <w:rsid w:val="00634AB6"/>
    <w:rsid w:val="00637DE6"/>
    <w:rsid w:val="006448A6"/>
    <w:rsid w:val="0064733E"/>
    <w:rsid w:val="006476E1"/>
    <w:rsid w:val="0065563F"/>
    <w:rsid w:val="00657CC1"/>
    <w:rsid w:val="006604DF"/>
    <w:rsid w:val="00663CBF"/>
    <w:rsid w:val="00663D94"/>
    <w:rsid w:val="00671529"/>
    <w:rsid w:val="0067346F"/>
    <w:rsid w:val="00676ADA"/>
    <w:rsid w:val="006838D9"/>
    <w:rsid w:val="00683B3D"/>
    <w:rsid w:val="00684A6E"/>
    <w:rsid w:val="00685381"/>
    <w:rsid w:val="0068705F"/>
    <w:rsid w:val="006920B6"/>
    <w:rsid w:val="00692A36"/>
    <w:rsid w:val="00695C94"/>
    <w:rsid w:val="006A1B3B"/>
    <w:rsid w:val="006B25D4"/>
    <w:rsid w:val="006B7C36"/>
    <w:rsid w:val="006C410F"/>
    <w:rsid w:val="006C4B83"/>
    <w:rsid w:val="006D142A"/>
    <w:rsid w:val="006D2301"/>
    <w:rsid w:val="006D5CA9"/>
    <w:rsid w:val="006E07BA"/>
    <w:rsid w:val="006E60EF"/>
    <w:rsid w:val="006E6B07"/>
    <w:rsid w:val="006E7737"/>
    <w:rsid w:val="00700812"/>
    <w:rsid w:val="00704187"/>
    <w:rsid w:val="0070489D"/>
    <w:rsid w:val="00710BD5"/>
    <w:rsid w:val="0071215F"/>
    <w:rsid w:val="00714175"/>
    <w:rsid w:val="00715225"/>
    <w:rsid w:val="00725684"/>
    <w:rsid w:val="007268F9"/>
    <w:rsid w:val="00732951"/>
    <w:rsid w:val="0073637D"/>
    <w:rsid w:val="00736F6D"/>
    <w:rsid w:val="00737D3B"/>
    <w:rsid w:val="007400D9"/>
    <w:rsid w:val="00740247"/>
    <w:rsid w:val="00740607"/>
    <w:rsid w:val="007414E8"/>
    <w:rsid w:val="00741974"/>
    <w:rsid w:val="007436D3"/>
    <w:rsid w:val="00744DD8"/>
    <w:rsid w:val="007455EA"/>
    <w:rsid w:val="00750282"/>
    <w:rsid w:val="00752186"/>
    <w:rsid w:val="00752CDF"/>
    <w:rsid w:val="00756129"/>
    <w:rsid w:val="007563BA"/>
    <w:rsid w:val="00756430"/>
    <w:rsid w:val="007575F5"/>
    <w:rsid w:val="00757866"/>
    <w:rsid w:val="0076429D"/>
    <w:rsid w:val="00764440"/>
    <w:rsid w:val="00766AC4"/>
    <w:rsid w:val="0077101B"/>
    <w:rsid w:val="00771D27"/>
    <w:rsid w:val="007734B7"/>
    <w:rsid w:val="0077658B"/>
    <w:rsid w:val="007806A3"/>
    <w:rsid w:val="007834CB"/>
    <w:rsid w:val="00783BB6"/>
    <w:rsid w:val="00785325"/>
    <w:rsid w:val="007876A9"/>
    <w:rsid w:val="00795E32"/>
    <w:rsid w:val="00797B45"/>
    <w:rsid w:val="007A10F6"/>
    <w:rsid w:val="007C0096"/>
    <w:rsid w:val="007C3C1F"/>
    <w:rsid w:val="007C52B0"/>
    <w:rsid w:val="007C5740"/>
    <w:rsid w:val="007C6033"/>
    <w:rsid w:val="007C6A0E"/>
    <w:rsid w:val="007C796E"/>
    <w:rsid w:val="007D0CB5"/>
    <w:rsid w:val="007D570E"/>
    <w:rsid w:val="007E3941"/>
    <w:rsid w:val="007E4C73"/>
    <w:rsid w:val="007F0154"/>
    <w:rsid w:val="007F21E7"/>
    <w:rsid w:val="007F3E3C"/>
    <w:rsid w:val="007F4786"/>
    <w:rsid w:val="007F48BD"/>
    <w:rsid w:val="007F5FDA"/>
    <w:rsid w:val="008015F2"/>
    <w:rsid w:val="00804EF5"/>
    <w:rsid w:val="00806112"/>
    <w:rsid w:val="008130FD"/>
    <w:rsid w:val="008147C8"/>
    <w:rsid w:val="00816467"/>
    <w:rsid w:val="0081753A"/>
    <w:rsid w:val="00817975"/>
    <w:rsid w:val="00822082"/>
    <w:rsid w:val="00822F0D"/>
    <w:rsid w:val="0082546D"/>
    <w:rsid w:val="00825EE2"/>
    <w:rsid w:val="0083080A"/>
    <w:rsid w:val="00830D0E"/>
    <w:rsid w:val="00834C1A"/>
    <w:rsid w:val="008356CB"/>
    <w:rsid w:val="00842D7D"/>
    <w:rsid w:val="00844FD5"/>
    <w:rsid w:val="00850500"/>
    <w:rsid w:val="008549EE"/>
    <w:rsid w:val="0085751B"/>
    <w:rsid w:val="00857D23"/>
    <w:rsid w:val="00860CEF"/>
    <w:rsid w:val="008643F7"/>
    <w:rsid w:val="008671DD"/>
    <w:rsid w:val="00871372"/>
    <w:rsid w:val="008731D1"/>
    <w:rsid w:val="00873D9E"/>
    <w:rsid w:val="0087408D"/>
    <w:rsid w:val="00874740"/>
    <w:rsid w:val="00874B46"/>
    <w:rsid w:val="00874F25"/>
    <w:rsid w:val="0087594A"/>
    <w:rsid w:val="0087667E"/>
    <w:rsid w:val="00876935"/>
    <w:rsid w:val="00880178"/>
    <w:rsid w:val="00881E9C"/>
    <w:rsid w:val="00882D2C"/>
    <w:rsid w:val="008912DE"/>
    <w:rsid w:val="00891E35"/>
    <w:rsid w:val="0089274C"/>
    <w:rsid w:val="00894720"/>
    <w:rsid w:val="0089663C"/>
    <w:rsid w:val="008977DE"/>
    <w:rsid w:val="008A353F"/>
    <w:rsid w:val="008A5A90"/>
    <w:rsid w:val="008A5C87"/>
    <w:rsid w:val="008A6D7E"/>
    <w:rsid w:val="008B321C"/>
    <w:rsid w:val="008B362D"/>
    <w:rsid w:val="008C17A0"/>
    <w:rsid w:val="008C6E38"/>
    <w:rsid w:val="008C7ABD"/>
    <w:rsid w:val="008D0387"/>
    <w:rsid w:val="008D3546"/>
    <w:rsid w:val="008D5E52"/>
    <w:rsid w:val="008E100A"/>
    <w:rsid w:val="008E4EEA"/>
    <w:rsid w:val="008E639F"/>
    <w:rsid w:val="008E7DD9"/>
    <w:rsid w:val="008F0802"/>
    <w:rsid w:val="008F0B47"/>
    <w:rsid w:val="008F20F5"/>
    <w:rsid w:val="008F450D"/>
    <w:rsid w:val="008F6248"/>
    <w:rsid w:val="008F63E9"/>
    <w:rsid w:val="00900EE8"/>
    <w:rsid w:val="009034FE"/>
    <w:rsid w:val="009063A9"/>
    <w:rsid w:val="00906F98"/>
    <w:rsid w:val="009101BB"/>
    <w:rsid w:val="00910E7F"/>
    <w:rsid w:val="00913023"/>
    <w:rsid w:val="00921054"/>
    <w:rsid w:val="00921614"/>
    <w:rsid w:val="00923099"/>
    <w:rsid w:val="009230B0"/>
    <w:rsid w:val="00923924"/>
    <w:rsid w:val="00932F38"/>
    <w:rsid w:val="00933BC9"/>
    <w:rsid w:val="009346FD"/>
    <w:rsid w:val="0094017D"/>
    <w:rsid w:val="009405BA"/>
    <w:rsid w:val="00940E52"/>
    <w:rsid w:val="009411B4"/>
    <w:rsid w:val="009441DF"/>
    <w:rsid w:val="00945668"/>
    <w:rsid w:val="00946341"/>
    <w:rsid w:val="00946F1D"/>
    <w:rsid w:val="00947A3C"/>
    <w:rsid w:val="00951C6F"/>
    <w:rsid w:val="00954DF6"/>
    <w:rsid w:val="00954F84"/>
    <w:rsid w:val="009552EA"/>
    <w:rsid w:val="00956B5C"/>
    <w:rsid w:val="00961515"/>
    <w:rsid w:val="0097212B"/>
    <w:rsid w:val="00973E9B"/>
    <w:rsid w:val="0097435D"/>
    <w:rsid w:val="00974CE0"/>
    <w:rsid w:val="00975339"/>
    <w:rsid w:val="0097686D"/>
    <w:rsid w:val="009829BB"/>
    <w:rsid w:val="00984AE0"/>
    <w:rsid w:val="00985327"/>
    <w:rsid w:val="009877B7"/>
    <w:rsid w:val="00991701"/>
    <w:rsid w:val="009A319A"/>
    <w:rsid w:val="009A3A37"/>
    <w:rsid w:val="009B0331"/>
    <w:rsid w:val="009B3686"/>
    <w:rsid w:val="009B3D87"/>
    <w:rsid w:val="009C0D26"/>
    <w:rsid w:val="009C3406"/>
    <w:rsid w:val="009C5193"/>
    <w:rsid w:val="009C54DA"/>
    <w:rsid w:val="009C5F66"/>
    <w:rsid w:val="009C6814"/>
    <w:rsid w:val="009D0139"/>
    <w:rsid w:val="009D3BA4"/>
    <w:rsid w:val="009D6BA8"/>
    <w:rsid w:val="009D717D"/>
    <w:rsid w:val="009E229B"/>
    <w:rsid w:val="009E63DE"/>
    <w:rsid w:val="009E778A"/>
    <w:rsid w:val="009F01A9"/>
    <w:rsid w:val="009F1FCD"/>
    <w:rsid w:val="009F2EFF"/>
    <w:rsid w:val="009F5CDC"/>
    <w:rsid w:val="009F6C12"/>
    <w:rsid w:val="009F7A04"/>
    <w:rsid w:val="00A0112E"/>
    <w:rsid w:val="00A037CD"/>
    <w:rsid w:val="00A0447E"/>
    <w:rsid w:val="00A0581B"/>
    <w:rsid w:val="00A0627E"/>
    <w:rsid w:val="00A06362"/>
    <w:rsid w:val="00A072D7"/>
    <w:rsid w:val="00A144AB"/>
    <w:rsid w:val="00A2290A"/>
    <w:rsid w:val="00A22FC5"/>
    <w:rsid w:val="00A26109"/>
    <w:rsid w:val="00A26D97"/>
    <w:rsid w:val="00A30AAB"/>
    <w:rsid w:val="00A33786"/>
    <w:rsid w:val="00A366DE"/>
    <w:rsid w:val="00A42BE6"/>
    <w:rsid w:val="00A4464E"/>
    <w:rsid w:val="00A47BB6"/>
    <w:rsid w:val="00A513A8"/>
    <w:rsid w:val="00A51A24"/>
    <w:rsid w:val="00A51B0B"/>
    <w:rsid w:val="00A5336F"/>
    <w:rsid w:val="00A53A14"/>
    <w:rsid w:val="00A67271"/>
    <w:rsid w:val="00A73C80"/>
    <w:rsid w:val="00A7479F"/>
    <w:rsid w:val="00A74F67"/>
    <w:rsid w:val="00A761F8"/>
    <w:rsid w:val="00A775CF"/>
    <w:rsid w:val="00A81CC2"/>
    <w:rsid w:val="00A84B51"/>
    <w:rsid w:val="00A93F1E"/>
    <w:rsid w:val="00A94641"/>
    <w:rsid w:val="00A94756"/>
    <w:rsid w:val="00A948A3"/>
    <w:rsid w:val="00A96218"/>
    <w:rsid w:val="00A964DE"/>
    <w:rsid w:val="00AA666B"/>
    <w:rsid w:val="00AB0478"/>
    <w:rsid w:val="00AB105E"/>
    <w:rsid w:val="00AB164F"/>
    <w:rsid w:val="00AB1C48"/>
    <w:rsid w:val="00AB279F"/>
    <w:rsid w:val="00AB2A14"/>
    <w:rsid w:val="00AB624E"/>
    <w:rsid w:val="00AD1A9C"/>
    <w:rsid w:val="00AE18E9"/>
    <w:rsid w:val="00AE297C"/>
    <w:rsid w:val="00AE5F5F"/>
    <w:rsid w:val="00AE6160"/>
    <w:rsid w:val="00AF040C"/>
    <w:rsid w:val="00AF16F7"/>
    <w:rsid w:val="00AF2D1C"/>
    <w:rsid w:val="00AF5DE1"/>
    <w:rsid w:val="00B02344"/>
    <w:rsid w:val="00B03525"/>
    <w:rsid w:val="00B036EC"/>
    <w:rsid w:val="00B05992"/>
    <w:rsid w:val="00B06045"/>
    <w:rsid w:val="00B109FD"/>
    <w:rsid w:val="00B152A9"/>
    <w:rsid w:val="00B206DD"/>
    <w:rsid w:val="00B35B6F"/>
    <w:rsid w:val="00B35FFD"/>
    <w:rsid w:val="00B4326E"/>
    <w:rsid w:val="00B43771"/>
    <w:rsid w:val="00B4409C"/>
    <w:rsid w:val="00B5233F"/>
    <w:rsid w:val="00B52EF4"/>
    <w:rsid w:val="00B53465"/>
    <w:rsid w:val="00B54544"/>
    <w:rsid w:val="00B55343"/>
    <w:rsid w:val="00B60BEF"/>
    <w:rsid w:val="00B619B8"/>
    <w:rsid w:val="00B72E4F"/>
    <w:rsid w:val="00B734F3"/>
    <w:rsid w:val="00B777AD"/>
    <w:rsid w:val="00B80116"/>
    <w:rsid w:val="00B8026E"/>
    <w:rsid w:val="00B81087"/>
    <w:rsid w:val="00B818CB"/>
    <w:rsid w:val="00B83830"/>
    <w:rsid w:val="00B84B90"/>
    <w:rsid w:val="00B87267"/>
    <w:rsid w:val="00B9218A"/>
    <w:rsid w:val="00B935A7"/>
    <w:rsid w:val="00B979F1"/>
    <w:rsid w:val="00BA77B0"/>
    <w:rsid w:val="00BA7D1A"/>
    <w:rsid w:val="00BB1683"/>
    <w:rsid w:val="00BB43D3"/>
    <w:rsid w:val="00BC211C"/>
    <w:rsid w:val="00BC4364"/>
    <w:rsid w:val="00BC5D71"/>
    <w:rsid w:val="00BD536A"/>
    <w:rsid w:val="00BD54F3"/>
    <w:rsid w:val="00BD7D5D"/>
    <w:rsid w:val="00BE364D"/>
    <w:rsid w:val="00BE3B48"/>
    <w:rsid w:val="00BE429D"/>
    <w:rsid w:val="00BE64AF"/>
    <w:rsid w:val="00BE7E74"/>
    <w:rsid w:val="00BF1F41"/>
    <w:rsid w:val="00BF3A4E"/>
    <w:rsid w:val="00C03015"/>
    <w:rsid w:val="00C0358D"/>
    <w:rsid w:val="00C04DB2"/>
    <w:rsid w:val="00C0736D"/>
    <w:rsid w:val="00C10738"/>
    <w:rsid w:val="00C17B9E"/>
    <w:rsid w:val="00C26FE2"/>
    <w:rsid w:val="00C27997"/>
    <w:rsid w:val="00C305B5"/>
    <w:rsid w:val="00C32D40"/>
    <w:rsid w:val="00C35A27"/>
    <w:rsid w:val="00C3657B"/>
    <w:rsid w:val="00C42DAB"/>
    <w:rsid w:val="00C457A8"/>
    <w:rsid w:val="00C464B8"/>
    <w:rsid w:val="00C47B2E"/>
    <w:rsid w:val="00C514CF"/>
    <w:rsid w:val="00C51B87"/>
    <w:rsid w:val="00C53236"/>
    <w:rsid w:val="00C5462E"/>
    <w:rsid w:val="00C56074"/>
    <w:rsid w:val="00C575A4"/>
    <w:rsid w:val="00C6182C"/>
    <w:rsid w:val="00C638E2"/>
    <w:rsid w:val="00C66E58"/>
    <w:rsid w:val="00C74056"/>
    <w:rsid w:val="00C74CBB"/>
    <w:rsid w:val="00C75F94"/>
    <w:rsid w:val="00C83378"/>
    <w:rsid w:val="00C9780C"/>
    <w:rsid w:val="00C97994"/>
    <w:rsid w:val="00C97C5C"/>
    <w:rsid w:val="00C97CF3"/>
    <w:rsid w:val="00CA079B"/>
    <w:rsid w:val="00CA7225"/>
    <w:rsid w:val="00CB3740"/>
    <w:rsid w:val="00CB3872"/>
    <w:rsid w:val="00CC2276"/>
    <w:rsid w:val="00CC4866"/>
    <w:rsid w:val="00CC61FB"/>
    <w:rsid w:val="00CC7B2D"/>
    <w:rsid w:val="00CD1209"/>
    <w:rsid w:val="00CD5E34"/>
    <w:rsid w:val="00CE1C96"/>
    <w:rsid w:val="00CE4544"/>
    <w:rsid w:val="00CE5EDB"/>
    <w:rsid w:val="00CE6A4B"/>
    <w:rsid w:val="00CF098C"/>
    <w:rsid w:val="00CF1D7F"/>
    <w:rsid w:val="00D02338"/>
    <w:rsid w:val="00D024D9"/>
    <w:rsid w:val="00D029C7"/>
    <w:rsid w:val="00D02ED9"/>
    <w:rsid w:val="00D03B13"/>
    <w:rsid w:val="00D0584E"/>
    <w:rsid w:val="00D05AA2"/>
    <w:rsid w:val="00D067F8"/>
    <w:rsid w:val="00D07B99"/>
    <w:rsid w:val="00D07F0D"/>
    <w:rsid w:val="00D1171D"/>
    <w:rsid w:val="00D12F87"/>
    <w:rsid w:val="00D13785"/>
    <w:rsid w:val="00D15A1D"/>
    <w:rsid w:val="00D163B7"/>
    <w:rsid w:val="00D22425"/>
    <w:rsid w:val="00D30507"/>
    <w:rsid w:val="00D4013A"/>
    <w:rsid w:val="00D41EDE"/>
    <w:rsid w:val="00D46214"/>
    <w:rsid w:val="00D47D73"/>
    <w:rsid w:val="00D47E74"/>
    <w:rsid w:val="00D52799"/>
    <w:rsid w:val="00D54292"/>
    <w:rsid w:val="00D5604F"/>
    <w:rsid w:val="00D57D47"/>
    <w:rsid w:val="00D63CD2"/>
    <w:rsid w:val="00D6501A"/>
    <w:rsid w:val="00D73526"/>
    <w:rsid w:val="00D760A4"/>
    <w:rsid w:val="00D76C97"/>
    <w:rsid w:val="00D774F4"/>
    <w:rsid w:val="00D80732"/>
    <w:rsid w:val="00D810DB"/>
    <w:rsid w:val="00D8432A"/>
    <w:rsid w:val="00D86970"/>
    <w:rsid w:val="00D87DC2"/>
    <w:rsid w:val="00D90E11"/>
    <w:rsid w:val="00D93B39"/>
    <w:rsid w:val="00D94B05"/>
    <w:rsid w:val="00D94BC6"/>
    <w:rsid w:val="00D9614B"/>
    <w:rsid w:val="00DA2387"/>
    <w:rsid w:val="00DA502C"/>
    <w:rsid w:val="00DA63D6"/>
    <w:rsid w:val="00DC5DD4"/>
    <w:rsid w:val="00DD566D"/>
    <w:rsid w:val="00DD6FF9"/>
    <w:rsid w:val="00DE2798"/>
    <w:rsid w:val="00DF0BFD"/>
    <w:rsid w:val="00DF1733"/>
    <w:rsid w:val="00DF1F49"/>
    <w:rsid w:val="00E002C7"/>
    <w:rsid w:val="00E01BA2"/>
    <w:rsid w:val="00E02C2B"/>
    <w:rsid w:val="00E04FF7"/>
    <w:rsid w:val="00E0533F"/>
    <w:rsid w:val="00E07513"/>
    <w:rsid w:val="00E11C74"/>
    <w:rsid w:val="00E12DE4"/>
    <w:rsid w:val="00E174A4"/>
    <w:rsid w:val="00E2114F"/>
    <w:rsid w:val="00E21C27"/>
    <w:rsid w:val="00E225C8"/>
    <w:rsid w:val="00E2662D"/>
    <w:rsid w:val="00E26BCF"/>
    <w:rsid w:val="00E36C62"/>
    <w:rsid w:val="00E43212"/>
    <w:rsid w:val="00E478CC"/>
    <w:rsid w:val="00E52109"/>
    <w:rsid w:val="00E60DDE"/>
    <w:rsid w:val="00E633CA"/>
    <w:rsid w:val="00E66925"/>
    <w:rsid w:val="00E6731D"/>
    <w:rsid w:val="00E75317"/>
    <w:rsid w:val="00E775D9"/>
    <w:rsid w:val="00E80774"/>
    <w:rsid w:val="00E8363D"/>
    <w:rsid w:val="00E93EDA"/>
    <w:rsid w:val="00E94217"/>
    <w:rsid w:val="00EA09B2"/>
    <w:rsid w:val="00EA30F6"/>
    <w:rsid w:val="00EA3A7F"/>
    <w:rsid w:val="00EA46D8"/>
    <w:rsid w:val="00EB1333"/>
    <w:rsid w:val="00EB70BF"/>
    <w:rsid w:val="00EC0CE6"/>
    <w:rsid w:val="00EC3668"/>
    <w:rsid w:val="00EC3AFB"/>
    <w:rsid w:val="00EC7C1D"/>
    <w:rsid w:val="00ED2745"/>
    <w:rsid w:val="00ED3525"/>
    <w:rsid w:val="00ED5D86"/>
    <w:rsid w:val="00ED6812"/>
    <w:rsid w:val="00ED6C48"/>
    <w:rsid w:val="00ED7E1D"/>
    <w:rsid w:val="00EE083D"/>
    <w:rsid w:val="00EE2B61"/>
    <w:rsid w:val="00EE3045"/>
    <w:rsid w:val="00EE5F70"/>
    <w:rsid w:val="00EF07C9"/>
    <w:rsid w:val="00EF7598"/>
    <w:rsid w:val="00EF7EB6"/>
    <w:rsid w:val="00F03958"/>
    <w:rsid w:val="00F04BE5"/>
    <w:rsid w:val="00F04EDD"/>
    <w:rsid w:val="00F10828"/>
    <w:rsid w:val="00F125F4"/>
    <w:rsid w:val="00F13208"/>
    <w:rsid w:val="00F13C5C"/>
    <w:rsid w:val="00F147AE"/>
    <w:rsid w:val="00F147DB"/>
    <w:rsid w:val="00F20111"/>
    <w:rsid w:val="00F215E4"/>
    <w:rsid w:val="00F21E7B"/>
    <w:rsid w:val="00F24D39"/>
    <w:rsid w:val="00F26ACB"/>
    <w:rsid w:val="00F3058B"/>
    <w:rsid w:val="00F3278F"/>
    <w:rsid w:val="00F327C8"/>
    <w:rsid w:val="00F3327B"/>
    <w:rsid w:val="00F444D2"/>
    <w:rsid w:val="00F44B10"/>
    <w:rsid w:val="00F55B79"/>
    <w:rsid w:val="00F5712E"/>
    <w:rsid w:val="00F57499"/>
    <w:rsid w:val="00F60C9F"/>
    <w:rsid w:val="00F6176D"/>
    <w:rsid w:val="00F624BA"/>
    <w:rsid w:val="00F65F5D"/>
    <w:rsid w:val="00F722ED"/>
    <w:rsid w:val="00F73777"/>
    <w:rsid w:val="00F74513"/>
    <w:rsid w:val="00F75983"/>
    <w:rsid w:val="00F75B03"/>
    <w:rsid w:val="00F77B68"/>
    <w:rsid w:val="00F8251A"/>
    <w:rsid w:val="00F8406B"/>
    <w:rsid w:val="00F86A3A"/>
    <w:rsid w:val="00F96756"/>
    <w:rsid w:val="00F96A32"/>
    <w:rsid w:val="00F97DCA"/>
    <w:rsid w:val="00FA0C2D"/>
    <w:rsid w:val="00FA2191"/>
    <w:rsid w:val="00FA39EA"/>
    <w:rsid w:val="00FB03DC"/>
    <w:rsid w:val="00FB1B31"/>
    <w:rsid w:val="00FB22D0"/>
    <w:rsid w:val="00FB5683"/>
    <w:rsid w:val="00FB59DC"/>
    <w:rsid w:val="00FC6647"/>
    <w:rsid w:val="00FC6EB6"/>
    <w:rsid w:val="00FD62AD"/>
    <w:rsid w:val="00FE0A14"/>
    <w:rsid w:val="00FE0B30"/>
    <w:rsid w:val="00FE2DA5"/>
    <w:rsid w:val="00FF1EF6"/>
    <w:rsid w:val="00FF3D9D"/>
    <w:rsid w:val="00FF439E"/>
    <w:rsid w:val="00FF4D86"/>
    <w:rsid w:val="00FF531D"/>
    <w:rsid w:val="00FF5DD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2ACD2"/>
  <w15:docId w15:val="{5A55C38B-63BD-4B02-B4E3-C517A93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4E"/>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17975"/>
    <w:rPr>
      <w:b/>
      <w:sz w:val="28"/>
    </w:rPr>
  </w:style>
  <w:style w:type="paragraph" w:styleId="ListParagraph">
    <w:name w:val="List Paragraph"/>
    <w:basedOn w:val="Normal"/>
    <w:uiPriority w:val="34"/>
    <w:qFormat/>
    <w:rsid w:val="00E66925"/>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5373C8"/>
  </w:style>
  <w:style w:type="character" w:customStyle="1" w:styleId="H1GChar">
    <w:name w:val="_ H_1_G Char"/>
    <w:link w:val="H1G"/>
    <w:rsid w:val="00766AC4"/>
    <w:rPr>
      <w:b/>
      <w:sz w:val="24"/>
    </w:rPr>
  </w:style>
  <w:style w:type="character" w:customStyle="1" w:styleId="H23GChar">
    <w:name w:val="_ H_2/3_G Char"/>
    <w:link w:val="H23G"/>
    <w:rsid w:val="00766AC4"/>
    <w:rPr>
      <w:b/>
    </w:rPr>
  </w:style>
  <w:style w:type="character" w:styleId="CommentReference">
    <w:name w:val="annotation reference"/>
    <w:basedOn w:val="DefaultParagraphFont"/>
    <w:uiPriority w:val="99"/>
    <w:unhideWhenUsed/>
    <w:rsid w:val="00844FD5"/>
    <w:rPr>
      <w:sz w:val="16"/>
      <w:szCs w:val="16"/>
    </w:rPr>
  </w:style>
  <w:style w:type="paragraph" w:styleId="CommentText">
    <w:name w:val="annotation text"/>
    <w:basedOn w:val="Normal"/>
    <w:link w:val="CommentTextChar"/>
    <w:uiPriority w:val="99"/>
    <w:unhideWhenUsed/>
    <w:rsid w:val="00844FD5"/>
    <w:pPr>
      <w:spacing w:line="240" w:lineRule="auto"/>
    </w:pPr>
  </w:style>
  <w:style w:type="character" w:customStyle="1" w:styleId="CommentTextChar">
    <w:name w:val="Comment Text Char"/>
    <w:basedOn w:val="DefaultParagraphFont"/>
    <w:link w:val="CommentText"/>
    <w:uiPriority w:val="99"/>
    <w:rsid w:val="00844FD5"/>
  </w:style>
  <w:style w:type="paragraph" w:styleId="CommentSubject">
    <w:name w:val="annotation subject"/>
    <w:basedOn w:val="CommentText"/>
    <w:next w:val="CommentText"/>
    <w:link w:val="CommentSubjectChar"/>
    <w:uiPriority w:val="99"/>
    <w:semiHidden/>
    <w:unhideWhenUsed/>
    <w:rsid w:val="00844FD5"/>
    <w:rPr>
      <w:b/>
      <w:bCs/>
    </w:rPr>
  </w:style>
  <w:style w:type="character" w:customStyle="1" w:styleId="CommentSubjectChar">
    <w:name w:val="Comment Subject Char"/>
    <w:basedOn w:val="CommentTextChar"/>
    <w:link w:val="CommentSubject"/>
    <w:uiPriority w:val="99"/>
    <w:semiHidden/>
    <w:rsid w:val="00844FD5"/>
    <w:rPr>
      <w:b/>
      <w:bCs/>
    </w:rPr>
  </w:style>
  <w:style w:type="paragraph" w:styleId="Revision">
    <w:name w:val="Revision"/>
    <w:hidden/>
    <w:uiPriority w:val="99"/>
    <w:semiHidden/>
    <w:rsid w:val="0003164F"/>
    <w:pPr>
      <w:spacing w:after="0" w:line="240" w:lineRule="auto"/>
    </w:pPr>
  </w:style>
  <w:style w:type="character" w:customStyle="1" w:styleId="normaltextrun">
    <w:name w:val="normaltextrun"/>
    <w:basedOn w:val="DefaultParagraphFont"/>
    <w:rsid w:val="000823C3"/>
  </w:style>
  <w:style w:type="character" w:styleId="UnresolvedMention">
    <w:name w:val="Unresolved Mention"/>
    <w:basedOn w:val="DefaultParagraphFont"/>
    <w:uiPriority w:val="99"/>
    <w:semiHidden/>
    <w:unhideWhenUsed/>
    <w:rsid w:val="009C5193"/>
    <w:rPr>
      <w:color w:val="605E5C"/>
      <w:shd w:val="clear" w:color="auto" w:fill="E1DFDD"/>
    </w:rPr>
  </w:style>
  <w:style w:type="table" w:customStyle="1" w:styleId="TableGrid1">
    <w:name w:val="Table Grid1"/>
    <w:basedOn w:val="TableNormal"/>
    <w:uiPriority w:val="39"/>
    <w:rsid w:val="00973E9B"/>
    <w:pPr>
      <w:suppressAutoHyphens/>
      <w:spacing w:after="0" w:line="240" w:lineRule="atLeast"/>
    </w:pPr>
    <w:rPr>
      <w:rFonts w:eastAsia="Times New Roman"/>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semiHidden/>
    <w:rsid w:val="00973E9B"/>
    <w:pPr>
      <w:numPr>
        <w:numId w:val="25"/>
      </w:numPr>
      <w:kinsoku/>
      <w:overflowPunct/>
      <w:autoSpaceDE/>
      <w:autoSpaceDN/>
      <w:adjustRightInd/>
      <w:snapToGrid/>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45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33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55D21-E9DA-4930-83D6-0F6BD73F311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4553249-FB6E-4F7E-BBE1-CA49A5709406}">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8FE593F9-102E-4539-85B9-AD461CAF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14</TotalTime>
  <Pages>12</Pages>
  <Words>3897</Words>
  <Characters>23244</Characters>
  <Application>Microsoft Office Word</Application>
  <DocSecurity>0</DocSecurity>
  <Lines>556</Lines>
  <Paragraphs>359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26891</CharactersWithSpaces>
  <SharedDoc>false</SharedDoc>
  <HLinks>
    <vt:vector size="18" baseType="variant">
      <vt:variant>
        <vt:i4>262188</vt:i4>
      </vt:variant>
      <vt:variant>
        <vt:i4>6</vt:i4>
      </vt:variant>
      <vt:variant>
        <vt:i4>0</vt:i4>
      </vt:variant>
      <vt:variant>
        <vt:i4>5</vt:i4>
      </vt:variant>
      <vt:variant>
        <vt:lpwstr>http://www.cgedd.developpement-durable.gouv.fr/IMG/pdf/013535-p_rapport_publie_cle051f41.pdf</vt:lpwstr>
      </vt:variant>
      <vt:variant>
        <vt:lpwstr/>
      </vt:variant>
      <vt:variant>
        <vt:i4>7733323</vt:i4>
      </vt:variant>
      <vt:variant>
        <vt:i4>3</vt:i4>
      </vt:variant>
      <vt:variant>
        <vt:i4>0</vt:i4>
      </vt:variant>
      <vt:variant>
        <vt:i4>5</vt:i4>
      </vt:variant>
      <vt:variant>
        <vt:lpwstr>mailto:info@idgca.org</vt:lpwstr>
      </vt:variant>
      <vt:variant>
        <vt:lpwstr/>
      </vt:variant>
      <vt:variant>
        <vt:i4>5701714</vt:i4>
      </vt:variant>
      <vt:variant>
        <vt:i4>0</vt:i4>
      </vt:variant>
      <vt:variant>
        <vt:i4>0</vt:i4>
      </vt:variant>
      <vt:variant>
        <vt:i4>5</vt:i4>
      </vt:variant>
      <vt:variant>
        <vt:lpwstr>https://unece.org/guiding-principles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ST/SG/AC.10/C.3/116</dc:title>
  <dc:subject/>
  <dc:creator>Laurence BERTHET</dc:creator>
  <cp:keywords/>
  <cp:lastModifiedBy>Laurence Berthet</cp:lastModifiedBy>
  <cp:revision>14</cp:revision>
  <cp:lastPrinted>2022-01-05T17:17:00Z</cp:lastPrinted>
  <dcterms:created xsi:type="dcterms:W3CDTF">2022-07-14T13:13:00Z</dcterms:created>
  <dcterms:modified xsi:type="dcterms:W3CDTF">2022-07-28T08:55:00Z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