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F2ABA" w14:paraId="06BFAB7E" w14:textId="77777777" w:rsidTr="00A27C92">
        <w:trPr>
          <w:trHeight w:hRule="exact" w:val="851"/>
        </w:trPr>
        <w:tc>
          <w:tcPr>
            <w:tcW w:w="9639" w:type="dxa"/>
            <w:gridSpan w:val="2"/>
            <w:tcBorders>
              <w:bottom w:val="single" w:sz="4" w:space="0" w:color="auto"/>
            </w:tcBorders>
            <w:shd w:val="clear" w:color="auto" w:fill="auto"/>
            <w:vAlign w:val="bottom"/>
          </w:tcPr>
          <w:p w14:paraId="561BE226" w14:textId="77777777" w:rsidR="00AF2ABA" w:rsidRPr="00AF2ABA" w:rsidRDefault="00AF2ABA" w:rsidP="00AF2ABA">
            <w:pPr>
              <w:jc w:val="right"/>
              <w:rPr>
                <w:lang w:val="en-US"/>
              </w:rPr>
            </w:pPr>
            <w:r w:rsidRPr="00AF2ABA">
              <w:rPr>
                <w:sz w:val="40"/>
                <w:lang w:val="en-US"/>
              </w:rPr>
              <w:t>E</w:t>
            </w:r>
            <w:r w:rsidRPr="00AF2ABA">
              <w:rPr>
                <w:lang w:val="en-US"/>
              </w:rPr>
              <w:t>/ECE/324/Rev.2/Add.123/Amend.3−</w:t>
            </w:r>
            <w:r w:rsidRPr="00AF2ABA">
              <w:rPr>
                <w:sz w:val="40"/>
                <w:lang w:val="en-US"/>
              </w:rPr>
              <w:t>E</w:t>
            </w:r>
            <w:r w:rsidRPr="00AF2ABA">
              <w:rPr>
                <w:lang w:val="en-US"/>
              </w:rPr>
              <w:t>/ECE/TRANS/505/Rev.2/Add.123/Amend.3</w:t>
            </w:r>
          </w:p>
        </w:tc>
      </w:tr>
      <w:tr w:rsidR="00421A10" w:rsidRPr="00DB58B5" w14:paraId="7593CFA3" w14:textId="77777777" w:rsidTr="00A27C92">
        <w:trPr>
          <w:trHeight w:hRule="exact" w:val="2835"/>
        </w:trPr>
        <w:tc>
          <w:tcPr>
            <w:tcW w:w="6804" w:type="dxa"/>
            <w:tcBorders>
              <w:top w:val="single" w:sz="4" w:space="0" w:color="auto"/>
              <w:bottom w:val="single" w:sz="12" w:space="0" w:color="auto"/>
            </w:tcBorders>
            <w:shd w:val="clear" w:color="auto" w:fill="auto"/>
          </w:tcPr>
          <w:p w14:paraId="0222B288" w14:textId="77777777" w:rsidR="00421A10" w:rsidRPr="00AF2AB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827AFE6" w14:textId="569AC90F" w:rsidR="00421A10" w:rsidRPr="00DB58B5" w:rsidRDefault="00AF2ABA" w:rsidP="00A27C92">
            <w:pPr>
              <w:spacing w:before="480" w:line="240" w:lineRule="exact"/>
            </w:pPr>
            <w:r>
              <w:t>21 mars 2022</w:t>
            </w:r>
          </w:p>
        </w:tc>
      </w:tr>
    </w:tbl>
    <w:p w14:paraId="0838DD0F" w14:textId="19A154A1" w:rsidR="00AF2ABA" w:rsidRPr="006549FF" w:rsidRDefault="00FF614B" w:rsidP="00AF2ABA">
      <w:pPr>
        <w:pStyle w:val="HChG"/>
      </w:pPr>
      <w:r>
        <w:tab/>
      </w:r>
      <w:r>
        <w:tab/>
      </w:r>
      <w:r w:rsidR="00AF2ABA" w:rsidRPr="006549FF">
        <w:t>Accord</w:t>
      </w:r>
    </w:p>
    <w:p w14:paraId="0885449F" w14:textId="77777777" w:rsidR="00AF2ABA" w:rsidRPr="00583D68" w:rsidRDefault="00AF2ABA" w:rsidP="00AF2ABA">
      <w:pPr>
        <w:pStyle w:val="H1G"/>
      </w:pPr>
      <w:r>
        <w:tab/>
      </w:r>
      <w:r>
        <w:tab/>
      </w:r>
      <w:r w:rsidRPr="00583D68">
        <w:t xml:space="preserve">Concernant l’adoption </w:t>
      </w:r>
      <w:r w:rsidRPr="007F05A9">
        <w:rPr>
          <w:lang w:val="fr-FR"/>
        </w:rPr>
        <w:t xml:space="preserve">de Règlements techniques harmonisés de </w:t>
      </w:r>
      <w:r>
        <w:rPr>
          <w:lang w:val="fr-FR"/>
        </w:rPr>
        <w:br/>
      </w:r>
      <w:r w:rsidRPr="007F05A9">
        <w:rPr>
          <w:lang w:val="fr-FR"/>
        </w:rPr>
        <w:t>l</w:t>
      </w:r>
      <w:r>
        <w:rPr>
          <w:lang w:val="fr-FR"/>
        </w:rPr>
        <w:t>’</w:t>
      </w:r>
      <w:r w:rsidRPr="007F05A9">
        <w:rPr>
          <w:lang w:val="fr-FR"/>
        </w:rPr>
        <w:t>ONU applicables aux véhicules à roues et aux équipements et pièces susceptibles d</w:t>
      </w:r>
      <w:r>
        <w:rPr>
          <w:lang w:val="fr-FR"/>
        </w:rPr>
        <w:t>’</w:t>
      </w:r>
      <w:r w:rsidRPr="007F05A9">
        <w:rPr>
          <w:lang w:val="fr-FR"/>
        </w:rPr>
        <w:t>être montés ou utilisés sur les véhicules à roues et les conditions de reconnaissance réciproque des homologations délivrées conformément à ces Règlements</w:t>
      </w:r>
      <w:r w:rsidRPr="004C2977">
        <w:rPr>
          <w:rStyle w:val="Appelnotedebasdep"/>
          <w:b w:val="0"/>
          <w:bCs/>
          <w:sz w:val="20"/>
          <w:vertAlign w:val="baseline"/>
        </w:rPr>
        <w:footnoteReference w:customMarkFollows="1" w:id="2"/>
        <w:t>*</w:t>
      </w:r>
    </w:p>
    <w:p w14:paraId="7BA635C4" w14:textId="77777777" w:rsidR="00AF2ABA" w:rsidRPr="00A12483" w:rsidRDefault="00AF2ABA" w:rsidP="00AF2ABA">
      <w:pPr>
        <w:pStyle w:val="SingleTxtG"/>
        <w:jc w:val="left"/>
        <w:rPr>
          <w:b/>
          <w:sz w:val="24"/>
          <w:szCs w:val="24"/>
        </w:rPr>
      </w:pPr>
      <w:r w:rsidRPr="006549FF">
        <w:t xml:space="preserve">(Révision </w:t>
      </w:r>
      <w:r w:rsidRPr="007F05A9">
        <w:rPr>
          <w:lang w:val="fr-FR"/>
        </w:rPr>
        <w:t>3, comprenant les amendements entrés en vigueur le 14 septembre 2017</w:t>
      </w:r>
      <w:r w:rsidRPr="006549FF">
        <w:t>)</w:t>
      </w:r>
    </w:p>
    <w:p w14:paraId="32698E46" w14:textId="77777777" w:rsidR="00AF2ABA" w:rsidRPr="006549FF" w:rsidRDefault="00AF2ABA" w:rsidP="00AF2ABA">
      <w:pPr>
        <w:jc w:val="center"/>
      </w:pPr>
      <w:r>
        <w:t>_______________</w:t>
      </w:r>
    </w:p>
    <w:p w14:paraId="1683E6D4" w14:textId="77777777" w:rsidR="00AF2ABA" w:rsidRPr="006549FF" w:rsidRDefault="00AF2ABA" w:rsidP="00AF2ABA">
      <w:pPr>
        <w:pStyle w:val="HChG"/>
      </w:pPr>
      <w:r>
        <w:tab/>
      </w:r>
      <w:r>
        <w:tab/>
      </w:r>
      <w:r w:rsidRPr="006549FF">
        <w:t xml:space="preserve">Additif </w:t>
      </w:r>
      <w:r>
        <w:t>123 </w:t>
      </w:r>
      <w:r w:rsidRPr="006549FF">
        <w:t>: Règlement</w:t>
      </w:r>
      <w:r>
        <w:t xml:space="preserve"> ONU </w:t>
      </w:r>
      <w:r w:rsidRPr="00B371BF">
        <w:t>n</w:t>
      </w:r>
      <w:r w:rsidRPr="00B371BF">
        <w:rPr>
          <w:vertAlign w:val="superscript"/>
        </w:rPr>
        <w:t>o</w:t>
      </w:r>
      <w:r>
        <w:t> 124</w:t>
      </w:r>
    </w:p>
    <w:p w14:paraId="5D3B0CDC" w14:textId="77777777" w:rsidR="00AF2ABA" w:rsidRPr="006549FF" w:rsidRDefault="00AF2ABA" w:rsidP="00AF2ABA">
      <w:pPr>
        <w:pStyle w:val="H1G"/>
      </w:pPr>
      <w:r>
        <w:tab/>
      </w:r>
      <w:r>
        <w:tab/>
      </w:r>
      <w:r w:rsidRPr="00B87717">
        <w:rPr>
          <w:lang w:val="fr-FR"/>
        </w:rPr>
        <w:t>Amend</w:t>
      </w:r>
      <w:r w:rsidRPr="007F05A9">
        <w:rPr>
          <w:lang w:val="fr-FR"/>
        </w:rPr>
        <w:t>e</w:t>
      </w:r>
      <w:r w:rsidRPr="00B87717">
        <w:rPr>
          <w:lang w:val="fr-FR"/>
        </w:rPr>
        <w:t>ment 3</w:t>
      </w:r>
    </w:p>
    <w:p w14:paraId="3D693674" w14:textId="77777777" w:rsidR="00AF2ABA" w:rsidRPr="00F85EF4" w:rsidRDefault="00AF2ABA" w:rsidP="00AF2ABA">
      <w:pPr>
        <w:pStyle w:val="SingleTxtG"/>
        <w:rPr>
          <w:spacing w:val="-2"/>
          <w:lang w:val="fr-FR"/>
        </w:rPr>
      </w:pPr>
      <w:r w:rsidRPr="00F85EF4">
        <w:rPr>
          <w:spacing w:val="-2"/>
          <w:lang w:val="fr-FR"/>
        </w:rPr>
        <w:t>Complément 3 à la version originale du Règlement –</w:t>
      </w:r>
      <w:r>
        <w:rPr>
          <w:spacing w:val="-2"/>
          <w:lang w:val="fr-FR"/>
        </w:rPr>
        <w:t> </w:t>
      </w:r>
      <w:r w:rsidRPr="00F85EF4">
        <w:rPr>
          <w:spacing w:val="-2"/>
          <w:lang w:val="fr-FR"/>
        </w:rPr>
        <w:t>Date d’entrée en vigueur</w:t>
      </w:r>
      <w:r>
        <w:rPr>
          <w:spacing w:val="-2"/>
          <w:lang w:val="fr-FR"/>
        </w:rPr>
        <w:t> </w:t>
      </w:r>
      <w:r w:rsidRPr="00F85EF4">
        <w:rPr>
          <w:spacing w:val="-2"/>
          <w:lang w:val="fr-FR"/>
        </w:rPr>
        <w:t>: 7 janvier 2022</w:t>
      </w:r>
    </w:p>
    <w:p w14:paraId="085AD483" w14:textId="77777777" w:rsidR="00AF2ABA" w:rsidRDefault="00AF2ABA" w:rsidP="00AF2ABA">
      <w:pPr>
        <w:pStyle w:val="H1G"/>
      </w:pPr>
      <w:r>
        <w:tab/>
      </w:r>
      <w:r>
        <w:tab/>
      </w:r>
      <w:r w:rsidRPr="007619D3">
        <w:t xml:space="preserve">Prescriptions uniformes relatives </w:t>
      </w:r>
      <w:r w:rsidRPr="007F05A9">
        <w:rPr>
          <w:lang w:val="fr-FR"/>
        </w:rPr>
        <w:t>à l</w:t>
      </w:r>
      <w:r>
        <w:rPr>
          <w:lang w:val="fr-FR"/>
        </w:rPr>
        <w:t>’</w:t>
      </w:r>
      <w:r w:rsidRPr="007F05A9">
        <w:rPr>
          <w:lang w:val="fr-FR"/>
        </w:rPr>
        <w:t>homologation des roues pour voitures particulières et leurs remorques</w:t>
      </w:r>
    </w:p>
    <w:p w14:paraId="1F976D4C" w14:textId="77777777" w:rsidR="00AF2ABA" w:rsidRPr="00B87717" w:rsidRDefault="00AF2ABA" w:rsidP="00AF2ABA">
      <w:pPr>
        <w:pStyle w:val="SingleTxtG"/>
        <w:rPr>
          <w:lang w:val="fr-FR" w:eastAsia="en-GB"/>
        </w:rPr>
      </w:pPr>
      <w:r>
        <w:rPr>
          <w:noProof/>
          <w:lang w:eastAsia="fr-CH"/>
        </w:rPr>
        <mc:AlternateContent>
          <mc:Choice Requires="wps">
            <w:drawing>
              <wp:anchor distT="0" distB="0" distL="114300" distR="114300" simplePos="0" relativeHeight="251659264" behindDoc="0" locked="0" layoutInCell="1" allowOverlap="1" wp14:anchorId="33B3D0D4" wp14:editId="145F2D22">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3CC3AAC" w14:textId="77777777" w:rsidR="00AF2ABA" w:rsidRPr="0029791D" w:rsidRDefault="00AF2ABA" w:rsidP="00AF2ABA">
                            <w:pPr>
                              <w:ind w:left="1134" w:right="1134"/>
                              <w:jc w:val="center"/>
                            </w:pPr>
                            <w:r>
                              <w:t>_______________</w:t>
                            </w:r>
                          </w:p>
                          <w:p w14:paraId="4CF37DA6" w14:textId="77777777" w:rsidR="00AF2ABA" w:rsidRDefault="00AF2ABA" w:rsidP="00AF2ABA">
                            <w:pPr>
                              <w:jc w:val="center"/>
                              <w:rPr>
                                <w:b/>
                                <w:bCs/>
                                <w:sz w:val="22"/>
                              </w:rPr>
                            </w:pPr>
                            <w:r>
                              <w:rPr>
                                <w:noProof/>
                                <w:lang w:eastAsia="fr-CH"/>
                              </w:rPr>
                              <w:drawing>
                                <wp:inline distT="0" distB="0" distL="0" distR="0" wp14:anchorId="03630DE9" wp14:editId="0A1950A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42826BE" w14:textId="77777777" w:rsidR="00AF2ABA" w:rsidRDefault="00AF2ABA" w:rsidP="00AF2ABA">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3D0D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3CC3AAC" w14:textId="77777777" w:rsidR="00AF2ABA" w:rsidRPr="0029791D" w:rsidRDefault="00AF2ABA" w:rsidP="00AF2ABA">
                      <w:pPr>
                        <w:ind w:left="1134" w:right="1134"/>
                        <w:jc w:val="center"/>
                      </w:pPr>
                      <w:r>
                        <w:t>_______________</w:t>
                      </w:r>
                    </w:p>
                    <w:p w14:paraId="4CF37DA6" w14:textId="77777777" w:rsidR="00AF2ABA" w:rsidRDefault="00AF2ABA" w:rsidP="00AF2ABA">
                      <w:pPr>
                        <w:jc w:val="center"/>
                        <w:rPr>
                          <w:b/>
                          <w:bCs/>
                          <w:sz w:val="22"/>
                        </w:rPr>
                      </w:pPr>
                      <w:r>
                        <w:rPr>
                          <w:noProof/>
                          <w:lang w:eastAsia="fr-CH"/>
                        </w:rPr>
                        <w:drawing>
                          <wp:inline distT="0" distB="0" distL="0" distR="0" wp14:anchorId="03630DE9" wp14:editId="0A1950A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42826BE" w14:textId="77777777" w:rsidR="00AF2ABA" w:rsidRDefault="00AF2ABA" w:rsidP="00AF2ABA">
                      <w:pPr>
                        <w:jc w:val="center"/>
                      </w:pPr>
                      <w:r w:rsidRPr="0029791D">
                        <w:rPr>
                          <w:b/>
                          <w:bCs/>
                          <w:sz w:val="24"/>
                          <w:szCs w:val="24"/>
                        </w:rPr>
                        <w:t>Nations Unies</w:t>
                      </w:r>
                    </w:p>
                  </w:txbxContent>
                </v:textbox>
                <w10:wrap anchorx="margin" anchory="margin"/>
              </v:shape>
            </w:pict>
          </mc:Fallback>
        </mc:AlternateContent>
      </w:r>
      <w:r w:rsidRPr="007F05A9">
        <w:rPr>
          <w:lang w:val="fr-FR" w:eastAsia="en-GB"/>
        </w:rPr>
        <w:t>Le présent document est communiqué uniquement à titre d</w:t>
      </w:r>
      <w:r>
        <w:rPr>
          <w:lang w:val="fr-FR" w:eastAsia="en-GB"/>
        </w:rPr>
        <w:t>’</w:t>
      </w:r>
      <w:r w:rsidRPr="007F05A9">
        <w:rPr>
          <w:lang w:val="fr-FR" w:eastAsia="en-GB"/>
        </w:rPr>
        <w:t>information. Le texte authentique, juridiquement contraignant, est celui du document</w:t>
      </w:r>
      <w:r w:rsidRPr="00B87717">
        <w:rPr>
          <w:lang w:val="fr-FR" w:eastAsia="en-GB"/>
        </w:rPr>
        <w:t xml:space="preserve"> </w:t>
      </w:r>
      <w:r w:rsidRPr="00B87717">
        <w:rPr>
          <w:spacing w:val="-6"/>
          <w:lang w:val="fr-FR" w:eastAsia="en-GB"/>
        </w:rPr>
        <w:t>ECE/TRANS/WP.29/2021/78.</w:t>
      </w:r>
    </w:p>
    <w:p w14:paraId="0F48CFEF" w14:textId="77777777" w:rsidR="00AF2ABA" w:rsidRDefault="00AF2ABA" w:rsidP="00AF2ABA">
      <w:pPr>
        <w:suppressAutoHyphens w:val="0"/>
        <w:kinsoku/>
        <w:overflowPunct/>
        <w:autoSpaceDE/>
        <w:autoSpaceDN/>
        <w:adjustRightInd/>
        <w:snapToGrid/>
        <w:spacing w:line="240" w:lineRule="auto"/>
        <w:rPr>
          <w:lang w:val="fr-FR"/>
        </w:rPr>
      </w:pPr>
      <w:r>
        <w:rPr>
          <w:lang w:val="fr-FR"/>
        </w:rPr>
        <w:br w:type="page"/>
      </w:r>
    </w:p>
    <w:p w14:paraId="775DB6B3" w14:textId="77777777" w:rsidR="00AF2ABA" w:rsidRPr="004C2977" w:rsidRDefault="00AF2ABA" w:rsidP="00AF2ABA">
      <w:pPr>
        <w:pStyle w:val="SingleTxtG"/>
        <w:rPr>
          <w:lang w:val="fr-FR"/>
        </w:rPr>
      </w:pPr>
      <w:r w:rsidRPr="004C2977">
        <w:rPr>
          <w:i/>
          <w:iCs/>
          <w:lang w:val="fr-FR"/>
        </w:rPr>
        <w:lastRenderedPageBreak/>
        <w:t>Paragraphe 1</w:t>
      </w:r>
      <w:r w:rsidRPr="004C2977">
        <w:rPr>
          <w:lang w:val="fr-FR"/>
        </w:rPr>
        <w:t>,</w:t>
      </w:r>
      <w:r w:rsidRPr="004C2977">
        <w:rPr>
          <w:i/>
          <w:iCs/>
          <w:lang w:val="fr-FR"/>
        </w:rPr>
        <w:t xml:space="preserve"> </w:t>
      </w:r>
      <w:r w:rsidRPr="004C2977">
        <w:rPr>
          <w:lang w:val="fr-FR"/>
        </w:rPr>
        <w:t>lire (la note de bas de page 1 demeure inchangée) :</w:t>
      </w:r>
    </w:p>
    <w:p w14:paraId="6136D7AD" w14:textId="77777777" w:rsidR="00AF2ABA" w:rsidRPr="004C2977" w:rsidRDefault="00AF2ABA" w:rsidP="00AF2ABA">
      <w:pPr>
        <w:pStyle w:val="SingleTxtG"/>
        <w:ind w:left="2268" w:hanging="1134"/>
        <w:rPr>
          <w:lang w:val="fr-FR"/>
        </w:rPr>
      </w:pPr>
      <w:r w:rsidRPr="004C2977">
        <w:rPr>
          <w:lang w:val="fr-FR"/>
        </w:rPr>
        <w:t>« 1.</w:t>
      </w:r>
      <w:r w:rsidRPr="004C2977">
        <w:rPr>
          <w:lang w:val="fr-FR"/>
        </w:rPr>
        <w:tab/>
        <w:t>Le présent Règlement couvre les nouvelles roues de remplacement conçues pour les véhicules des catégories M</w:t>
      </w:r>
      <w:r w:rsidRPr="004C2977">
        <w:rPr>
          <w:vertAlign w:val="subscript"/>
          <w:lang w:val="fr-FR"/>
        </w:rPr>
        <w:t>1</w:t>
      </w:r>
      <w:r w:rsidRPr="004C2977">
        <w:rPr>
          <w:lang w:val="fr-FR"/>
        </w:rPr>
        <w:t>, M</w:t>
      </w:r>
      <w:r w:rsidRPr="004C2977">
        <w:rPr>
          <w:vertAlign w:val="subscript"/>
          <w:lang w:val="fr-FR"/>
        </w:rPr>
        <w:t>1</w:t>
      </w:r>
      <w:r w:rsidRPr="004C2977">
        <w:rPr>
          <w:lang w:val="fr-FR"/>
        </w:rPr>
        <w:t>G, N</w:t>
      </w:r>
      <w:r w:rsidRPr="004C2977">
        <w:rPr>
          <w:vertAlign w:val="subscript"/>
          <w:lang w:val="fr-FR"/>
        </w:rPr>
        <w:t>1</w:t>
      </w:r>
      <w:r w:rsidRPr="004C2977">
        <w:rPr>
          <w:lang w:val="fr-FR"/>
        </w:rPr>
        <w:t>, N</w:t>
      </w:r>
      <w:r w:rsidRPr="004C2977">
        <w:rPr>
          <w:vertAlign w:val="subscript"/>
          <w:lang w:val="fr-FR"/>
        </w:rPr>
        <w:t>1</w:t>
      </w:r>
      <w:r w:rsidRPr="004C2977">
        <w:rPr>
          <w:lang w:val="fr-FR"/>
        </w:rPr>
        <w:t>G, O</w:t>
      </w:r>
      <w:r w:rsidRPr="004C2977">
        <w:rPr>
          <w:vertAlign w:val="subscript"/>
          <w:lang w:val="fr-FR"/>
        </w:rPr>
        <w:t>1</w:t>
      </w:r>
      <w:r w:rsidRPr="004C2977">
        <w:rPr>
          <w:lang w:val="fr-FR"/>
        </w:rPr>
        <w:t xml:space="preserve"> et O</w:t>
      </w:r>
      <w:r w:rsidRPr="004C2977">
        <w:rPr>
          <w:vertAlign w:val="subscript"/>
          <w:lang w:val="fr-FR"/>
        </w:rPr>
        <w:t>2</w:t>
      </w:r>
      <w:r w:rsidRPr="004C2977">
        <w:rPr>
          <w:sz w:val="18"/>
          <w:szCs w:val="18"/>
          <w:vertAlign w:val="superscript"/>
          <w:lang w:val="fr-FR"/>
        </w:rPr>
        <w:t>1</w:t>
      </w:r>
      <w:r w:rsidRPr="004C2977">
        <w:rPr>
          <w:lang w:val="fr-FR"/>
        </w:rPr>
        <w:t>.</w:t>
      </w:r>
    </w:p>
    <w:p w14:paraId="0FFD025C" w14:textId="77777777" w:rsidR="00AF2ABA" w:rsidRPr="004C2977" w:rsidRDefault="00AF2ABA" w:rsidP="00AF2ABA">
      <w:pPr>
        <w:pStyle w:val="SingleTxtG"/>
        <w:ind w:left="2268"/>
        <w:rPr>
          <w:lang w:val="fr-FR"/>
        </w:rPr>
      </w:pPr>
      <w:r w:rsidRPr="004C2977">
        <w:rPr>
          <w:lang w:val="fr-FR"/>
        </w:rPr>
        <w:t xml:space="preserve">Il ne s’applique pas aux roues de première monte ni aux roues de remplacement des constructeurs de véhicules, telles qu’elles sont définies aux paragraphes 2.3 et 2.4.1. Il ne s’applique pas aux </w:t>
      </w:r>
      <w:r w:rsidRPr="004C2977">
        <w:t>“</w:t>
      </w:r>
      <w:r w:rsidRPr="004C2977">
        <w:rPr>
          <w:lang w:val="fr-FR"/>
        </w:rPr>
        <w:t>roues spéciales</w:t>
      </w:r>
      <w:r w:rsidRPr="004C2977">
        <w:t>”</w:t>
      </w:r>
      <w:r w:rsidRPr="004C2977">
        <w:rPr>
          <w:lang w:val="fr-FR"/>
        </w:rPr>
        <w:t>, telles qu’elles sont définies au paragraphe 2.5, celles-ci restant soumises à une homologation à l’échelle nationale.</w:t>
      </w:r>
    </w:p>
    <w:p w14:paraId="78503638" w14:textId="77777777" w:rsidR="00AF2ABA" w:rsidRPr="004C2977" w:rsidRDefault="00AF2ABA" w:rsidP="00AF2ABA">
      <w:pPr>
        <w:pStyle w:val="SingleTxtG"/>
        <w:ind w:left="2268"/>
        <w:rPr>
          <w:rFonts w:eastAsia="Calibri"/>
          <w:lang w:val="fr-FR"/>
        </w:rPr>
      </w:pPr>
      <w:r w:rsidRPr="004C2977">
        <w:rPr>
          <w:rFonts w:eastAsia="Calibri"/>
          <w:lang w:val="fr-FR"/>
        </w:rPr>
        <w:t>Il ne s’applique pas aux roues comportant moins de trois éléments de fixation (goujons ou écrous) qui ne sont pas des roues de remplacement identiques.</w:t>
      </w:r>
    </w:p>
    <w:p w14:paraId="383D0864" w14:textId="77777777" w:rsidR="00AF2ABA" w:rsidRPr="004C2977" w:rsidRDefault="00AF2ABA" w:rsidP="00AF2ABA">
      <w:pPr>
        <w:pStyle w:val="SingleTxtG"/>
        <w:ind w:left="2268"/>
        <w:rPr>
          <w:rFonts w:eastAsia="Calibri"/>
          <w:lang w:val="fr-FR"/>
        </w:rPr>
      </w:pPr>
      <w:r w:rsidRPr="004C2977">
        <w:rPr>
          <w:rFonts w:eastAsia="Calibri"/>
          <w:lang w:val="fr-FR"/>
        </w:rPr>
        <w:t>Le présent Règlement comprend des prescriptions applicables à la fabrication et à l’installation de roues. ».</w:t>
      </w:r>
    </w:p>
    <w:p w14:paraId="1877BC85" w14:textId="77777777" w:rsidR="00AF2ABA" w:rsidRPr="004C2977" w:rsidRDefault="00AF2ABA" w:rsidP="00AF2ABA">
      <w:pPr>
        <w:pStyle w:val="SingleTxtG"/>
        <w:rPr>
          <w:rFonts w:eastAsia="Calibri"/>
          <w:i/>
          <w:lang w:val="fr-FR"/>
        </w:rPr>
      </w:pPr>
      <w:r w:rsidRPr="004C2977">
        <w:rPr>
          <w:rFonts w:eastAsia="Calibri"/>
          <w:i/>
          <w:lang w:val="fr-FR"/>
        </w:rPr>
        <w:t>Annexe 6,</w:t>
      </w:r>
    </w:p>
    <w:p w14:paraId="44880C23" w14:textId="77777777" w:rsidR="00AF2ABA" w:rsidRPr="004C2977" w:rsidRDefault="00AF2ABA" w:rsidP="00AF2ABA">
      <w:pPr>
        <w:pStyle w:val="SingleTxtG"/>
        <w:rPr>
          <w:rFonts w:eastAsia="Calibri"/>
          <w:lang w:val="fr-FR"/>
        </w:rPr>
      </w:pPr>
      <w:r w:rsidRPr="004C2977">
        <w:rPr>
          <w:rFonts w:eastAsia="Calibri"/>
          <w:i/>
          <w:lang w:val="fr-FR"/>
        </w:rPr>
        <w:t>Paragraphe 4</w:t>
      </w:r>
      <w:r w:rsidRPr="004C2977">
        <w:rPr>
          <w:rFonts w:eastAsia="Calibri"/>
          <w:lang w:val="fr-FR"/>
        </w:rPr>
        <w:t>,</w:t>
      </w:r>
      <w:r w:rsidRPr="004C2977">
        <w:rPr>
          <w:rFonts w:eastAsia="Calibri"/>
          <w:i/>
          <w:iCs/>
          <w:lang w:val="fr-FR"/>
        </w:rPr>
        <w:t xml:space="preserve"> </w:t>
      </w:r>
      <w:r w:rsidRPr="004C2977">
        <w:rPr>
          <w:rFonts w:eastAsia="Calibri"/>
          <w:lang w:val="fr-FR"/>
        </w:rPr>
        <w:t>lire :</w:t>
      </w:r>
    </w:p>
    <w:p w14:paraId="3246820B" w14:textId="77777777" w:rsidR="00AF2ABA" w:rsidRPr="004C2977" w:rsidRDefault="00AF2ABA" w:rsidP="00AF2ABA">
      <w:pPr>
        <w:pStyle w:val="SingleTxtG"/>
        <w:ind w:left="2268" w:hanging="1134"/>
        <w:rPr>
          <w:rFonts w:eastAsia="Calibri"/>
          <w:lang w:val="fr-FR"/>
        </w:rPr>
      </w:pPr>
      <w:r w:rsidRPr="004C2977">
        <w:rPr>
          <w:rFonts w:eastAsia="Calibri"/>
          <w:bCs/>
          <w:lang w:val="fr-FR"/>
        </w:rPr>
        <w:t>« </w:t>
      </w:r>
      <w:r w:rsidRPr="004C2977">
        <w:rPr>
          <w:rFonts w:eastAsia="Calibri"/>
          <w:lang w:val="fr-FR"/>
        </w:rPr>
        <w:t>Essais nécessaires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gridCol w:w="1342"/>
        <w:gridCol w:w="1508"/>
      </w:tblGrid>
      <w:tr w:rsidR="00AF2ABA" w:rsidRPr="004C2977" w14:paraId="674ED6DF" w14:textId="77777777" w:rsidTr="003D0771">
        <w:trPr>
          <w:trHeight w:val="226"/>
        </w:trPr>
        <w:tc>
          <w:tcPr>
            <w:tcW w:w="4536" w:type="dxa"/>
            <w:vMerge w:val="restart"/>
            <w:vAlign w:val="center"/>
            <w:hideMark/>
          </w:tcPr>
          <w:p w14:paraId="55F7A5FA" w14:textId="77777777" w:rsidR="00AF2ABA" w:rsidRPr="00AF2ABA" w:rsidRDefault="00AF2ABA" w:rsidP="003D0771">
            <w:pPr>
              <w:suppressAutoHyphens w:val="0"/>
              <w:kinsoku/>
              <w:overflowPunct/>
              <w:autoSpaceDE/>
              <w:autoSpaceDN/>
              <w:adjustRightInd/>
              <w:snapToGrid/>
              <w:spacing w:before="80" w:after="80" w:line="200" w:lineRule="exact"/>
              <w:ind w:left="282" w:right="436"/>
              <w:jc w:val="center"/>
              <w:rPr>
                <w:rFonts w:asciiTheme="majorBidi" w:eastAsia="Calibri" w:hAnsiTheme="majorBidi" w:cstheme="majorBidi"/>
                <w:i/>
                <w:iCs/>
                <w:sz w:val="16"/>
                <w:szCs w:val="16"/>
              </w:rPr>
            </w:pPr>
            <w:r w:rsidRPr="00AF2ABA">
              <w:rPr>
                <w:rFonts w:asciiTheme="majorBidi" w:eastAsia="Calibri" w:hAnsiTheme="majorBidi" w:cstheme="majorBidi"/>
                <w:i/>
                <w:iCs/>
                <w:sz w:val="16"/>
                <w:szCs w:val="16"/>
              </w:rPr>
              <w:t>Nombre de roues à tester</w:t>
            </w:r>
          </w:p>
        </w:tc>
        <w:tc>
          <w:tcPr>
            <w:tcW w:w="2850" w:type="dxa"/>
            <w:gridSpan w:val="2"/>
            <w:hideMark/>
          </w:tcPr>
          <w:p w14:paraId="18A75AB0" w14:textId="77777777" w:rsidR="00AF2ABA" w:rsidRPr="004C2977" w:rsidRDefault="00AF2ABA" w:rsidP="003D0771">
            <w:pPr>
              <w:suppressAutoHyphens w:val="0"/>
              <w:kinsoku/>
              <w:overflowPunct/>
              <w:autoSpaceDE/>
              <w:autoSpaceDN/>
              <w:adjustRightInd/>
              <w:snapToGrid/>
              <w:spacing w:before="80" w:after="80" w:line="200" w:lineRule="exact"/>
              <w:ind w:left="282" w:right="436"/>
              <w:jc w:val="center"/>
              <w:rPr>
                <w:rFonts w:asciiTheme="majorBidi" w:eastAsia="Calibri" w:hAnsiTheme="majorBidi" w:cstheme="majorBidi"/>
                <w:i/>
                <w:iCs/>
                <w:sz w:val="16"/>
                <w:szCs w:val="16"/>
                <w:lang w:val="en-US"/>
              </w:rPr>
            </w:pPr>
            <w:proofErr w:type="spellStart"/>
            <w:r w:rsidRPr="004C2977">
              <w:rPr>
                <w:rFonts w:asciiTheme="majorBidi" w:eastAsia="Calibri" w:hAnsiTheme="majorBidi" w:cstheme="majorBidi"/>
                <w:i/>
                <w:iCs/>
                <w:sz w:val="16"/>
                <w:szCs w:val="16"/>
                <w:lang w:val="en-US"/>
              </w:rPr>
              <w:t>Essai</w:t>
            </w:r>
            <w:proofErr w:type="spellEnd"/>
            <w:r w:rsidRPr="004C2977">
              <w:rPr>
                <w:rFonts w:asciiTheme="majorBidi" w:eastAsia="Calibri" w:hAnsiTheme="majorBidi" w:cstheme="majorBidi"/>
                <w:i/>
                <w:iCs/>
                <w:sz w:val="16"/>
                <w:szCs w:val="16"/>
                <w:lang w:val="en-US"/>
              </w:rPr>
              <w:t xml:space="preserve"> de flexion rotative</w:t>
            </w:r>
          </w:p>
        </w:tc>
      </w:tr>
      <w:tr w:rsidR="00AF2ABA" w:rsidRPr="004C2977" w14:paraId="03B52538" w14:textId="77777777" w:rsidTr="003D0771">
        <w:trPr>
          <w:trHeight w:val="320"/>
        </w:trPr>
        <w:tc>
          <w:tcPr>
            <w:tcW w:w="4536" w:type="dxa"/>
            <w:vMerge/>
            <w:tcBorders>
              <w:bottom w:val="single" w:sz="12" w:space="0" w:color="auto"/>
            </w:tcBorders>
            <w:vAlign w:val="center"/>
            <w:hideMark/>
          </w:tcPr>
          <w:p w14:paraId="5696070C" w14:textId="77777777" w:rsidR="00AF2ABA" w:rsidRPr="004C2977" w:rsidRDefault="00AF2ABA" w:rsidP="003D0771">
            <w:pPr>
              <w:rPr>
                <w:rFonts w:eastAsia="Calibri"/>
                <w:i/>
                <w:iCs/>
                <w:sz w:val="16"/>
                <w:szCs w:val="16"/>
                <w:lang w:val="fr-FR"/>
              </w:rPr>
            </w:pPr>
          </w:p>
        </w:tc>
        <w:tc>
          <w:tcPr>
            <w:tcW w:w="1342" w:type="dxa"/>
            <w:tcBorders>
              <w:bottom w:val="single" w:sz="12" w:space="0" w:color="auto"/>
            </w:tcBorders>
            <w:hideMark/>
          </w:tcPr>
          <w:p w14:paraId="54992FA0" w14:textId="77777777" w:rsidR="00AF2ABA" w:rsidRPr="004C2977" w:rsidRDefault="00AF2ABA" w:rsidP="003D0771">
            <w:pPr>
              <w:jc w:val="center"/>
              <w:rPr>
                <w:rFonts w:eastAsia="Calibri"/>
                <w:i/>
                <w:iCs/>
                <w:sz w:val="16"/>
                <w:szCs w:val="16"/>
                <w:lang w:val="fr-FR"/>
              </w:rPr>
            </w:pPr>
            <w:r w:rsidRPr="004C2977">
              <w:rPr>
                <w:rFonts w:eastAsia="Calibri"/>
                <w:i/>
                <w:iCs/>
                <w:sz w:val="16"/>
                <w:szCs w:val="16"/>
                <w:lang w:val="fr-FR"/>
              </w:rPr>
              <w:t>Essai court</w:t>
            </w:r>
          </w:p>
        </w:tc>
        <w:tc>
          <w:tcPr>
            <w:tcW w:w="1508" w:type="dxa"/>
            <w:tcBorders>
              <w:bottom w:val="single" w:sz="12" w:space="0" w:color="auto"/>
            </w:tcBorders>
            <w:hideMark/>
          </w:tcPr>
          <w:p w14:paraId="13C4E5EB" w14:textId="77777777" w:rsidR="00AF2ABA" w:rsidRPr="004C2977" w:rsidRDefault="00AF2ABA" w:rsidP="003D0771">
            <w:pPr>
              <w:jc w:val="center"/>
              <w:rPr>
                <w:rFonts w:eastAsia="Calibri"/>
                <w:i/>
                <w:iCs/>
                <w:sz w:val="16"/>
                <w:szCs w:val="16"/>
                <w:lang w:val="fr-FR"/>
              </w:rPr>
            </w:pPr>
            <w:r w:rsidRPr="004C2977">
              <w:rPr>
                <w:rFonts w:eastAsia="Calibri"/>
                <w:i/>
                <w:iCs/>
                <w:sz w:val="16"/>
                <w:szCs w:val="16"/>
                <w:lang w:val="fr-FR"/>
              </w:rPr>
              <w:t>Essai long</w:t>
            </w:r>
          </w:p>
        </w:tc>
      </w:tr>
      <w:tr w:rsidR="00AF2ABA" w:rsidRPr="004C2977" w14:paraId="5185CECC" w14:textId="77777777" w:rsidTr="003D0771">
        <w:trPr>
          <w:trHeight w:val="768"/>
        </w:trPr>
        <w:tc>
          <w:tcPr>
            <w:tcW w:w="4536" w:type="dxa"/>
            <w:tcBorders>
              <w:top w:val="single" w:sz="12" w:space="0" w:color="auto"/>
              <w:bottom w:val="single" w:sz="4" w:space="0" w:color="auto"/>
            </w:tcBorders>
            <w:hideMark/>
          </w:tcPr>
          <w:p w14:paraId="57617556" w14:textId="77777777" w:rsidR="00AF2ABA" w:rsidRPr="004C2977" w:rsidRDefault="00AF2ABA" w:rsidP="003D0771">
            <w:pPr>
              <w:ind w:left="284"/>
              <w:rPr>
                <w:rFonts w:eastAsia="Calibri"/>
                <w:sz w:val="18"/>
                <w:szCs w:val="18"/>
                <w:lang w:val="fr-FR"/>
              </w:rPr>
            </w:pPr>
            <w:r w:rsidRPr="004C2977">
              <w:rPr>
                <w:rFonts w:eastAsia="Calibri"/>
                <w:sz w:val="18"/>
                <w:szCs w:val="18"/>
                <w:lang w:val="fr-FR"/>
              </w:rPr>
              <w:t>Entraxe minimal</w:t>
            </w:r>
          </w:p>
          <w:p w14:paraId="50DF5396" w14:textId="77777777" w:rsidR="00AF2ABA" w:rsidRPr="004C2977" w:rsidRDefault="00AF2ABA" w:rsidP="003D0771">
            <w:pPr>
              <w:ind w:left="284"/>
              <w:rPr>
                <w:rFonts w:eastAsia="Calibri"/>
                <w:sz w:val="18"/>
                <w:szCs w:val="18"/>
                <w:lang w:val="fr-FR"/>
              </w:rPr>
            </w:pPr>
            <w:r w:rsidRPr="004C2977">
              <w:rPr>
                <w:rFonts w:eastAsia="Calibri"/>
                <w:sz w:val="18"/>
                <w:szCs w:val="18"/>
                <w:lang w:val="fr-FR"/>
              </w:rPr>
              <w:t>Entraxe maximal</w:t>
            </w:r>
          </w:p>
          <w:p w14:paraId="22967830" w14:textId="77777777" w:rsidR="00AF2ABA" w:rsidRPr="004C2977" w:rsidRDefault="00AF2ABA" w:rsidP="003D0771">
            <w:pPr>
              <w:spacing w:after="40"/>
              <w:ind w:left="284"/>
              <w:rPr>
                <w:rFonts w:eastAsia="Calibri"/>
                <w:sz w:val="18"/>
                <w:szCs w:val="18"/>
                <w:lang w:val="fr-FR"/>
              </w:rPr>
            </w:pPr>
            <w:r w:rsidRPr="004C2977">
              <w:rPr>
                <w:rFonts w:eastAsia="Calibri"/>
                <w:sz w:val="18"/>
                <w:szCs w:val="18"/>
                <w:lang w:val="fr-FR"/>
              </w:rPr>
              <w:t xml:space="preserve">Cas d’un entraxe unique </w:t>
            </w:r>
          </w:p>
        </w:tc>
        <w:tc>
          <w:tcPr>
            <w:tcW w:w="1342" w:type="dxa"/>
            <w:tcBorders>
              <w:top w:val="single" w:sz="12" w:space="0" w:color="auto"/>
              <w:bottom w:val="single" w:sz="4" w:space="0" w:color="auto"/>
            </w:tcBorders>
            <w:hideMark/>
          </w:tcPr>
          <w:p w14:paraId="018D82FD"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p w14:paraId="2CE6C435"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p w14:paraId="2C01E3BF"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2</w:t>
            </w:r>
          </w:p>
        </w:tc>
        <w:tc>
          <w:tcPr>
            <w:tcW w:w="1508" w:type="dxa"/>
            <w:tcBorders>
              <w:top w:val="single" w:sz="12" w:space="0" w:color="auto"/>
              <w:bottom w:val="single" w:sz="4" w:space="0" w:color="auto"/>
            </w:tcBorders>
            <w:hideMark/>
          </w:tcPr>
          <w:p w14:paraId="5F8AE818"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p w14:paraId="6EF6D0C5"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p w14:paraId="0DB41B3E"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2</w:t>
            </w:r>
          </w:p>
        </w:tc>
      </w:tr>
      <w:tr w:rsidR="00AF2ABA" w:rsidRPr="004C2977" w14:paraId="431FDC8E" w14:textId="77777777" w:rsidTr="003D0771">
        <w:tc>
          <w:tcPr>
            <w:tcW w:w="4536" w:type="dxa"/>
            <w:tcBorders>
              <w:bottom w:val="nil"/>
            </w:tcBorders>
            <w:hideMark/>
          </w:tcPr>
          <w:p w14:paraId="155B4792" w14:textId="77777777" w:rsidR="00AF2ABA" w:rsidRPr="004C2977" w:rsidRDefault="00AF2ABA" w:rsidP="003D0771">
            <w:pPr>
              <w:spacing w:after="40"/>
              <w:ind w:left="284"/>
              <w:rPr>
                <w:rFonts w:eastAsia="Calibri"/>
                <w:bCs/>
                <w:sz w:val="18"/>
                <w:szCs w:val="18"/>
                <w:lang w:val="fr-FR"/>
              </w:rPr>
            </w:pPr>
            <w:r w:rsidRPr="004C2977">
              <w:rPr>
                <w:rFonts w:eastAsia="Calibri"/>
                <w:bCs/>
                <w:sz w:val="18"/>
                <w:szCs w:val="18"/>
                <w:lang w:val="fr-FR"/>
              </w:rPr>
              <w:t xml:space="preserve">Si un type comprend plus de deux versions ayant </w:t>
            </w:r>
            <w:r w:rsidRPr="004C2977">
              <w:rPr>
                <w:rFonts w:eastAsia="Calibri"/>
                <w:bCs/>
                <w:sz w:val="18"/>
                <w:szCs w:val="18"/>
                <w:lang w:val="fr-FR"/>
              </w:rPr>
              <w:br/>
              <w:t xml:space="preserve">des entraxes différents, des essais supplémentaires </w:t>
            </w:r>
            <w:r w:rsidRPr="004C2977">
              <w:rPr>
                <w:rFonts w:eastAsia="Calibri"/>
                <w:bCs/>
                <w:sz w:val="18"/>
                <w:szCs w:val="18"/>
                <w:lang w:val="fr-FR"/>
              </w:rPr>
              <w:br/>
              <w:t xml:space="preserve">sur chaque version ayant des entraxes différents </w:t>
            </w:r>
            <w:r w:rsidRPr="004C2977">
              <w:rPr>
                <w:rFonts w:eastAsia="Calibri"/>
                <w:bCs/>
                <w:sz w:val="18"/>
                <w:szCs w:val="18"/>
                <w:lang w:val="fr-FR"/>
              </w:rPr>
              <w:br/>
              <w:t>de la version soumise aux essais :</w:t>
            </w:r>
          </w:p>
        </w:tc>
        <w:tc>
          <w:tcPr>
            <w:tcW w:w="1342" w:type="dxa"/>
            <w:tcBorders>
              <w:bottom w:val="nil"/>
            </w:tcBorders>
            <w:hideMark/>
          </w:tcPr>
          <w:p w14:paraId="69D56F3F" w14:textId="77777777" w:rsidR="00AF2ABA" w:rsidRPr="004C2977" w:rsidRDefault="00AF2ABA" w:rsidP="003D0771">
            <w:pPr>
              <w:jc w:val="center"/>
              <w:rPr>
                <w:rFonts w:eastAsia="Calibri"/>
                <w:sz w:val="18"/>
                <w:szCs w:val="18"/>
                <w:lang w:val="fr-FR"/>
              </w:rPr>
            </w:pPr>
          </w:p>
        </w:tc>
        <w:tc>
          <w:tcPr>
            <w:tcW w:w="1508" w:type="dxa"/>
            <w:tcBorders>
              <w:bottom w:val="nil"/>
            </w:tcBorders>
            <w:hideMark/>
          </w:tcPr>
          <w:p w14:paraId="3C19C178" w14:textId="77777777" w:rsidR="00AF2ABA" w:rsidRPr="004C2977" w:rsidRDefault="00AF2ABA" w:rsidP="003D0771">
            <w:pPr>
              <w:jc w:val="center"/>
              <w:rPr>
                <w:rFonts w:eastAsia="Calibri"/>
                <w:sz w:val="18"/>
                <w:szCs w:val="18"/>
                <w:lang w:val="fr-FR"/>
              </w:rPr>
            </w:pPr>
          </w:p>
        </w:tc>
      </w:tr>
      <w:tr w:rsidR="00AF2ABA" w:rsidRPr="004C2977" w14:paraId="25DE3C93" w14:textId="77777777" w:rsidTr="003D0771">
        <w:tc>
          <w:tcPr>
            <w:tcW w:w="4536" w:type="dxa"/>
            <w:tcBorders>
              <w:top w:val="nil"/>
              <w:bottom w:val="nil"/>
            </w:tcBorders>
          </w:tcPr>
          <w:p w14:paraId="385D03C3" w14:textId="77777777" w:rsidR="00AF2ABA" w:rsidRPr="004C2977" w:rsidRDefault="00AF2ABA" w:rsidP="003D0771">
            <w:pPr>
              <w:spacing w:after="40"/>
              <w:ind w:left="284"/>
              <w:rPr>
                <w:rFonts w:eastAsia="Calibri"/>
                <w:bCs/>
                <w:sz w:val="18"/>
                <w:szCs w:val="18"/>
                <w:lang w:val="fr-FR"/>
              </w:rPr>
            </w:pPr>
            <w:r w:rsidRPr="004C2977">
              <w:rPr>
                <w:rFonts w:eastAsia="Calibri"/>
                <w:bCs/>
                <w:sz w:val="18"/>
                <w:szCs w:val="18"/>
                <w:lang w:val="fr-FR"/>
              </w:rPr>
              <w:t xml:space="preserve">Différence de l’entraxe par rapport à une version </w:t>
            </w:r>
            <w:r w:rsidRPr="004C2977">
              <w:rPr>
                <w:rFonts w:eastAsia="Calibri"/>
                <w:bCs/>
                <w:sz w:val="18"/>
                <w:szCs w:val="18"/>
                <w:lang w:val="fr-FR"/>
              </w:rPr>
              <w:br/>
              <w:t>soumise à des essais ≤6,5 mm</w:t>
            </w:r>
          </w:p>
        </w:tc>
        <w:tc>
          <w:tcPr>
            <w:tcW w:w="1342" w:type="dxa"/>
            <w:tcBorders>
              <w:top w:val="nil"/>
              <w:bottom w:val="nil"/>
            </w:tcBorders>
          </w:tcPr>
          <w:p w14:paraId="636610F3"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w:t>
            </w:r>
          </w:p>
        </w:tc>
        <w:tc>
          <w:tcPr>
            <w:tcW w:w="1508" w:type="dxa"/>
            <w:tcBorders>
              <w:top w:val="nil"/>
              <w:bottom w:val="nil"/>
            </w:tcBorders>
          </w:tcPr>
          <w:p w14:paraId="5DA5348F"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w:t>
            </w:r>
          </w:p>
        </w:tc>
      </w:tr>
      <w:tr w:rsidR="00AF2ABA" w:rsidRPr="004C2977" w14:paraId="0950C745" w14:textId="77777777" w:rsidTr="003D0771">
        <w:tc>
          <w:tcPr>
            <w:tcW w:w="4536" w:type="dxa"/>
            <w:tcBorders>
              <w:top w:val="nil"/>
              <w:bottom w:val="single" w:sz="4" w:space="0" w:color="auto"/>
            </w:tcBorders>
          </w:tcPr>
          <w:p w14:paraId="59C69916" w14:textId="77777777" w:rsidR="00AF2ABA" w:rsidRPr="004C2977" w:rsidRDefault="00AF2ABA" w:rsidP="003D0771">
            <w:pPr>
              <w:spacing w:after="40"/>
              <w:ind w:left="284"/>
              <w:rPr>
                <w:rFonts w:eastAsia="Calibri"/>
                <w:bCs/>
                <w:sz w:val="18"/>
                <w:szCs w:val="18"/>
                <w:lang w:val="fr-FR"/>
              </w:rPr>
            </w:pPr>
            <w:r w:rsidRPr="004C2977">
              <w:rPr>
                <w:rFonts w:eastAsia="Calibri"/>
                <w:bCs/>
                <w:sz w:val="18"/>
                <w:szCs w:val="18"/>
                <w:lang w:val="fr-FR"/>
              </w:rPr>
              <w:t xml:space="preserve">Différence de l’entraxe par rapport à une version </w:t>
            </w:r>
            <w:r w:rsidRPr="004C2977">
              <w:rPr>
                <w:rFonts w:eastAsia="Calibri"/>
                <w:bCs/>
                <w:sz w:val="18"/>
                <w:szCs w:val="18"/>
                <w:lang w:val="fr-FR"/>
              </w:rPr>
              <w:br/>
              <w:t>soumise à des essais &gt;6,5 mm</w:t>
            </w:r>
          </w:p>
        </w:tc>
        <w:tc>
          <w:tcPr>
            <w:tcW w:w="1342" w:type="dxa"/>
            <w:tcBorders>
              <w:top w:val="nil"/>
              <w:bottom w:val="single" w:sz="4" w:space="0" w:color="auto"/>
            </w:tcBorders>
          </w:tcPr>
          <w:p w14:paraId="32EBB7FC"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tc>
        <w:tc>
          <w:tcPr>
            <w:tcW w:w="1508" w:type="dxa"/>
            <w:tcBorders>
              <w:top w:val="nil"/>
              <w:bottom w:val="single" w:sz="4" w:space="0" w:color="auto"/>
            </w:tcBorders>
          </w:tcPr>
          <w:p w14:paraId="17FE13F8"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tc>
      </w:tr>
      <w:tr w:rsidR="00AF2ABA" w:rsidRPr="004C2977" w14:paraId="75A1C62F" w14:textId="77777777" w:rsidTr="003D0771">
        <w:trPr>
          <w:trHeight w:val="761"/>
        </w:trPr>
        <w:tc>
          <w:tcPr>
            <w:tcW w:w="4536" w:type="dxa"/>
            <w:tcBorders>
              <w:bottom w:val="single" w:sz="12" w:space="0" w:color="auto"/>
            </w:tcBorders>
            <w:hideMark/>
          </w:tcPr>
          <w:p w14:paraId="7AF9620D" w14:textId="77777777" w:rsidR="00AF2ABA" w:rsidRPr="004C2977" w:rsidRDefault="00AF2ABA" w:rsidP="003D0771">
            <w:pPr>
              <w:ind w:left="284"/>
              <w:rPr>
                <w:rFonts w:eastAsia="Calibri"/>
                <w:sz w:val="18"/>
                <w:szCs w:val="18"/>
                <w:lang w:val="fr-FR"/>
              </w:rPr>
            </w:pPr>
            <w:r w:rsidRPr="004C2977">
              <w:rPr>
                <w:rFonts w:eastAsia="Calibri"/>
                <w:sz w:val="18"/>
                <w:szCs w:val="18"/>
                <w:lang w:val="fr-FR"/>
              </w:rPr>
              <w:t>Variations du déport :</w:t>
            </w:r>
          </w:p>
          <w:p w14:paraId="4C339192" w14:textId="77777777" w:rsidR="00AF2ABA" w:rsidRPr="004C2977" w:rsidRDefault="00AF2ABA" w:rsidP="003D0771">
            <w:pPr>
              <w:ind w:left="284"/>
              <w:rPr>
                <w:rFonts w:eastAsia="Calibri"/>
                <w:sz w:val="18"/>
                <w:szCs w:val="18"/>
                <w:lang w:val="fr-FR"/>
              </w:rPr>
            </w:pPr>
            <w:r w:rsidRPr="004C2977">
              <w:rPr>
                <w:rFonts w:eastAsia="Calibri"/>
                <w:sz w:val="18"/>
                <w:szCs w:val="18"/>
                <w:lang w:val="fr-FR"/>
              </w:rPr>
              <w:t>− jusqu’à 2 mm</w:t>
            </w:r>
          </w:p>
          <w:p w14:paraId="716469D3" w14:textId="77777777" w:rsidR="00AF2ABA" w:rsidRPr="004C2977" w:rsidRDefault="00AF2ABA" w:rsidP="003D0771">
            <w:pPr>
              <w:ind w:left="284"/>
              <w:rPr>
                <w:rFonts w:eastAsia="Calibri"/>
                <w:sz w:val="18"/>
                <w:szCs w:val="18"/>
                <w:lang w:val="fr-FR"/>
              </w:rPr>
            </w:pPr>
            <w:r w:rsidRPr="004C2977">
              <w:rPr>
                <w:rFonts w:eastAsia="Calibri"/>
                <w:sz w:val="18"/>
                <w:szCs w:val="18"/>
                <w:lang w:val="fr-FR"/>
              </w:rPr>
              <w:t>− entre 2 et 5 mm</w:t>
            </w:r>
          </w:p>
          <w:p w14:paraId="343CB10C" w14:textId="77777777" w:rsidR="00AF2ABA" w:rsidRPr="004C2977" w:rsidRDefault="00AF2ABA" w:rsidP="003D0771">
            <w:pPr>
              <w:spacing w:after="40"/>
              <w:ind w:left="284"/>
              <w:rPr>
                <w:rFonts w:eastAsia="Calibri"/>
                <w:sz w:val="18"/>
                <w:szCs w:val="18"/>
                <w:lang w:val="fr-FR"/>
              </w:rPr>
            </w:pPr>
            <w:r w:rsidRPr="004C2977">
              <w:rPr>
                <w:rFonts w:eastAsia="Calibri"/>
                <w:sz w:val="18"/>
                <w:szCs w:val="18"/>
                <w:lang w:val="fr-FR"/>
              </w:rPr>
              <w:t>− plus de 5 mm</w:t>
            </w:r>
          </w:p>
        </w:tc>
        <w:tc>
          <w:tcPr>
            <w:tcW w:w="1342" w:type="dxa"/>
            <w:tcBorders>
              <w:bottom w:val="single" w:sz="12" w:space="0" w:color="auto"/>
            </w:tcBorders>
          </w:tcPr>
          <w:p w14:paraId="1760FAB2" w14:textId="77777777" w:rsidR="00AF2ABA" w:rsidRPr="004C2977" w:rsidRDefault="00AF2ABA" w:rsidP="003D0771">
            <w:pPr>
              <w:jc w:val="center"/>
              <w:rPr>
                <w:rFonts w:eastAsia="Calibri"/>
                <w:sz w:val="18"/>
                <w:szCs w:val="18"/>
                <w:lang w:val="fr-FR"/>
              </w:rPr>
            </w:pPr>
          </w:p>
          <w:p w14:paraId="7E7E3043"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w:t>
            </w:r>
          </w:p>
          <w:p w14:paraId="4A0E83FC"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p w14:paraId="29EA27F3"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tc>
        <w:tc>
          <w:tcPr>
            <w:tcW w:w="1508" w:type="dxa"/>
            <w:tcBorders>
              <w:bottom w:val="single" w:sz="12" w:space="0" w:color="auto"/>
            </w:tcBorders>
          </w:tcPr>
          <w:p w14:paraId="170B611C" w14:textId="77777777" w:rsidR="00AF2ABA" w:rsidRPr="004C2977" w:rsidRDefault="00AF2ABA" w:rsidP="003D0771">
            <w:pPr>
              <w:jc w:val="center"/>
              <w:rPr>
                <w:rFonts w:eastAsia="Calibri"/>
                <w:sz w:val="18"/>
                <w:szCs w:val="18"/>
                <w:lang w:val="fr-FR"/>
              </w:rPr>
            </w:pPr>
          </w:p>
          <w:p w14:paraId="2A991BC1"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w:t>
            </w:r>
          </w:p>
          <w:p w14:paraId="4ECA97E0"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w:t>
            </w:r>
          </w:p>
          <w:p w14:paraId="4D314145" w14:textId="77777777" w:rsidR="00AF2ABA" w:rsidRPr="004C2977" w:rsidRDefault="00AF2ABA" w:rsidP="003D0771">
            <w:pPr>
              <w:jc w:val="center"/>
              <w:rPr>
                <w:rFonts w:eastAsia="Calibri"/>
                <w:sz w:val="18"/>
                <w:szCs w:val="18"/>
                <w:lang w:val="fr-FR"/>
              </w:rPr>
            </w:pPr>
            <w:r w:rsidRPr="004C2977">
              <w:rPr>
                <w:rFonts w:eastAsia="Calibri"/>
                <w:sz w:val="18"/>
                <w:szCs w:val="18"/>
                <w:lang w:val="fr-FR"/>
              </w:rPr>
              <w:t>1</w:t>
            </w:r>
          </w:p>
        </w:tc>
      </w:tr>
    </w:tbl>
    <w:p w14:paraId="5A3CFC46" w14:textId="77777777" w:rsidR="00AF2ABA" w:rsidRPr="004C2977" w:rsidRDefault="00AF2ABA" w:rsidP="00AF2ABA">
      <w:pPr>
        <w:pStyle w:val="SingleTxtG"/>
        <w:jc w:val="right"/>
        <w:rPr>
          <w:lang w:val="fr-FR"/>
        </w:rPr>
      </w:pPr>
      <w:r w:rsidRPr="004C2977">
        <w:rPr>
          <w:lang w:val="fr-FR"/>
        </w:rPr>
        <w:t> ».</w:t>
      </w:r>
    </w:p>
    <w:p w14:paraId="70A6E55D" w14:textId="77777777" w:rsidR="00AF2ABA" w:rsidRPr="004C2977" w:rsidRDefault="00AF2ABA" w:rsidP="00AF2ABA">
      <w:pPr>
        <w:pStyle w:val="SingleTxtG"/>
        <w:rPr>
          <w:rFonts w:eastAsia="Calibri"/>
          <w:lang w:val="fr-FR"/>
        </w:rPr>
      </w:pPr>
      <w:r w:rsidRPr="004C2977">
        <w:rPr>
          <w:rFonts w:eastAsia="Calibri"/>
          <w:i/>
          <w:iCs/>
          <w:lang w:val="fr-FR"/>
        </w:rPr>
        <w:t>Paragraphe 6.5</w:t>
      </w:r>
      <w:r w:rsidRPr="004C2977">
        <w:rPr>
          <w:rFonts w:eastAsia="Calibri"/>
          <w:lang w:val="fr-FR"/>
        </w:rPr>
        <w:t>, lire :</w:t>
      </w:r>
    </w:p>
    <w:p w14:paraId="4DBA1C1E" w14:textId="77777777" w:rsidR="00AF2ABA" w:rsidRPr="004C2977" w:rsidRDefault="00AF2ABA" w:rsidP="00AF2ABA">
      <w:pPr>
        <w:pStyle w:val="SingleTxtG"/>
        <w:spacing w:line="248" w:lineRule="atLeast"/>
        <w:ind w:left="2268" w:hanging="1134"/>
        <w:rPr>
          <w:rFonts w:eastAsia="Calibri"/>
          <w:lang w:val="fr-FR"/>
        </w:rPr>
      </w:pPr>
      <w:r w:rsidRPr="004C2977">
        <w:rPr>
          <w:rFonts w:eastAsia="Calibri"/>
          <w:lang w:val="fr-FR"/>
        </w:rPr>
        <w:t>« 6.5</w:t>
      </w:r>
      <w:r w:rsidRPr="004C2977">
        <w:rPr>
          <w:rFonts w:eastAsia="Calibri"/>
          <w:lang w:val="fr-FR"/>
        </w:rPr>
        <w:tab/>
        <w:t>Les roues de remplacement répliques et les roues de remplacement répliques partielles doivent satisfaire aux essais suivants :</w:t>
      </w:r>
    </w:p>
    <w:p w14:paraId="77D58423" w14:textId="77777777" w:rsidR="00AF2ABA" w:rsidRPr="004C2977" w:rsidRDefault="00AF2ABA" w:rsidP="00AF2ABA">
      <w:pPr>
        <w:pStyle w:val="SingleTxtG"/>
        <w:spacing w:line="248" w:lineRule="atLeast"/>
        <w:ind w:left="2268"/>
        <w:rPr>
          <w:rFonts w:eastAsia="Calibri"/>
          <w:lang w:val="fr-FR"/>
        </w:rPr>
      </w:pPr>
      <w:r w:rsidRPr="004C2977">
        <w:rPr>
          <w:rFonts w:eastAsia="Calibri"/>
          <w:lang w:val="fr-FR"/>
        </w:rPr>
        <w:tab/>
        <w:t>Au lieu des spécifications d’essai énoncées au paragraphe 6.5.1.1, la durée de vie des roues de remplacement répliques peut être prouvée par comparaison avec la durée de vie des roues de remplacement du constructeur du véhicule.</w:t>
      </w:r>
    </w:p>
    <w:p w14:paraId="553B195E" w14:textId="77777777" w:rsidR="00AF2ABA" w:rsidRPr="004C2977" w:rsidRDefault="00AF2ABA" w:rsidP="00AF2ABA">
      <w:pPr>
        <w:pStyle w:val="SingleTxtG"/>
        <w:spacing w:line="248" w:lineRule="atLeast"/>
        <w:ind w:left="2268"/>
        <w:rPr>
          <w:rFonts w:eastAsia="Calibri"/>
          <w:lang w:val="fr-FR"/>
        </w:rPr>
      </w:pPr>
      <w:r w:rsidRPr="004C2977">
        <w:rPr>
          <w:rFonts w:eastAsia="Calibri"/>
          <w:lang w:val="fr-FR"/>
        </w:rPr>
        <w:tab/>
        <w:t>Les essais de flexion rotative avec deux niveaux de charge doivent être effectués conformément à l’annexe 6, ainsi que l’essai de roulement conformément à l’annexe 7. Ces essais doivent toujours être effectués en comparant les roues de remplacement répliques aux roues de remplacement du constructeur du véhicule jusqu’aux limites requises ou à la défaillance des</w:t>
      </w:r>
      <w:r>
        <w:rPr>
          <w:rFonts w:eastAsia="Calibri"/>
          <w:lang w:val="fr-FR"/>
        </w:rPr>
        <w:t> </w:t>
      </w:r>
      <w:r w:rsidRPr="004C2977">
        <w:rPr>
          <w:rFonts w:eastAsia="Calibri"/>
          <w:lang w:val="fr-FR"/>
        </w:rPr>
        <w:t>roues.</w:t>
      </w:r>
    </w:p>
    <w:p w14:paraId="5748FF4B" w14:textId="77777777" w:rsidR="00AF2ABA" w:rsidRPr="004C2977" w:rsidRDefault="00AF2ABA" w:rsidP="00AF2ABA">
      <w:pPr>
        <w:pStyle w:val="SingleTxtG"/>
        <w:spacing w:line="248" w:lineRule="atLeast"/>
        <w:ind w:left="2268"/>
        <w:rPr>
          <w:rFonts w:eastAsia="Calibri"/>
          <w:lang w:val="fr-FR"/>
        </w:rPr>
      </w:pPr>
      <w:r w:rsidRPr="004C2977">
        <w:rPr>
          <w:rFonts w:eastAsia="Calibri"/>
          <w:lang w:val="fr-FR"/>
        </w:rPr>
        <w:tab/>
        <w:t>Les roues de remplacement répliques doivent obtenir à chaque niveau au moins les mêmes résultats que les roues de remplacement du constructeur du véhicule.</w:t>
      </w:r>
    </w:p>
    <w:p w14:paraId="64054BD5" w14:textId="2AEC0939" w:rsidR="005F0207" w:rsidRDefault="00AF2ABA" w:rsidP="00AF2ABA">
      <w:pPr>
        <w:pStyle w:val="SingleTxtG"/>
        <w:spacing w:line="248" w:lineRule="atLeast"/>
        <w:ind w:left="2268"/>
        <w:rPr>
          <w:rFonts w:eastAsia="Calibri"/>
          <w:lang w:val="fr-FR"/>
        </w:rPr>
      </w:pPr>
      <w:r w:rsidRPr="004C2977">
        <w:rPr>
          <w:rFonts w:eastAsia="Calibri"/>
          <w:lang w:val="fr-FR"/>
        </w:rPr>
        <w:lastRenderedPageBreak/>
        <w:tab/>
        <w:t>Il est possible d’appliquer les prescriptions d’essai du constructeur du véhicule concernant les roues de remplacement du constructeur du véhicule au lieu de celles énoncées au paragraphe 6.5.1.1. Afin de permettre la vérification, ces prescriptions d’essai doivent être divulguées. L’affectation de la charge par roue définie par le constructeur du véhicule doit être indiquée. ».</w:t>
      </w:r>
    </w:p>
    <w:p w14:paraId="3C2A87AE" w14:textId="19A11138" w:rsidR="00AF2ABA" w:rsidRPr="00AF2ABA" w:rsidRDefault="00AF2ABA" w:rsidP="00AF2ABA">
      <w:pPr>
        <w:pStyle w:val="SingleTxtG"/>
        <w:spacing w:before="240" w:after="0"/>
        <w:jc w:val="center"/>
        <w:rPr>
          <w:u w:val="single"/>
        </w:rPr>
      </w:pPr>
      <w:r>
        <w:rPr>
          <w:u w:val="single"/>
        </w:rPr>
        <w:tab/>
      </w:r>
      <w:r>
        <w:rPr>
          <w:u w:val="single"/>
        </w:rPr>
        <w:tab/>
      </w:r>
      <w:r>
        <w:rPr>
          <w:u w:val="single"/>
        </w:rPr>
        <w:tab/>
      </w:r>
      <w:r>
        <w:rPr>
          <w:u w:val="single"/>
        </w:rPr>
        <w:tab/>
      </w:r>
    </w:p>
    <w:sectPr w:rsidR="00AF2ABA" w:rsidRPr="00AF2ABA" w:rsidSect="00AF2AB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69F9" w14:textId="77777777" w:rsidR="009E3300" w:rsidRDefault="009E3300"/>
  </w:endnote>
  <w:endnote w:type="continuationSeparator" w:id="0">
    <w:p w14:paraId="77DE2B96" w14:textId="77777777" w:rsidR="009E3300" w:rsidRDefault="009E3300">
      <w:pPr>
        <w:pStyle w:val="Pieddepage"/>
      </w:pPr>
    </w:p>
  </w:endnote>
  <w:endnote w:type="continuationNotice" w:id="1">
    <w:p w14:paraId="6F64A0BA" w14:textId="77777777" w:rsidR="009E3300" w:rsidRPr="00C451B9" w:rsidRDefault="009E330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A2C" w14:textId="77777777" w:rsidR="00AF2ABA" w:rsidRPr="00AF2ABA" w:rsidRDefault="00AF2ABA" w:rsidP="00AF2ABA">
    <w:pPr>
      <w:pStyle w:val="Pieddepage"/>
      <w:tabs>
        <w:tab w:val="right" w:pos="9638"/>
      </w:tabs>
    </w:pPr>
    <w:r w:rsidRPr="00AF2ABA">
      <w:rPr>
        <w:b/>
        <w:sz w:val="18"/>
      </w:rPr>
      <w:fldChar w:fldCharType="begin"/>
    </w:r>
    <w:r w:rsidRPr="00AF2ABA">
      <w:rPr>
        <w:b/>
        <w:sz w:val="18"/>
      </w:rPr>
      <w:instrText xml:space="preserve"> PAGE  \* MERGEFORMAT </w:instrText>
    </w:r>
    <w:r w:rsidRPr="00AF2ABA">
      <w:rPr>
        <w:b/>
        <w:sz w:val="18"/>
      </w:rPr>
      <w:fldChar w:fldCharType="separate"/>
    </w:r>
    <w:r w:rsidRPr="00AF2ABA">
      <w:rPr>
        <w:b/>
        <w:noProof/>
        <w:sz w:val="18"/>
      </w:rPr>
      <w:t>2</w:t>
    </w:r>
    <w:r w:rsidRPr="00AF2ABA">
      <w:rPr>
        <w:b/>
        <w:sz w:val="18"/>
      </w:rPr>
      <w:fldChar w:fldCharType="end"/>
    </w:r>
    <w:r>
      <w:rPr>
        <w:b/>
        <w:sz w:val="18"/>
      </w:rPr>
      <w:tab/>
    </w:r>
    <w:r>
      <w:t>GE.22-04080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FC50" w14:textId="77777777" w:rsidR="00AF2ABA" w:rsidRPr="00AF2ABA" w:rsidRDefault="00AF2ABA" w:rsidP="00AF2ABA">
    <w:pPr>
      <w:pStyle w:val="Pieddepage"/>
      <w:tabs>
        <w:tab w:val="right" w:pos="9638"/>
      </w:tabs>
      <w:rPr>
        <w:b/>
        <w:sz w:val="18"/>
      </w:rPr>
    </w:pPr>
    <w:r>
      <w:t>GE.22-04080</w:t>
    </w:r>
    <w:r>
      <w:tab/>
    </w:r>
    <w:r w:rsidRPr="00AF2ABA">
      <w:rPr>
        <w:b/>
        <w:sz w:val="18"/>
      </w:rPr>
      <w:fldChar w:fldCharType="begin"/>
    </w:r>
    <w:r w:rsidRPr="00AF2ABA">
      <w:rPr>
        <w:b/>
        <w:sz w:val="18"/>
      </w:rPr>
      <w:instrText xml:space="preserve"> PAGE  \* MERGEFORMAT </w:instrText>
    </w:r>
    <w:r w:rsidRPr="00AF2ABA">
      <w:rPr>
        <w:b/>
        <w:sz w:val="18"/>
      </w:rPr>
      <w:fldChar w:fldCharType="separate"/>
    </w:r>
    <w:r w:rsidRPr="00AF2ABA">
      <w:rPr>
        <w:b/>
        <w:noProof/>
        <w:sz w:val="18"/>
      </w:rPr>
      <w:t>3</w:t>
    </w:r>
    <w:r w:rsidRPr="00AF2A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CBB" w14:textId="62E33338" w:rsidR="00467F2C" w:rsidRPr="00AF2ABA" w:rsidRDefault="00AF2ABA" w:rsidP="00AF2ABA">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BC40B01" wp14:editId="5AE71CF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22-04080  (F)</w:t>
    </w:r>
    <w:r>
      <w:rPr>
        <w:noProof/>
        <w:sz w:val="20"/>
      </w:rPr>
      <w:drawing>
        <wp:anchor distT="0" distB="0" distL="114300" distR="114300" simplePos="0" relativeHeight="251660288" behindDoc="0" locked="0" layoutInCell="1" allowOverlap="1" wp14:anchorId="41F349F2" wp14:editId="2D689ABD">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250422    250422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929C" w14:textId="77777777" w:rsidR="009E3300" w:rsidRPr="00D27D5E" w:rsidRDefault="009E3300" w:rsidP="00D27D5E">
      <w:pPr>
        <w:tabs>
          <w:tab w:val="right" w:pos="2155"/>
        </w:tabs>
        <w:spacing w:after="80"/>
        <w:ind w:left="680"/>
        <w:rPr>
          <w:u w:val="single"/>
        </w:rPr>
      </w:pPr>
      <w:r>
        <w:rPr>
          <w:u w:val="single"/>
        </w:rPr>
        <w:tab/>
      </w:r>
    </w:p>
  </w:footnote>
  <w:footnote w:type="continuationSeparator" w:id="0">
    <w:p w14:paraId="7A27DB82" w14:textId="77777777" w:rsidR="009E3300" w:rsidRPr="00D171D4" w:rsidRDefault="009E3300" w:rsidP="00D171D4">
      <w:pPr>
        <w:tabs>
          <w:tab w:val="right" w:pos="2155"/>
        </w:tabs>
        <w:spacing w:after="80"/>
        <w:ind w:left="680"/>
        <w:rPr>
          <w:u w:val="single"/>
        </w:rPr>
      </w:pPr>
      <w:r w:rsidRPr="00D171D4">
        <w:rPr>
          <w:u w:val="single"/>
        </w:rPr>
        <w:tab/>
      </w:r>
    </w:p>
  </w:footnote>
  <w:footnote w:type="continuationNotice" w:id="1">
    <w:p w14:paraId="7F9F5850" w14:textId="77777777" w:rsidR="009E3300" w:rsidRPr="00C451B9" w:rsidRDefault="009E3300" w:rsidP="00C451B9">
      <w:pPr>
        <w:spacing w:line="240" w:lineRule="auto"/>
        <w:rPr>
          <w:sz w:val="2"/>
          <w:szCs w:val="2"/>
        </w:rPr>
      </w:pPr>
    </w:p>
  </w:footnote>
  <w:footnote w:id="2">
    <w:p w14:paraId="22533C35" w14:textId="77777777" w:rsidR="00AF2ABA" w:rsidRPr="00591072" w:rsidRDefault="00AF2ABA" w:rsidP="00AF2ABA">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6E398256" w14:textId="77777777" w:rsidR="00AF2ABA" w:rsidRPr="00591072" w:rsidRDefault="00AF2ABA" w:rsidP="00AF2ABA">
      <w:pPr>
        <w:pStyle w:val="Notedebasdepage"/>
      </w:pPr>
      <w:r w:rsidRPr="004C2977">
        <w:tab/>
      </w:r>
      <w:r w:rsidRPr="004C297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F4A0937" w14:textId="77777777" w:rsidR="00AF2ABA" w:rsidRPr="00591072" w:rsidRDefault="00AF2ABA" w:rsidP="00AF2ABA">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46505314" w14:textId="77777777" w:rsidR="00AF2ABA" w:rsidRPr="00442E31" w:rsidRDefault="00AF2ABA" w:rsidP="00AF2AB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D50F" w14:textId="49F21AE7" w:rsidR="00AF2ABA" w:rsidRPr="00AF2ABA" w:rsidRDefault="00AF2ABA">
    <w:pPr>
      <w:pStyle w:val="En-tte"/>
      <w:rPr>
        <w:lang w:val="en-US"/>
      </w:rPr>
    </w:pPr>
    <w:r>
      <w:fldChar w:fldCharType="begin"/>
    </w:r>
    <w:r w:rsidRPr="00AF2ABA">
      <w:rPr>
        <w:lang w:val="en-US"/>
      </w:rPr>
      <w:instrText xml:space="preserve"> TITLE  \* MERGEFORMAT </w:instrText>
    </w:r>
    <w:r>
      <w:fldChar w:fldCharType="separate"/>
    </w:r>
    <w:r w:rsidR="00A7646D">
      <w:rPr>
        <w:lang w:val="en-US"/>
      </w:rPr>
      <w:t>E/ECE/324/Rev.2/Add.123/Amend.3</w:t>
    </w:r>
    <w:r>
      <w:fldChar w:fldCharType="end"/>
    </w:r>
    <w:r w:rsidRPr="00AF2ABA">
      <w:rPr>
        <w:lang w:val="en-US"/>
      </w:rPr>
      <w:br/>
    </w:r>
    <w:r>
      <w:fldChar w:fldCharType="begin"/>
    </w:r>
    <w:r w:rsidRPr="00AF2ABA">
      <w:rPr>
        <w:lang w:val="en-US"/>
      </w:rPr>
      <w:instrText xml:space="preserve"> KEYWORDS  \* MERGEFORMAT </w:instrText>
    </w:r>
    <w:r>
      <w:fldChar w:fldCharType="separate"/>
    </w:r>
    <w:r w:rsidR="00A7646D">
      <w:rPr>
        <w:lang w:val="en-US"/>
      </w:rPr>
      <w:t>E/ECE/TRANS/505/Rev.2/Add.123/Amend.3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56B" w14:textId="3B9152BB" w:rsidR="00AF2ABA" w:rsidRPr="00AF2ABA" w:rsidRDefault="00AF2ABA" w:rsidP="00AF2ABA">
    <w:pPr>
      <w:pStyle w:val="En-tte"/>
      <w:jc w:val="right"/>
      <w:rPr>
        <w:lang w:val="en-US"/>
      </w:rPr>
    </w:pPr>
    <w:r>
      <w:fldChar w:fldCharType="begin"/>
    </w:r>
    <w:r w:rsidRPr="00AF2ABA">
      <w:rPr>
        <w:lang w:val="en-US"/>
      </w:rPr>
      <w:instrText xml:space="preserve"> TITLE  \* MERGEFORMAT </w:instrText>
    </w:r>
    <w:r>
      <w:fldChar w:fldCharType="separate"/>
    </w:r>
    <w:r w:rsidR="00A7646D">
      <w:rPr>
        <w:lang w:val="en-US"/>
      </w:rPr>
      <w:t>E/ECE/324/Rev.2/Add.123/Amend.3</w:t>
    </w:r>
    <w:r>
      <w:fldChar w:fldCharType="end"/>
    </w:r>
    <w:r w:rsidRPr="00AF2ABA">
      <w:rPr>
        <w:lang w:val="en-US"/>
      </w:rPr>
      <w:br/>
    </w:r>
    <w:r>
      <w:fldChar w:fldCharType="begin"/>
    </w:r>
    <w:r w:rsidRPr="00AF2ABA">
      <w:rPr>
        <w:lang w:val="en-US"/>
      </w:rPr>
      <w:instrText xml:space="preserve"> KEYWORDS  \* MERGEFORMAT </w:instrText>
    </w:r>
    <w:r>
      <w:fldChar w:fldCharType="separate"/>
    </w:r>
    <w:r w:rsidR="00A7646D">
      <w:rPr>
        <w:lang w:val="en-US"/>
      </w:rPr>
      <w:t>E/ECE/TRANS/505/Rev.2/Add.123/Amend.3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0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3300"/>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7646D"/>
    <w:rsid w:val="00A81F93"/>
    <w:rsid w:val="00A84FCF"/>
    <w:rsid w:val="00A9247E"/>
    <w:rsid w:val="00AA0DCA"/>
    <w:rsid w:val="00AA7796"/>
    <w:rsid w:val="00AC67A1"/>
    <w:rsid w:val="00AC7977"/>
    <w:rsid w:val="00AC7E56"/>
    <w:rsid w:val="00AE2617"/>
    <w:rsid w:val="00AE352C"/>
    <w:rsid w:val="00AE39A5"/>
    <w:rsid w:val="00AE79AC"/>
    <w:rsid w:val="00AF2ABA"/>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F4E6C38"/>
  <w15:docId w15:val="{6D7B344C-E07C-4C67-B59C-CE3FE806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65A09-57EF-4BAD-B3AD-32E352A640FC}"/>
</file>

<file path=customXml/itemProps2.xml><?xml version="1.0" encoding="utf-8"?>
<ds:datastoreItem xmlns:ds="http://schemas.openxmlformats.org/officeDocument/2006/customXml" ds:itemID="{8F776FDE-28F7-4099-BBA1-377525502326}"/>
</file>

<file path=docProps/app.xml><?xml version="1.0" encoding="utf-8"?>
<Properties xmlns="http://schemas.openxmlformats.org/officeDocument/2006/extended-properties" xmlns:vt="http://schemas.openxmlformats.org/officeDocument/2006/docPropsVTypes">
  <Template>E_ECE_324.dotm</Template>
  <TotalTime>3</TotalTime>
  <Pages>3</Pages>
  <Words>489</Words>
  <Characters>3184</Characters>
  <Application>Microsoft Office Word</Application>
  <DocSecurity>0</DocSecurity>
  <Lines>318</Lines>
  <Paragraphs>216</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E/ECE/324/Rev.2/Add.123/Amend.3</dc:title>
  <dc:creator>Valerie BERTIN</dc:creator>
  <cp:keywords>E/ECE/TRANS/505/Rev.2/Add.123/Amend.3</cp:keywords>
  <cp:lastModifiedBy>Valerie Bertin</cp:lastModifiedBy>
  <cp:revision>3</cp:revision>
  <cp:lastPrinted>2022-04-25T14:42:00Z</cp:lastPrinted>
  <dcterms:created xsi:type="dcterms:W3CDTF">2022-04-25T14:42:00Z</dcterms:created>
  <dcterms:modified xsi:type="dcterms:W3CDTF">2022-04-25T14:44:00Z</dcterms:modified>
</cp:coreProperties>
</file>