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9740B" w:rsidRPr="0009740B" w14:paraId="62D142A9" w14:textId="77777777" w:rsidTr="00BB50CC">
        <w:trPr>
          <w:cantSplit/>
          <w:trHeight w:hRule="exact" w:val="851"/>
        </w:trPr>
        <w:tc>
          <w:tcPr>
            <w:tcW w:w="1276" w:type="dxa"/>
            <w:tcBorders>
              <w:bottom w:val="single" w:sz="4" w:space="0" w:color="auto"/>
            </w:tcBorders>
            <w:vAlign w:val="bottom"/>
          </w:tcPr>
          <w:p w14:paraId="4C8CD666" w14:textId="77777777" w:rsidR="00672DEB" w:rsidRPr="0009740B" w:rsidRDefault="00672DEB" w:rsidP="00672DEB">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5209F38D" w14:textId="63C1A11A" w:rsidR="00672DEB" w:rsidRPr="0009740B" w:rsidRDefault="00672DEB" w:rsidP="003D0508">
            <w:pPr>
              <w:jc w:val="right"/>
            </w:pPr>
            <w:bookmarkStart w:id="3" w:name="_Hlk22721725"/>
            <w:r w:rsidRPr="0009740B">
              <w:rPr>
                <w:sz w:val="40"/>
              </w:rPr>
              <w:t>E</w:t>
            </w:r>
            <w:r w:rsidRPr="0009740B">
              <w:t>/ECE/324/Rev.2/Add.12</w:t>
            </w:r>
            <w:r w:rsidR="00ED4A2A" w:rsidRPr="0009740B">
              <w:t>3</w:t>
            </w:r>
            <w:r w:rsidRPr="0009740B">
              <w:t>/Amend.</w:t>
            </w:r>
            <w:r w:rsidR="00E51517" w:rsidRPr="0009740B">
              <w:t>3</w:t>
            </w:r>
            <w:r w:rsidRPr="0009740B">
              <w:t>−</w:t>
            </w:r>
            <w:r w:rsidRPr="0009740B">
              <w:rPr>
                <w:sz w:val="40"/>
              </w:rPr>
              <w:t>E</w:t>
            </w:r>
            <w:r w:rsidRPr="0009740B">
              <w:t>/ECE/TRANS/505/Rev.2/</w:t>
            </w:r>
            <w:bookmarkEnd w:id="3"/>
            <w:r w:rsidR="00ED4A2A" w:rsidRPr="0009740B">
              <w:t>Add.123/Amend.</w:t>
            </w:r>
            <w:r w:rsidR="00E51517" w:rsidRPr="0009740B">
              <w:t>3</w:t>
            </w:r>
          </w:p>
        </w:tc>
      </w:tr>
      <w:tr w:rsidR="0009740B" w:rsidRPr="0009740B" w14:paraId="42E57D32" w14:textId="77777777" w:rsidTr="00995FD9">
        <w:trPr>
          <w:cantSplit/>
          <w:trHeight w:hRule="exact" w:val="1996"/>
        </w:trPr>
        <w:tc>
          <w:tcPr>
            <w:tcW w:w="1276" w:type="dxa"/>
            <w:tcBorders>
              <w:top w:val="single" w:sz="4" w:space="0" w:color="auto"/>
              <w:bottom w:val="single" w:sz="12" w:space="0" w:color="auto"/>
            </w:tcBorders>
          </w:tcPr>
          <w:p w14:paraId="10F73074" w14:textId="77777777" w:rsidR="00672DEB" w:rsidRPr="0009740B" w:rsidRDefault="00672DEB" w:rsidP="00672DEB">
            <w:pPr>
              <w:spacing w:before="120"/>
            </w:pPr>
          </w:p>
        </w:tc>
        <w:tc>
          <w:tcPr>
            <w:tcW w:w="5528" w:type="dxa"/>
            <w:tcBorders>
              <w:top w:val="single" w:sz="4" w:space="0" w:color="auto"/>
              <w:bottom w:val="single" w:sz="12" w:space="0" w:color="auto"/>
            </w:tcBorders>
          </w:tcPr>
          <w:p w14:paraId="760A8A8F" w14:textId="77777777" w:rsidR="00672DEB" w:rsidRPr="0009740B" w:rsidRDefault="00672DEB" w:rsidP="00672DEB">
            <w:pPr>
              <w:spacing w:before="120"/>
            </w:pPr>
          </w:p>
        </w:tc>
        <w:tc>
          <w:tcPr>
            <w:tcW w:w="2835" w:type="dxa"/>
            <w:tcBorders>
              <w:top w:val="single" w:sz="4" w:space="0" w:color="auto"/>
              <w:bottom w:val="single" w:sz="12" w:space="0" w:color="auto"/>
            </w:tcBorders>
          </w:tcPr>
          <w:p w14:paraId="0D72878A" w14:textId="77777777" w:rsidR="00672DEB" w:rsidRPr="0009740B" w:rsidRDefault="00672DEB" w:rsidP="00672DEB">
            <w:pPr>
              <w:spacing w:before="120"/>
              <w:rPr>
                <w:highlight w:val="yellow"/>
              </w:rPr>
            </w:pPr>
          </w:p>
          <w:p w14:paraId="7DC668B5" w14:textId="77777777" w:rsidR="00672DEB" w:rsidRPr="0009740B" w:rsidRDefault="00672DEB" w:rsidP="00672DEB">
            <w:pPr>
              <w:spacing w:before="120"/>
              <w:rPr>
                <w:highlight w:val="yellow"/>
              </w:rPr>
            </w:pPr>
          </w:p>
          <w:p w14:paraId="3FABF512" w14:textId="069EF848" w:rsidR="00672DEB" w:rsidRPr="0009740B" w:rsidRDefault="0009740B" w:rsidP="003D0508">
            <w:pPr>
              <w:spacing w:before="120"/>
              <w:rPr>
                <w:highlight w:val="yellow"/>
              </w:rPr>
            </w:pPr>
            <w:r>
              <w:t>21 March</w:t>
            </w:r>
            <w:r w:rsidR="005D5EB3" w:rsidRPr="0009740B">
              <w:t xml:space="preserve"> </w:t>
            </w:r>
            <w:r w:rsidR="007B1204" w:rsidRPr="0009740B">
              <w:t>2022</w:t>
            </w:r>
          </w:p>
        </w:tc>
      </w:tr>
    </w:tbl>
    <w:p w14:paraId="7900AFD7" w14:textId="77777777" w:rsidR="00672DEB" w:rsidRPr="0009740B" w:rsidRDefault="00672DEB" w:rsidP="00672DEB">
      <w:pPr>
        <w:pStyle w:val="HChG"/>
        <w:spacing w:before="240" w:after="120"/>
      </w:pPr>
      <w:r w:rsidRPr="0009740B">
        <w:tab/>
      </w:r>
      <w:r w:rsidRPr="0009740B">
        <w:tab/>
      </w:r>
      <w:bookmarkStart w:id="4" w:name="_Toc340666199"/>
      <w:bookmarkStart w:id="5" w:name="_Toc340745062"/>
      <w:r w:rsidRPr="0009740B">
        <w:t>Agreement</w:t>
      </w:r>
      <w:bookmarkEnd w:id="4"/>
      <w:bookmarkEnd w:id="5"/>
    </w:p>
    <w:p w14:paraId="2A66D2A7" w14:textId="77777777" w:rsidR="00672DEB" w:rsidRPr="0009740B" w:rsidRDefault="00672DEB" w:rsidP="0080188C">
      <w:pPr>
        <w:pStyle w:val="H1G"/>
        <w:spacing w:before="120" w:after="120"/>
      </w:pPr>
      <w:r w:rsidRPr="0009740B">
        <w:rPr>
          <w:rStyle w:val="H1GChar"/>
        </w:rPr>
        <w:tab/>
      </w:r>
      <w:r w:rsidRPr="0009740B">
        <w:rPr>
          <w:rStyle w:val="H1GChar"/>
        </w:rPr>
        <w:tab/>
      </w:r>
      <w:r w:rsidRPr="0009740B">
        <w:t>Concerning the</w:t>
      </w:r>
      <w:r w:rsidRPr="0009740B">
        <w:rPr>
          <w:smallCaps/>
        </w:rPr>
        <w:t xml:space="preserve"> </w:t>
      </w:r>
      <w:r w:rsidRPr="0009740B">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09740B">
        <w:rPr>
          <w:rStyle w:val="FootnoteReference"/>
          <w:b w:val="0"/>
          <w:sz w:val="20"/>
          <w:vertAlign w:val="baseline"/>
        </w:rPr>
        <w:footnoteReference w:customMarkFollows="1" w:id="2"/>
        <w:t>*</w:t>
      </w:r>
    </w:p>
    <w:p w14:paraId="45AC1AC6" w14:textId="77777777" w:rsidR="00672DEB" w:rsidRPr="0009740B" w:rsidRDefault="00672DEB" w:rsidP="00672DEB">
      <w:pPr>
        <w:pStyle w:val="SingleTxtG"/>
        <w:spacing w:before="120"/>
      </w:pPr>
      <w:r w:rsidRPr="0009740B">
        <w:t>(Revision 3, including the amendments which entered into force on 14 September 2017)</w:t>
      </w:r>
    </w:p>
    <w:p w14:paraId="768BEA0E" w14:textId="77777777" w:rsidR="00672DEB" w:rsidRPr="0009740B" w:rsidRDefault="00672DEB" w:rsidP="00672DEB">
      <w:pPr>
        <w:pStyle w:val="H1G"/>
        <w:spacing w:before="120"/>
        <w:ind w:left="0" w:right="0" w:firstLine="0"/>
        <w:jc w:val="center"/>
      </w:pPr>
      <w:r w:rsidRPr="0009740B">
        <w:t>_________</w:t>
      </w:r>
    </w:p>
    <w:p w14:paraId="709F09E7" w14:textId="0A358622" w:rsidR="00672DEB" w:rsidRPr="0009740B" w:rsidRDefault="00672DEB" w:rsidP="0080188C">
      <w:pPr>
        <w:pStyle w:val="H1G"/>
        <w:spacing w:before="120" w:after="120"/>
      </w:pPr>
      <w:r w:rsidRPr="0009740B">
        <w:tab/>
      </w:r>
      <w:r w:rsidRPr="0009740B">
        <w:tab/>
        <w:t>Addendum 12</w:t>
      </w:r>
      <w:r w:rsidR="00ED4A2A" w:rsidRPr="0009740B">
        <w:t>3</w:t>
      </w:r>
      <w:r w:rsidRPr="0009740B">
        <w:t xml:space="preserve"> – UN Regulation No. 12</w:t>
      </w:r>
      <w:r w:rsidR="00ED4A2A" w:rsidRPr="0009740B">
        <w:t>4</w:t>
      </w:r>
    </w:p>
    <w:p w14:paraId="204BD5A3" w14:textId="7D7ACF88" w:rsidR="00672DEB" w:rsidRPr="0009740B" w:rsidRDefault="00672DEB" w:rsidP="0080188C">
      <w:pPr>
        <w:pStyle w:val="H1G"/>
        <w:spacing w:before="120" w:after="120"/>
      </w:pPr>
      <w:r w:rsidRPr="0009740B">
        <w:tab/>
      </w:r>
      <w:r w:rsidRPr="0009740B">
        <w:tab/>
        <w:t xml:space="preserve">Amendment </w:t>
      </w:r>
      <w:r w:rsidR="004D447A" w:rsidRPr="0009740B">
        <w:t>3</w:t>
      </w:r>
    </w:p>
    <w:p w14:paraId="184F854A" w14:textId="135B407C" w:rsidR="00672DEB" w:rsidRPr="0009740B" w:rsidRDefault="003D0508" w:rsidP="00672DEB">
      <w:pPr>
        <w:pStyle w:val="SingleTxtG"/>
        <w:spacing w:after="360"/>
        <w:rPr>
          <w:spacing w:val="-2"/>
        </w:rPr>
      </w:pPr>
      <w:r w:rsidRPr="0009740B">
        <w:rPr>
          <w:spacing w:val="-2"/>
        </w:rPr>
        <w:t xml:space="preserve">Supplement </w:t>
      </w:r>
      <w:r w:rsidR="004D447A" w:rsidRPr="0009740B">
        <w:rPr>
          <w:spacing w:val="-2"/>
        </w:rPr>
        <w:t>3</w:t>
      </w:r>
      <w:r w:rsidRPr="0009740B">
        <w:rPr>
          <w:spacing w:val="-2"/>
        </w:rPr>
        <w:t xml:space="preserve"> to the </w:t>
      </w:r>
      <w:r w:rsidR="004F3903" w:rsidRPr="0009740B">
        <w:rPr>
          <w:spacing w:val="-2"/>
        </w:rPr>
        <w:t>original version of the Regulation</w:t>
      </w:r>
      <w:r w:rsidR="00672DEB" w:rsidRPr="0009740B">
        <w:rPr>
          <w:spacing w:val="-2"/>
        </w:rPr>
        <w:t xml:space="preserve"> – Date of entry into force: </w:t>
      </w:r>
      <w:r w:rsidR="004F3903" w:rsidRPr="0009740B">
        <w:rPr>
          <w:spacing w:val="-2"/>
        </w:rPr>
        <w:br/>
      </w:r>
      <w:r w:rsidR="00436A43" w:rsidRPr="0009740B">
        <w:t>7 January 2022</w:t>
      </w:r>
    </w:p>
    <w:p w14:paraId="3DB92EC4" w14:textId="195AE2BF" w:rsidR="00672DEB" w:rsidRPr="0009740B" w:rsidRDefault="00672DEB" w:rsidP="00672DEB">
      <w:pPr>
        <w:pStyle w:val="H1G"/>
        <w:spacing w:before="120" w:after="120" w:line="240" w:lineRule="exact"/>
        <w:rPr>
          <w:lang w:val="en-US"/>
        </w:rPr>
      </w:pPr>
      <w:r w:rsidRPr="0009740B">
        <w:rPr>
          <w:lang w:val="en-US"/>
        </w:rPr>
        <w:tab/>
      </w:r>
      <w:r w:rsidRPr="0009740B">
        <w:rPr>
          <w:lang w:val="en-US"/>
        </w:rPr>
        <w:tab/>
      </w:r>
      <w:r w:rsidR="00645612" w:rsidRPr="0009740B">
        <w:t>Uniform provisions concerning the approval of wheels for passenger cars and their trailers</w:t>
      </w:r>
    </w:p>
    <w:p w14:paraId="0443E89A" w14:textId="63BFADE3" w:rsidR="00672DEB" w:rsidRPr="0009740B" w:rsidRDefault="00672DEB" w:rsidP="00672DEB">
      <w:pPr>
        <w:pStyle w:val="SingleTxtG"/>
        <w:spacing w:after="40"/>
        <w:rPr>
          <w:lang w:eastAsia="en-GB"/>
        </w:rPr>
      </w:pPr>
      <w:r w:rsidRPr="0009740B">
        <w:rPr>
          <w:spacing w:val="-4"/>
          <w:lang w:eastAsia="en-GB"/>
        </w:rPr>
        <w:t>This document is meant purely as documentation tool. The authentic and legal binding text is:</w:t>
      </w:r>
      <w:r w:rsidRPr="0009740B">
        <w:rPr>
          <w:lang w:eastAsia="en-GB"/>
        </w:rPr>
        <w:t xml:space="preserve"> </w:t>
      </w:r>
      <w:r w:rsidRPr="0009740B">
        <w:rPr>
          <w:spacing w:val="-6"/>
          <w:lang w:eastAsia="en-GB"/>
        </w:rPr>
        <w:t>ECE/TRANS/WP.29/20</w:t>
      </w:r>
      <w:r w:rsidR="00155A2C" w:rsidRPr="0009740B">
        <w:rPr>
          <w:spacing w:val="-6"/>
          <w:lang w:eastAsia="en-GB"/>
        </w:rPr>
        <w:t>21</w:t>
      </w:r>
      <w:r w:rsidRPr="0009740B">
        <w:rPr>
          <w:spacing w:val="-6"/>
          <w:lang w:eastAsia="en-GB"/>
        </w:rPr>
        <w:t>/</w:t>
      </w:r>
      <w:r w:rsidR="00D4415D" w:rsidRPr="0009740B">
        <w:rPr>
          <w:spacing w:val="-6"/>
          <w:lang w:eastAsia="en-GB"/>
        </w:rPr>
        <w:t>78</w:t>
      </w:r>
      <w:r w:rsidR="00CA7F2C" w:rsidRPr="0009740B">
        <w:rPr>
          <w:spacing w:val="-6"/>
          <w:lang w:eastAsia="en-GB"/>
        </w:rPr>
        <w:t>.</w:t>
      </w:r>
    </w:p>
    <w:p w14:paraId="3C3F15CA" w14:textId="77777777" w:rsidR="00672DEB" w:rsidRPr="0009740B" w:rsidRDefault="00672DEB" w:rsidP="00672DEB">
      <w:pPr>
        <w:suppressAutoHyphens w:val="0"/>
        <w:spacing w:line="240" w:lineRule="auto"/>
        <w:jc w:val="center"/>
        <w:rPr>
          <w:b/>
          <w:sz w:val="24"/>
        </w:rPr>
      </w:pPr>
      <w:r w:rsidRPr="0009740B">
        <w:rPr>
          <w:b/>
          <w:noProof/>
          <w:sz w:val="24"/>
          <w:lang w:val="en-US"/>
        </w:rPr>
        <w:drawing>
          <wp:anchor distT="0" distB="137160" distL="114300" distR="114300" simplePos="0" relativeHeight="251659264" behindDoc="0" locked="0" layoutInCell="1" allowOverlap="1" wp14:anchorId="325F7FEF" wp14:editId="14BBBB89">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9740B">
        <w:rPr>
          <w:b/>
          <w:sz w:val="24"/>
        </w:rPr>
        <w:t>_________</w:t>
      </w:r>
    </w:p>
    <w:p w14:paraId="5B33C8EA" w14:textId="77777777" w:rsidR="003D0508" w:rsidRPr="0009740B" w:rsidRDefault="00672DEB" w:rsidP="00672DEB">
      <w:pPr>
        <w:suppressAutoHyphens w:val="0"/>
        <w:spacing w:line="240" w:lineRule="auto"/>
        <w:jc w:val="center"/>
        <w:rPr>
          <w:b/>
          <w:sz w:val="24"/>
        </w:rPr>
      </w:pPr>
      <w:r w:rsidRPr="0009740B">
        <w:rPr>
          <w:b/>
          <w:sz w:val="24"/>
        </w:rPr>
        <w:t>UNITED NATIONS</w:t>
      </w:r>
      <w:bookmarkEnd w:id="1"/>
    </w:p>
    <w:p w14:paraId="6CAF8D60" w14:textId="77777777" w:rsidR="003D0508" w:rsidRPr="0009740B" w:rsidRDefault="003D0508">
      <w:pPr>
        <w:suppressAutoHyphens w:val="0"/>
        <w:spacing w:line="240" w:lineRule="auto"/>
        <w:rPr>
          <w:b/>
          <w:sz w:val="24"/>
        </w:rPr>
      </w:pPr>
      <w:r w:rsidRPr="0009740B">
        <w:rPr>
          <w:b/>
          <w:sz w:val="24"/>
        </w:rPr>
        <w:br w:type="page"/>
      </w:r>
    </w:p>
    <w:bookmarkEnd w:id="2"/>
    <w:p w14:paraId="3CC783F9" w14:textId="77777777" w:rsidR="00C13286" w:rsidRPr="001842F6" w:rsidRDefault="00C13286" w:rsidP="00C13286">
      <w:pPr>
        <w:suppressAutoHyphens w:val="0"/>
        <w:autoSpaceDE w:val="0"/>
        <w:autoSpaceDN w:val="0"/>
        <w:adjustRightInd w:val="0"/>
        <w:spacing w:after="120"/>
        <w:ind w:left="1134" w:right="1134"/>
        <w:jc w:val="both"/>
        <w:rPr>
          <w:rFonts w:asciiTheme="majorBidi" w:eastAsia="Calibri" w:hAnsiTheme="majorBidi" w:cstheme="majorBidi"/>
          <w:b/>
          <w:i/>
          <w:lang w:val="en-US"/>
        </w:rPr>
      </w:pPr>
      <w:r w:rsidRPr="001842F6">
        <w:rPr>
          <w:rFonts w:asciiTheme="majorBidi" w:eastAsia="Calibri" w:hAnsiTheme="majorBidi" w:cstheme="majorBidi"/>
          <w:i/>
          <w:iCs/>
          <w:lang w:val="en-US"/>
        </w:rPr>
        <w:lastRenderedPageBreak/>
        <w:t>Paragraph 1</w:t>
      </w:r>
      <w:r>
        <w:rPr>
          <w:rFonts w:asciiTheme="majorBidi" w:eastAsia="Calibri" w:hAnsiTheme="majorBidi" w:cstheme="majorBidi"/>
          <w:i/>
          <w:iCs/>
          <w:lang w:val="en-US"/>
        </w:rPr>
        <w:t>.</w:t>
      </w:r>
      <w:r w:rsidRPr="001842F6">
        <w:rPr>
          <w:rFonts w:asciiTheme="majorBidi" w:eastAsia="Calibri" w:hAnsiTheme="majorBidi" w:cstheme="majorBidi"/>
          <w:i/>
          <w:iCs/>
          <w:lang w:val="en-US"/>
        </w:rPr>
        <w:t xml:space="preserve">, </w:t>
      </w:r>
      <w:r w:rsidRPr="001842F6">
        <w:rPr>
          <w:rFonts w:asciiTheme="majorBidi" w:eastAsia="Calibri" w:hAnsiTheme="majorBidi" w:cstheme="majorBidi"/>
          <w:lang w:val="en-US"/>
        </w:rPr>
        <w:t>amend</w:t>
      </w:r>
      <w:r w:rsidRPr="000F33AE">
        <w:rPr>
          <w:rFonts w:asciiTheme="majorBidi" w:eastAsia="Calibri" w:hAnsiTheme="majorBidi" w:cstheme="majorBidi"/>
          <w:bCs/>
          <w:lang w:val="en-US"/>
        </w:rPr>
        <w:t xml:space="preserve"> </w:t>
      </w:r>
      <w:r w:rsidRPr="001842F6">
        <w:rPr>
          <w:rFonts w:asciiTheme="majorBidi" w:eastAsia="Calibri" w:hAnsiTheme="majorBidi" w:cstheme="majorBidi"/>
          <w:lang w:val="en-US"/>
        </w:rPr>
        <w:t>to read</w:t>
      </w:r>
      <w:r>
        <w:rPr>
          <w:rFonts w:asciiTheme="majorBidi" w:eastAsia="Calibri" w:hAnsiTheme="majorBidi" w:cstheme="majorBidi"/>
          <w:lang w:val="en-US"/>
        </w:rPr>
        <w:t xml:space="preserve"> (footnote 1 remains unchanged)</w:t>
      </w:r>
      <w:r w:rsidRPr="001842F6">
        <w:rPr>
          <w:rFonts w:asciiTheme="majorBidi" w:eastAsia="Calibri" w:hAnsiTheme="majorBidi" w:cstheme="majorBidi"/>
          <w:b/>
          <w:lang w:val="en-US"/>
        </w:rPr>
        <w:t>:</w:t>
      </w:r>
    </w:p>
    <w:p w14:paraId="4D1EAE90" w14:textId="77777777" w:rsidR="00C13286" w:rsidRPr="001842F6" w:rsidRDefault="00C13286" w:rsidP="00C13286">
      <w:pPr>
        <w:suppressAutoHyphens w:val="0"/>
        <w:autoSpaceDE w:val="0"/>
        <w:autoSpaceDN w:val="0"/>
        <w:adjustRightInd w:val="0"/>
        <w:spacing w:after="120"/>
        <w:ind w:left="2268" w:right="1134" w:hanging="1134"/>
        <w:jc w:val="both"/>
        <w:rPr>
          <w:rFonts w:asciiTheme="majorBidi" w:eastAsia="Calibri" w:hAnsiTheme="majorBidi" w:cstheme="majorBidi"/>
          <w:lang w:val="en-US"/>
        </w:rPr>
      </w:pPr>
      <w:r>
        <w:rPr>
          <w:rFonts w:asciiTheme="majorBidi" w:eastAsia="Calibri" w:hAnsiTheme="majorBidi" w:cstheme="majorBidi"/>
          <w:lang w:val="en-US"/>
        </w:rPr>
        <w:t>"</w:t>
      </w:r>
      <w:r w:rsidRPr="00117F02">
        <w:rPr>
          <w:rFonts w:asciiTheme="majorBidi" w:eastAsia="Calibri" w:hAnsiTheme="majorBidi" w:cstheme="majorBidi"/>
          <w:lang w:val="en-US"/>
        </w:rPr>
        <w:t xml:space="preserve">1. </w:t>
      </w:r>
      <w:r>
        <w:rPr>
          <w:rFonts w:asciiTheme="majorBidi" w:eastAsia="Calibri" w:hAnsiTheme="majorBidi" w:cstheme="majorBidi"/>
          <w:lang w:val="en-US"/>
        </w:rPr>
        <w:tab/>
      </w:r>
      <w:r>
        <w:rPr>
          <w:rFonts w:asciiTheme="majorBidi" w:eastAsia="Calibri" w:hAnsiTheme="majorBidi" w:cstheme="majorBidi"/>
          <w:lang w:val="en-US"/>
        </w:rPr>
        <w:tab/>
      </w:r>
      <w:r w:rsidRPr="00117F02">
        <w:rPr>
          <w:rFonts w:asciiTheme="majorBidi" w:eastAsia="Calibri" w:hAnsiTheme="majorBidi" w:cstheme="majorBidi"/>
          <w:lang w:val="en-US"/>
        </w:rPr>
        <w:t>This Regulation covers new replacement wheels designed for vehicles of</w:t>
      </w:r>
      <w:r>
        <w:rPr>
          <w:rFonts w:asciiTheme="majorBidi" w:eastAsia="Calibri" w:hAnsiTheme="majorBidi" w:cstheme="majorBidi"/>
          <w:lang w:val="en-US"/>
        </w:rPr>
        <w:t xml:space="preserve"> </w:t>
      </w:r>
      <w:r w:rsidRPr="00117F02">
        <w:rPr>
          <w:rFonts w:asciiTheme="majorBidi" w:eastAsia="Calibri" w:hAnsiTheme="majorBidi" w:cstheme="majorBidi"/>
          <w:lang w:val="en-US"/>
        </w:rPr>
        <w:t>categories M</w:t>
      </w:r>
      <w:r w:rsidRPr="00617CB4">
        <w:rPr>
          <w:rFonts w:asciiTheme="majorBidi" w:eastAsia="Calibri" w:hAnsiTheme="majorBidi" w:cstheme="majorBidi"/>
          <w:vertAlign w:val="subscript"/>
          <w:lang w:val="en-US"/>
        </w:rPr>
        <w:t>1</w:t>
      </w:r>
      <w:r w:rsidRPr="00117F02">
        <w:rPr>
          <w:rFonts w:asciiTheme="majorBidi" w:eastAsia="Calibri" w:hAnsiTheme="majorBidi" w:cstheme="majorBidi"/>
          <w:lang w:val="en-US"/>
        </w:rPr>
        <w:t>, M</w:t>
      </w:r>
      <w:r w:rsidRPr="00617CB4">
        <w:rPr>
          <w:rFonts w:asciiTheme="majorBidi" w:eastAsia="Calibri" w:hAnsiTheme="majorBidi" w:cstheme="majorBidi"/>
          <w:vertAlign w:val="subscript"/>
          <w:lang w:val="en-US"/>
        </w:rPr>
        <w:t>1</w:t>
      </w:r>
      <w:r w:rsidRPr="00117F02">
        <w:rPr>
          <w:rFonts w:asciiTheme="majorBidi" w:eastAsia="Calibri" w:hAnsiTheme="majorBidi" w:cstheme="majorBidi"/>
          <w:lang w:val="en-US"/>
        </w:rPr>
        <w:t>G, N</w:t>
      </w:r>
      <w:r w:rsidRPr="00617CB4">
        <w:rPr>
          <w:rFonts w:asciiTheme="majorBidi" w:eastAsia="Calibri" w:hAnsiTheme="majorBidi" w:cstheme="majorBidi"/>
          <w:vertAlign w:val="subscript"/>
          <w:lang w:val="en-US"/>
        </w:rPr>
        <w:t>1</w:t>
      </w:r>
      <w:r w:rsidRPr="00117F02">
        <w:rPr>
          <w:rFonts w:asciiTheme="majorBidi" w:eastAsia="Calibri" w:hAnsiTheme="majorBidi" w:cstheme="majorBidi"/>
          <w:lang w:val="en-US"/>
        </w:rPr>
        <w:t>, N</w:t>
      </w:r>
      <w:r w:rsidRPr="00617CB4">
        <w:rPr>
          <w:rFonts w:asciiTheme="majorBidi" w:eastAsia="Calibri" w:hAnsiTheme="majorBidi" w:cstheme="majorBidi"/>
          <w:vertAlign w:val="subscript"/>
          <w:lang w:val="en-US"/>
        </w:rPr>
        <w:t>1</w:t>
      </w:r>
      <w:r w:rsidRPr="00117F02">
        <w:rPr>
          <w:rFonts w:asciiTheme="majorBidi" w:eastAsia="Calibri" w:hAnsiTheme="majorBidi" w:cstheme="majorBidi"/>
          <w:lang w:val="en-US"/>
        </w:rPr>
        <w:t>G, O</w:t>
      </w:r>
      <w:r w:rsidRPr="00617CB4">
        <w:rPr>
          <w:rFonts w:asciiTheme="majorBidi" w:eastAsia="Calibri" w:hAnsiTheme="majorBidi" w:cstheme="majorBidi"/>
          <w:vertAlign w:val="subscript"/>
          <w:lang w:val="en-US"/>
        </w:rPr>
        <w:t>1</w:t>
      </w:r>
      <w:r w:rsidRPr="00117F02">
        <w:rPr>
          <w:rFonts w:asciiTheme="majorBidi" w:eastAsia="Calibri" w:hAnsiTheme="majorBidi" w:cstheme="majorBidi"/>
          <w:lang w:val="en-US"/>
        </w:rPr>
        <w:t xml:space="preserve"> and O</w:t>
      </w:r>
      <w:r w:rsidRPr="00617CB4">
        <w:rPr>
          <w:rFonts w:asciiTheme="majorBidi" w:eastAsia="Calibri" w:hAnsiTheme="majorBidi" w:cstheme="majorBidi"/>
          <w:vertAlign w:val="subscript"/>
          <w:lang w:val="en-US"/>
        </w:rPr>
        <w:t>2</w:t>
      </w:r>
      <w:r>
        <w:rPr>
          <w:rFonts w:asciiTheme="majorBidi" w:eastAsia="Calibri" w:hAnsiTheme="majorBidi" w:cstheme="majorBidi"/>
          <w:lang w:val="en-US"/>
        </w:rPr>
        <w:t>.</w:t>
      </w:r>
      <w:r w:rsidRPr="008551C8">
        <w:rPr>
          <w:rFonts w:asciiTheme="majorBidi" w:eastAsia="Calibri" w:hAnsiTheme="majorBidi" w:cstheme="majorBidi"/>
          <w:vertAlign w:val="superscript"/>
          <w:lang w:val="en-US"/>
        </w:rPr>
        <w:t>1</w:t>
      </w:r>
      <w:r>
        <w:rPr>
          <w:rFonts w:asciiTheme="majorBidi" w:eastAsia="Calibri" w:hAnsiTheme="majorBidi" w:cstheme="majorBidi"/>
          <w:lang w:val="en-US"/>
        </w:rPr>
        <w:t xml:space="preserve"> </w:t>
      </w:r>
    </w:p>
    <w:p w14:paraId="2D1BB29D" w14:textId="77777777" w:rsidR="00C13286" w:rsidRPr="00B512B9" w:rsidRDefault="00C13286" w:rsidP="00C13286">
      <w:pPr>
        <w:suppressAutoHyphens w:val="0"/>
        <w:autoSpaceDE w:val="0"/>
        <w:autoSpaceDN w:val="0"/>
        <w:adjustRightInd w:val="0"/>
        <w:spacing w:after="120"/>
        <w:ind w:left="2268" w:right="1134"/>
        <w:jc w:val="both"/>
        <w:rPr>
          <w:rFonts w:asciiTheme="majorBidi" w:eastAsia="Calibri" w:hAnsiTheme="majorBidi" w:cstheme="majorBidi"/>
          <w:lang w:val="en-US"/>
        </w:rPr>
      </w:pPr>
      <w:r w:rsidRPr="00B512B9">
        <w:rPr>
          <w:rFonts w:asciiTheme="majorBidi" w:eastAsia="Calibri" w:hAnsiTheme="majorBidi" w:cstheme="majorBidi"/>
          <w:lang w:val="en-US"/>
        </w:rPr>
        <w:t xml:space="preserve">It does not apply to original equipment wheels or vehicle manufacturer’s replacement wheels as defined in paragraphs 2.3. and 2.4.1. It does not apply to "Special wheels", as defined in paragraph 2.5., which shall remain subjected to national approval.  </w:t>
      </w:r>
    </w:p>
    <w:p w14:paraId="1AA004E2" w14:textId="77777777" w:rsidR="00C13286" w:rsidRPr="00B512B9" w:rsidRDefault="00C13286" w:rsidP="00C13286">
      <w:pPr>
        <w:suppressAutoHyphens w:val="0"/>
        <w:autoSpaceDE w:val="0"/>
        <w:autoSpaceDN w:val="0"/>
        <w:adjustRightInd w:val="0"/>
        <w:spacing w:after="120"/>
        <w:ind w:left="2268" w:right="1134"/>
        <w:jc w:val="both"/>
        <w:rPr>
          <w:rFonts w:asciiTheme="majorBidi" w:eastAsiaTheme="minorHAnsi" w:hAnsiTheme="majorBidi" w:cstheme="majorBidi"/>
          <w:lang w:val="en-US"/>
        </w:rPr>
      </w:pPr>
      <w:r w:rsidRPr="00B512B9">
        <w:rPr>
          <w:rFonts w:asciiTheme="majorBidi" w:eastAsia="Calibri" w:hAnsiTheme="majorBidi" w:cstheme="majorBidi"/>
          <w:lang w:val="en-US"/>
        </w:rPr>
        <w:t>It does not apply to wheels with less than three-wheel fixing components (studs or nuts) which are not i</w:t>
      </w:r>
      <w:r w:rsidRPr="00B512B9">
        <w:rPr>
          <w:rFonts w:asciiTheme="majorBidi" w:eastAsiaTheme="minorHAnsi" w:hAnsiTheme="majorBidi" w:cstheme="majorBidi"/>
          <w:lang w:val="en-US"/>
        </w:rPr>
        <w:t>dentical replacement wheels.</w:t>
      </w:r>
    </w:p>
    <w:p w14:paraId="07E80F66" w14:textId="77777777" w:rsidR="00C13286" w:rsidRPr="00B512B9" w:rsidRDefault="00C13286" w:rsidP="00C13286">
      <w:pPr>
        <w:suppressAutoHyphens w:val="0"/>
        <w:spacing w:after="120"/>
        <w:ind w:left="2268" w:right="1134"/>
        <w:jc w:val="both"/>
        <w:rPr>
          <w:rFonts w:asciiTheme="majorBidi" w:eastAsia="Calibri" w:hAnsiTheme="majorBidi" w:cstheme="majorBidi"/>
          <w:lang w:val="en-US"/>
        </w:rPr>
      </w:pPr>
      <w:r w:rsidRPr="00B512B9">
        <w:rPr>
          <w:rFonts w:asciiTheme="majorBidi" w:eastAsia="Calibri" w:hAnsiTheme="majorBidi" w:cstheme="majorBidi"/>
          <w:lang w:val="en-US"/>
        </w:rPr>
        <w:t>This Regulation comprises requirements for wheel manufacture and installation.</w:t>
      </w:r>
      <w:r>
        <w:rPr>
          <w:rFonts w:asciiTheme="majorBidi" w:eastAsia="Calibri" w:hAnsiTheme="majorBidi" w:cstheme="majorBidi"/>
          <w:lang w:val="en-US"/>
        </w:rPr>
        <w:t>"</w:t>
      </w:r>
    </w:p>
    <w:p w14:paraId="6CA35F7E" w14:textId="77777777" w:rsidR="00C13286" w:rsidRPr="00B512B9" w:rsidRDefault="00C13286" w:rsidP="00C13286">
      <w:pPr>
        <w:suppressAutoHyphens w:val="0"/>
        <w:autoSpaceDE w:val="0"/>
        <w:autoSpaceDN w:val="0"/>
        <w:adjustRightInd w:val="0"/>
        <w:spacing w:after="120"/>
        <w:ind w:left="1134" w:right="1134"/>
        <w:jc w:val="both"/>
        <w:rPr>
          <w:rFonts w:asciiTheme="majorBidi" w:eastAsia="Calibri" w:hAnsiTheme="majorBidi" w:cstheme="majorBidi"/>
          <w:i/>
          <w:iCs/>
          <w:lang w:val="en-US"/>
        </w:rPr>
      </w:pPr>
      <w:r w:rsidRPr="00B512B9">
        <w:rPr>
          <w:rFonts w:asciiTheme="majorBidi" w:eastAsia="Calibri" w:hAnsiTheme="majorBidi" w:cstheme="majorBidi"/>
          <w:i/>
          <w:iCs/>
          <w:lang w:val="en-US"/>
        </w:rPr>
        <w:t xml:space="preserve">Annex 6 </w:t>
      </w:r>
    </w:p>
    <w:p w14:paraId="529361C1" w14:textId="77777777" w:rsidR="00C13286" w:rsidRPr="00B512B9" w:rsidRDefault="00C13286" w:rsidP="00C13286">
      <w:pPr>
        <w:suppressAutoHyphens w:val="0"/>
        <w:autoSpaceDE w:val="0"/>
        <w:autoSpaceDN w:val="0"/>
        <w:adjustRightInd w:val="0"/>
        <w:spacing w:after="120"/>
        <w:ind w:left="1134" w:right="1134"/>
        <w:jc w:val="both"/>
        <w:rPr>
          <w:rFonts w:asciiTheme="majorBidi" w:eastAsia="Calibri" w:hAnsiTheme="majorBidi" w:cstheme="majorBidi"/>
          <w:i/>
          <w:lang w:val="en-US"/>
        </w:rPr>
      </w:pPr>
      <w:r w:rsidRPr="00B512B9">
        <w:rPr>
          <w:rFonts w:asciiTheme="majorBidi" w:eastAsia="Calibri" w:hAnsiTheme="majorBidi" w:cstheme="majorBidi"/>
          <w:i/>
          <w:iCs/>
          <w:lang w:val="en-US"/>
        </w:rPr>
        <w:t xml:space="preserve">Paragraph 4., </w:t>
      </w:r>
      <w:r w:rsidRPr="00B512B9">
        <w:rPr>
          <w:rFonts w:asciiTheme="majorBidi" w:eastAsia="Calibri" w:hAnsiTheme="majorBidi" w:cstheme="majorBidi"/>
          <w:lang w:val="en-US"/>
        </w:rPr>
        <w:t>amend to read:</w:t>
      </w:r>
    </w:p>
    <w:p w14:paraId="7B1A020D" w14:textId="77777777" w:rsidR="00C13286" w:rsidRPr="00B512B9" w:rsidRDefault="00C13286" w:rsidP="00C13286">
      <w:pPr>
        <w:tabs>
          <w:tab w:val="left" w:pos="1021"/>
        </w:tabs>
        <w:suppressAutoHyphens w:val="0"/>
        <w:spacing w:after="120"/>
        <w:ind w:left="1134" w:right="1134"/>
        <w:jc w:val="both"/>
        <w:rPr>
          <w:rFonts w:asciiTheme="majorBidi" w:eastAsia="Calibri" w:hAnsiTheme="majorBidi" w:cstheme="majorBidi"/>
          <w:lang w:val="en-US"/>
        </w:rPr>
      </w:pPr>
      <w:r>
        <w:rPr>
          <w:rFonts w:asciiTheme="majorBidi" w:eastAsia="Calibri" w:hAnsiTheme="majorBidi" w:cstheme="majorBidi"/>
          <w:lang w:val="en-US"/>
        </w:rPr>
        <w:t>"</w:t>
      </w:r>
      <w:r w:rsidRPr="00B512B9">
        <w:rPr>
          <w:rFonts w:asciiTheme="majorBidi" w:eastAsia="Calibri" w:hAnsiTheme="majorBidi" w:cstheme="majorBidi"/>
          <w:lang w:val="en-US"/>
        </w:rPr>
        <w:t>Necessary tests:</w:t>
      </w:r>
    </w:p>
    <w:tbl>
      <w:tblPr>
        <w:tblW w:w="757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2"/>
        <w:gridCol w:w="1701"/>
      </w:tblGrid>
      <w:tr w:rsidR="00C13286" w:rsidRPr="00B512B9" w14:paraId="478BE7AC" w14:textId="77777777" w:rsidTr="0085603F">
        <w:trPr>
          <w:trHeight w:val="226"/>
        </w:trPr>
        <w:tc>
          <w:tcPr>
            <w:tcW w:w="4536" w:type="dxa"/>
            <w:vMerge w:val="restart"/>
          </w:tcPr>
          <w:p w14:paraId="2FCD9DDE" w14:textId="77777777" w:rsidR="00C13286" w:rsidRPr="00B512B9" w:rsidRDefault="00C13286" w:rsidP="0085603F">
            <w:pPr>
              <w:suppressAutoHyphens w:val="0"/>
              <w:spacing w:before="80" w:after="80" w:line="200" w:lineRule="exact"/>
              <w:ind w:left="282" w:right="436"/>
              <w:jc w:val="center"/>
              <w:rPr>
                <w:rFonts w:asciiTheme="majorBidi" w:eastAsia="Calibri" w:hAnsiTheme="majorBidi" w:cstheme="majorBidi"/>
                <w:i/>
                <w:iCs/>
                <w:sz w:val="16"/>
                <w:szCs w:val="16"/>
                <w:lang w:val="en-US"/>
              </w:rPr>
            </w:pPr>
            <w:r w:rsidRPr="00B512B9">
              <w:rPr>
                <w:rFonts w:asciiTheme="majorBidi" w:eastAsia="Calibri" w:hAnsiTheme="majorBidi" w:cstheme="majorBidi"/>
                <w:i/>
                <w:iCs/>
                <w:sz w:val="16"/>
                <w:szCs w:val="16"/>
                <w:lang w:val="en-US"/>
              </w:rPr>
              <w:t>Number of wheels to be tested</w:t>
            </w:r>
          </w:p>
        </w:tc>
        <w:tc>
          <w:tcPr>
            <w:tcW w:w="3043" w:type="dxa"/>
            <w:gridSpan w:val="2"/>
            <w:tcBorders>
              <w:bottom w:val="single" w:sz="4" w:space="0" w:color="auto"/>
            </w:tcBorders>
          </w:tcPr>
          <w:p w14:paraId="7E2E0BE9" w14:textId="77777777" w:rsidR="00C13286" w:rsidRPr="00B512B9" w:rsidRDefault="00C13286" w:rsidP="0085603F">
            <w:pPr>
              <w:suppressAutoHyphens w:val="0"/>
              <w:spacing w:before="80" w:after="80" w:line="200" w:lineRule="exact"/>
              <w:ind w:right="71"/>
              <w:jc w:val="center"/>
              <w:rPr>
                <w:rFonts w:asciiTheme="majorBidi" w:eastAsia="Calibri" w:hAnsiTheme="majorBidi" w:cstheme="majorBidi"/>
                <w:i/>
                <w:iCs/>
                <w:sz w:val="16"/>
                <w:szCs w:val="16"/>
                <w:lang w:val="en-US"/>
              </w:rPr>
            </w:pPr>
            <w:r w:rsidRPr="00B512B9">
              <w:rPr>
                <w:rFonts w:asciiTheme="majorBidi" w:eastAsia="Calibri" w:hAnsiTheme="majorBidi" w:cstheme="majorBidi"/>
                <w:i/>
                <w:iCs/>
                <w:sz w:val="16"/>
                <w:szCs w:val="16"/>
                <w:lang w:val="en-US"/>
              </w:rPr>
              <w:t>Rotating bending test</w:t>
            </w:r>
          </w:p>
        </w:tc>
      </w:tr>
      <w:tr w:rsidR="00C13286" w:rsidRPr="00B512B9" w14:paraId="1AA4C291" w14:textId="77777777" w:rsidTr="0085603F">
        <w:trPr>
          <w:trHeight w:val="320"/>
        </w:trPr>
        <w:tc>
          <w:tcPr>
            <w:tcW w:w="4536" w:type="dxa"/>
            <w:vMerge/>
            <w:tcBorders>
              <w:bottom w:val="single" w:sz="12" w:space="0" w:color="auto"/>
            </w:tcBorders>
          </w:tcPr>
          <w:p w14:paraId="5D439F67" w14:textId="77777777" w:rsidR="00C13286" w:rsidRPr="00B512B9" w:rsidRDefault="00C13286" w:rsidP="0085603F">
            <w:pPr>
              <w:suppressAutoHyphens w:val="0"/>
              <w:spacing w:before="80" w:after="80" w:line="200" w:lineRule="exact"/>
              <w:ind w:left="282" w:right="436"/>
              <w:jc w:val="center"/>
              <w:rPr>
                <w:rFonts w:asciiTheme="majorBidi" w:eastAsia="Calibri" w:hAnsiTheme="majorBidi" w:cstheme="majorBidi"/>
                <w:i/>
                <w:iCs/>
                <w:sz w:val="18"/>
                <w:szCs w:val="18"/>
                <w:lang w:val="en-US"/>
              </w:rPr>
            </w:pPr>
          </w:p>
        </w:tc>
        <w:tc>
          <w:tcPr>
            <w:tcW w:w="1342" w:type="dxa"/>
            <w:tcBorders>
              <w:top w:val="single" w:sz="4" w:space="0" w:color="auto"/>
              <w:bottom w:val="single" w:sz="12" w:space="0" w:color="auto"/>
            </w:tcBorders>
          </w:tcPr>
          <w:p w14:paraId="06471E2B" w14:textId="77777777" w:rsidR="00C13286" w:rsidRPr="00B512B9" w:rsidRDefault="00C13286" w:rsidP="0085603F">
            <w:pPr>
              <w:suppressAutoHyphens w:val="0"/>
              <w:spacing w:before="80" w:after="80" w:line="200" w:lineRule="exact"/>
              <w:jc w:val="center"/>
              <w:rPr>
                <w:rFonts w:asciiTheme="majorBidi" w:eastAsia="Calibri" w:hAnsiTheme="majorBidi" w:cstheme="majorBidi"/>
                <w:i/>
                <w:iCs/>
                <w:sz w:val="16"/>
                <w:szCs w:val="16"/>
                <w:lang w:val="de-DE"/>
              </w:rPr>
            </w:pPr>
            <w:r w:rsidRPr="00B512B9">
              <w:rPr>
                <w:rFonts w:asciiTheme="majorBidi" w:eastAsia="Calibri" w:hAnsiTheme="majorBidi" w:cstheme="majorBidi"/>
                <w:i/>
                <w:iCs/>
                <w:sz w:val="16"/>
                <w:szCs w:val="16"/>
                <w:lang w:val="en-US"/>
              </w:rPr>
              <w:t>Short test</w:t>
            </w:r>
          </w:p>
        </w:tc>
        <w:tc>
          <w:tcPr>
            <w:tcW w:w="1701" w:type="dxa"/>
            <w:tcBorders>
              <w:top w:val="single" w:sz="4" w:space="0" w:color="auto"/>
              <w:bottom w:val="single" w:sz="12" w:space="0" w:color="auto"/>
            </w:tcBorders>
          </w:tcPr>
          <w:p w14:paraId="715D12BD" w14:textId="77777777" w:rsidR="00C13286" w:rsidRPr="00B512B9" w:rsidRDefault="00C13286" w:rsidP="0085603F">
            <w:pPr>
              <w:suppressAutoHyphens w:val="0"/>
              <w:spacing w:before="80" w:after="80" w:line="200" w:lineRule="exact"/>
              <w:jc w:val="center"/>
              <w:rPr>
                <w:rFonts w:asciiTheme="majorBidi" w:eastAsia="Calibri" w:hAnsiTheme="majorBidi" w:cstheme="majorBidi"/>
                <w:i/>
                <w:iCs/>
                <w:sz w:val="16"/>
                <w:szCs w:val="16"/>
                <w:lang w:val="de-DE"/>
              </w:rPr>
            </w:pPr>
            <w:r w:rsidRPr="00B512B9">
              <w:rPr>
                <w:rFonts w:asciiTheme="majorBidi" w:eastAsia="Calibri" w:hAnsiTheme="majorBidi" w:cstheme="majorBidi"/>
                <w:i/>
                <w:iCs/>
                <w:sz w:val="16"/>
                <w:szCs w:val="16"/>
                <w:lang w:val="en-US"/>
              </w:rPr>
              <w:t>Long test</w:t>
            </w:r>
          </w:p>
        </w:tc>
      </w:tr>
      <w:tr w:rsidR="00C13286" w:rsidRPr="00B512B9" w14:paraId="26B89F67" w14:textId="77777777" w:rsidTr="0085603F">
        <w:trPr>
          <w:trHeight w:val="768"/>
        </w:trPr>
        <w:tc>
          <w:tcPr>
            <w:tcW w:w="4536" w:type="dxa"/>
            <w:tcBorders>
              <w:top w:val="single" w:sz="12" w:space="0" w:color="auto"/>
            </w:tcBorders>
          </w:tcPr>
          <w:p w14:paraId="3DC8E95A" w14:textId="77777777" w:rsidR="00C13286" w:rsidRPr="00B512B9" w:rsidRDefault="00C13286" w:rsidP="0085603F">
            <w:pPr>
              <w:suppressAutoHyphens w:val="0"/>
              <w:ind w:left="282" w:right="436"/>
              <w:jc w:val="both"/>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Minimum PCD</w:t>
            </w:r>
          </w:p>
          <w:p w14:paraId="5FACEFC5" w14:textId="77777777" w:rsidR="00C13286" w:rsidRPr="00B512B9" w:rsidRDefault="00C13286" w:rsidP="0085603F">
            <w:pPr>
              <w:suppressAutoHyphens w:val="0"/>
              <w:ind w:left="282" w:right="436"/>
              <w:jc w:val="both"/>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Maximum PCD</w:t>
            </w:r>
          </w:p>
          <w:p w14:paraId="08773CC0" w14:textId="77777777" w:rsidR="00C13286" w:rsidRPr="00B512B9" w:rsidRDefault="00C13286" w:rsidP="0085603F">
            <w:pPr>
              <w:suppressAutoHyphens w:val="0"/>
              <w:ind w:left="282" w:right="436"/>
              <w:jc w:val="both"/>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If only one PCD</w:t>
            </w:r>
          </w:p>
        </w:tc>
        <w:tc>
          <w:tcPr>
            <w:tcW w:w="1342" w:type="dxa"/>
            <w:tcBorders>
              <w:top w:val="single" w:sz="12" w:space="0" w:color="auto"/>
            </w:tcBorders>
          </w:tcPr>
          <w:p w14:paraId="61623F9B" w14:textId="77777777" w:rsidR="00C13286" w:rsidRPr="00B512B9" w:rsidRDefault="00C13286" w:rsidP="0085603F">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1</w:t>
            </w:r>
          </w:p>
          <w:p w14:paraId="112EFD72" w14:textId="77777777" w:rsidR="00C13286" w:rsidRPr="00B512B9" w:rsidRDefault="00C13286" w:rsidP="0085603F">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1</w:t>
            </w:r>
          </w:p>
          <w:p w14:paraId="52BDB39D" w14:textId="77777777" w:rsidR="00C13286" w:rsidRPr="00B512B9" w:rsidRDefault="00C13286" w:rsidP="0085603F">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2</w:t>
            </w:r>
          </w:p>
        </w:tc>
        <w:tc>
          <w:tcPr>
            <w:tcW w:w="1701" w:type="dxa"/>
            <w:tcBorders>
              <w:top w:val="single" w:sz="12" w:space="0" w:color="auto"/>
            </w:tcBorders>
          </w:tcPr>
          <w:p w14:paraId="52A06686" w14:textId="77777777" w:rsidR="00C13286" w:rsidRPr="00B512B9" w:rsidRDefault="00C13286" w:rsidP="0085603F">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1</w:t>
            </w:r>
          </w:p>
          <w:p w14:paraId="6E8A105F" w14:textId="77777777" w:rsidR="00C13286" w:rsidRPr="00B512B9" w:rsidRDefault="00C13286" w:rsidP="0085603F">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1</w:t>
            </w:r>
          </w:p>
          <w:p w14:paraId="41A309B8" w14:textId="77777777" w:rsidR="00C13286" w:rsidRPr="00B512B9" w:rsidRDefault="00C13286" w:rsidP="0085603F">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2</w:t>
            </w:r>
          </w:p>
        </w:tc>
      </w:tr>
      <w:tr w:rsidR="00C13286" w:rsidRPr="00B512B9" w14:paraId="2830707D" w14:textId="77777777" w:rsidTr="0085603F">
        <w:trPr>
          <w:trHeight w:val="473"/>
        </w:trPr>
        <w:tc>
          <w:tcPr>
            <w:tcW w:w="4536" w:type="dxa"/>
            <w:tcBorders>
              <w:bottom w:val="single" w:sz="4" w:space="0" w:color="auto"/>
            </w:tcBorders>
          </w:tcPr>
          <w:p w14:paraId="13C7F7CE" w14:textId="77777777" w:rsidR="00C13286" w:rsidRPr="00B512B9" w:rsidRDefault="00C13286" w:rsidP="0085603F">
            <w:pPr>
              <w:suppressAutoHyphens w:val="0"/>
              <w:ind w:left="282" w:right="436"/>
              <w:jc w:val="both"/>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If a type comprises more than two versions with different PCD, additional tests on each version with PCD different to tested version:</w:t>
            </w:r>
          </w:p>
          <w:p w14:paraId="797A54F4" w14:textId="77777777" w:rsidR="00C13286" w:rsidRPr="00B512B9" w:rsidRDefault="00C13286" w:rsidP="0085603F">
            <w:pPr>
              <w:suppressAutoHyphens w:val="0"/>
              <w:ind w:left="282" w:right="436"/>
              <w:jc w:val="both"/>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PCD difference to a tested version ≤ 6,5 mm</w:t>
            </w:r>
          </w:p>
          <w:p w14:paraId="6519FA8B" w14:textId="77777777" w:rsidR="00C13286" w:rsidRPr="00B512B9" w:rsidRDefault="00C13286" w:rsidP="0085603F">
            <w:pPr>
              <w:suppressAutoHyphens w:val="0"/>
              <w:ind w:left="282" w:right="436"/>
              <w:jc w:val="both"/>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PCD difference to a tested version &gt; 6,5 mm</w:t>
            </w:r>
          </w:p>
        </w:tc>
        <w:tc>
          <w:tcPr>
            <w:tcW w:w="1342" w:type="dxa"/>
            <w:tcBorders>
              <w:bottom w:val="single" w:sz="4" w:space="0" w:color="auto"/>
            </w:tcBorders>
          </w:tcPr>
          <w:p w14:paraId="30AD8189" w14:textId="77777777" w:rsidR="00C13286" w:rsidRPr="00B512B9" w:rsidRDefault="00C13286" w:rsidP="0085603F">
            <w:pPr>
              <w:suppressAutoHyphens w:val="0"/>
              <w:jc w:val="center"/>
              <w:rPr>
                <w:rFonts w:asciiTheme="majorBidi" w:eastAsia="Calibri" w:hAnsiTheme="majorBidi" w:cstheme="majorBidi"/>
                <w:sz w:val="18"/>
                <w:szCs w:val="18"/>
                <w:lang w:val="en-US"/>
              </w:rPr>
            </w:pPr>
          </w:p>
          <w:p w14:paraId="0B4F32D9" w14:textId="77777777" w:rsidR="00C13286" w:rsidRPr="00B512B9" w:rsidRDefault="00C13286" w:rsidP="0085603F">
            <w:pPr>
              <w:suppressAutoHyphens w:val="0"/>
              <w:jc w:val="center"/>
              <w:rPr>
                <w:rFonts w:asciiTheme="majorBidi" w:eastAsia="Calibri" w:hAnsiTheme="majorBidi" w:cstheme="majorBidi"/>
                <w:sz w:val="18"/>
                <w:szCs w:val="18"/>
                <w:lang w:val="en-US"/>
              </w:rPr>
            </w:pPr>
          </w:p>
          <w:p w14:paraId="785E6CA5" w14:textId="77777777" w:rsidR="00C13286" w:rsidRPr="00B512B9" w:rsidRDefault="00C13286" w:rsidP="0085603F">
            <w:pPr>
              <w:suppressAutoHyphens w:val="0"/>
              <w:jc w:val="center"/>
              <w:rPr>
                <w:rFonts w:asciiTheme="majorBidi" w:eastAsia="Calibri" w:hAnsiTheme="majorBidi" w:cstheme="majorBidi"/>
                <w:sz w:val="18"/>
                <w:szCs w:val="18"/>
                <w:lang w:val="en-US"/>
              </w:rPr>
            </w:pPr>
          </w:p>
          <w:p w14:paraId="597AF086" w14:textId="77777777" w:rsidR="00C13286" w:rsidRPr="00B512B9" w:rsidRDefault="00C13286" w:rsidP="0085603F">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w:t>
            </w:r>
          </w:p>
          <w:p w14:paraId="5C6A24D0" w14:textId="77777777" w:rsidR="00C13286" w:rsidRPr="00B512B9" w:rsidRDefault="00C13286" w:rsidP="0085603F">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1</w:t>
            </w:r>
          </w:p>
        </w:tc>
        <w:tc>
          <w:tcPr>
            <w:tcW w:w="1701" w:type="dxa"/>
            <w:tcBorders>
              <w:bottom w:val="single" w:sz="4" w:space="0" w:color="auto"/>
            </w:tcBorders>
          </w:tcPr>
          <w:p w14:paraId="6F131B1F" w14:textId="77777777" w:rsidR="00C13286" w:rsidRPr="00B512B9" w:rsidRDefault="00C13286" w:rsidP="0085603F">
            <w:pPr>
              <w:suppressAutoHyphens w:val="0"/>
              <w:jc w:val="center"/>
              <w:rPr>
                <w:rFonts w:asciiTheme="majorBidi" w:eastAsia="Calibri" w:hAnsiTheme="majorBidi" w:cstheme="majorBidi"/>
                <w:sz w:val="18"/>
                <w:szCs w:val="18"/>
                <w:lang w:val="en-US"/>
              </w:rPr>
            </w:pPr>
          </w:p>
          <w:p w14:paraId="4B04731D" w14:textId="77777777" w:rsidR="00C13286" w:rsidRPr="00B512B9" w:rsidRDefault="00C13286" w:rsidP="0085603F">
            <w:pPr>
              <w:suppressAutoHyphens w:val="0"/>
              <w:jc w:val="center"/>
              <w:rPr>
                <w:rFonts w:asciiTheme="majorBidi" w:eastAsia="Calibri" w:hAnsiTheme="majorBidi" w:cstheme="majorBidi"/>
                <w:sz w:val="18"/>
                <w:szCs w:val="18"/>
                <w:lang w:val="en-US"/>
              </w:rPr>
            </w:pPr>
          </w:p>
          <w:p w14:paraId="04C10D4F" w14:textId="77777777" w:rsidR="00C13286" w:rsidRPr="00B512B9" w:rsidRDefault="00C13286" w:rsidP="0085603F">
            <w:pPr>
              <w:suppressAutoHyphens w:val="0"/>
              <w:jc w:val="center"/>
              <w:rPr>
                <w:rFonts w:asciiTheme="majorBidi" w:eastAsia="Calibri" w:hAnsiTheme="majorBidi" w:cstheme="majorBidi"/>
                <w:sz w:val="18"/>
                <w:szCs w:val="18"/>
                <w:lang w:val="en-US"/>
              </w:rPr>
            </w:pPr>
          </w:p>
          <w:p w14:paraId="7D284725" w14:textId="77777777" w:rsidR="00C13286" w:rsidRPr="00B512B9" w:rsidRDefault="00C13286" w:rsidP="0085603F">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w:t>
            </w:r>
          </w:p>
          <w:p w14:paraId="0D3E402B" w14:textId="77777777" w:rsidR="00C13286" w:rsidRPr="00B512B9" w:rsidRDefault="00C13286" w:rsidP="0085603F">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1</w:t>
            </w:r>
          </w:p>
        </w:tc>
      </w:tr>
      <w:tr w:rsidR="00C13286" w:rsidRPr="00B512B9" w14:paraId="35B3DC10" w14:textId="77777777" w:rsidTr="0085603F">
        <w:trPr>
          <w:trHeight w:val="761"/>
        </w:trPr>
        <w:tc>
          <w:tcPr>
            <w:tcW w:w="4536" w:type="dxa"/>
            <w:tcBorders>
              <w:bottom w:val="single" w:sz="12" w:space="0" w:color="auto"/>
            </w:tcBorders>
          </w:tcPr>
          <w:p w14:paraId="65582E18" w14:textId="77777777" w:rsidR="00C13286" w:rsidRPr="00B512B9" w:rsidRDefault="00C13286" w:rsidP="0085603F">
            <w:pPr>
              <w:suppressAutoHyphens w:val="0"/>
              <w:ind w:left="284" w:right="437"/>
              <w:jc w:val="both"/>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Insert variation up to 2 mm</w:t>
            </w:r>
          </w:p>
          <w:p w14:paraId="02ED41E3" w14:textId="77777777" w:rsidR="00C13286" w:rsidRPr="00B512B9" w:rsidRDefault="00C13286" w:rsidP="0085603F">
            <w:pPr>
              <w:suppressAutoHyphens w:val="0"/>
              <w:ind w:left="284" w:right="437"/>
              <w:jc w:val="both"/>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From 2 mm to 5 mm</w:t>
            </w:r>
          </w:p>
          <w:p w14:paraId="63055BE8" w14:textId="77777777" w:rsidR="00C13286" w:rsidRPr="00B512B9" w:rsidRDefault="00C13286" w:rsidP="0085603F">
            <w:pPr>
              <w:suppressAutoHyphens w:val="0"/>
              <w:ind w:left="284" w:right="437"/>
              <w:jc w:val="both"/>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&gt; 5 mm</w:t>
            </w:r>
          </w:p>
        </w:tc>
        <w:tc>
          <w:tcPr>
            <w:tcW w:w="1342" w:type="dxa"/>
            <w:tcBorders>
              <w:bottom w:val="single" w:sz="12" w:space="0" w:color="auto"/>
            </w:tcBorders>
          </w:tcPr>
          <w:p w14:paraId="5FA3C732" w14:textId="77777777" w:rsidR="00C13286" w:rsidRPr="00B512B9" w:rsidRDefault="00C13286" w:rsidP="0085603F">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w:t>
            </w:r>
          </w:p>
          <w:p w14:paraId="291DB9EF" w14:textId="77777777" w:rsidR="00C13286" w:rsidRPr="00B512B9" w:rsidRDefault="00C13286" w:rsidP="0085603F">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1</w:t>
            </w:r>
          </w:p>
          <w:p w14:paraId="7472C775" w14:textId="77777777" w:rsidR="00C13286" w:rsidRPr="00B512B9" w:rsidRDefault="00C13286" w:rsidP="0085603F">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1</w:t>
            </w:r>
          </w:p>
        </w:tc>
        <w:tc>
          <w:tcPr>
            <w:tcW w:w="1701" w:type="dxa"/>
            <w:tcBorders>
              <w:bottom w:val="single" w:sz="12" w:space="0" w:color="auto"/>
            </w:tcBorders>
          </w:tcPr>
          <w:p w14:paraId="725AD833" w14:textId="77777777" w:rsidR="00C13286" w:rsidRPr="00B512B9" w:rsidRDefault="00C13286" w:rsidP="0085603F">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w:t>
            </w:r>
          </w:p>
          <w:p w14:paraId="222510BE" w14:textId="77777777" w:rsidR="00C13286" w:rsidRPr="00B512B9" w:rsidRDefault="00C13286" w:rsidP="0085603F">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w:t>
            </w:r>
          </w:p>
          <w:p w14:paraId="03001860" w14:textId="77777777" w:rsidR="00C13286" w:rsidRPr="00B512B9" w:rsidRDefault="00C13286" w:rsidP="0085603F">
            <w:pPr>
              <w:suppressAutoHyphens w:val="0"/>
              <w:jc w:val="center"/>
              <w:rPr>
                <w:rFonts w:asciiTheme="majorBidi" w:eastAsia="Calibri" w:hAnsiTheme="majorBidi" w:cstheme="majorBidi"/>
                <w:sz w:val="18"/>
                <w:szCs w:val="18"/>
                <w:lang w:val="en-US"/>
              </w:rPr>
            </w:pPr>
            <w:r w:rsidRPr="00B512B9">
              <w:rPr>
                <w:rFonts w:asciiTheme="majorBidi" w:eastAsia="Calibri" w:hAnsiTheme="majorBidi" w:cstheme="majorBidi"/>
                <w:sz w:val="18"/>
                <w:szCs w:val="18"/>
                <w:lang w:val="en-US"/>
              </w:rPr>
              <w:t>1</w:t>
            </w:r>
          </w:p>
        </w:tc>
      </w:tr>
    </w:tbl>
    <w:p w14:paraId="500E2CB4" w14:textId="77777777" w:rsidR="00C13286" w:rsidRPr="000304AE" w:rsidRDefault="00C13286" w:rsidP="00C13286">
      <w:pPr>
        <w:suppressAutoHyphens w:val="0"/>
        <w:autoSpaceDE w:val="0"/>
        <w:autoSpaceDN w:val="0"/>
        <w:adjustRightInd w:val="0"/>
        <w:spacing w:before="120" w:after="120"/>
        <w:ind w:left="1134" w:right="1134"/>
        <w:jc w:val="right"/>
        <w:rPr>
          <w:rFonts w:asciiTheme="majorBidi" w:eastAsia="Calibri" w:hAnsiTheme="majorBidi" w:cstheme="majorBidi"/>
          <w:lang w:val="en-US"/>
        </w:rPr>
      </w:pPr>
      <w:r w:rsidRPr="000304AE">
        <w:rPr>
          <w:rFonts w:asciiTheme="majorBidi" w:eastAsia="Calibri" w:hAnsiTheme="majorBidi" w:cstheme="majorBidi"/>
          <w:lang w:val="en-US"/>
        </w:rPr>
        <w:t>"</w:t>
      </w:r>
    </w:p>
    <w:p w14:paraId="4AD5CC88" w14:textId="77777777" w:rsidR="00C13286" w:rsidRPr="00B512B9" w:rsidRDefault="00C13286" w:rsidP="00C13286">
      <w:pPr>
        <w:suppressAutoHyphens w:val="0"/>
        <w:autoSpaceDE w:val="0"/>
        <w:autoSpaceDN w:val="0"/>
        <w:adjustRightInd w:val="0"/>
        <w:spacing w:before="120" w:after="120"/>
        <w:ind w:left="1134" w:right="1134"/>
        <w:jc w:val="both"/>
        <w:rPr>
          <w:rFonts w:asciiTheme="majorBidi" w:eastAsia="Calibri" w:hAnsiTheme="majorBidi" w:cstheme="majorBidi"/>
          <w:lang w:val="en-US"/>
        </w:rPr>
      </w:pPr>
      <w:r w:rsidRPr="00B512B9">
        <w:rPr>
          <w:rFonts w:asciiTheme="majorBidi" w:eastAsia="Calibri" w:hAnsiTheme="majorBidi" w:cstheme="majorBidi"/>
          <w:i/>
          <w:iCs/>
          <w:lang w:val="en-US"/>
        </w:rPr>
        <w:t xml:space="preserve">Paragraph 6.5., </w:t>
      </w:r>
      <w:r w:rsidRPr="00B512B9">
        <w:rPr>
          <w:rFonts w:asciiTheme="majorBidi" w:eastAsia="Calibri" w:hAnsiTheme="majorBidi" w:cstheme="majorBidi"/>
          <w:lang w:val="en-US"/>
        </w:rPr>
        <w:t>amend to read:</w:t>
      </w:r>
    </w:p>
    <w:p w14:paraId="071460C4" w14:textId="77777777" w:rsidR="00C13286" w:rsidRPr="00B512B9" w:rsidRDefault="00C13286" w:rsidP="00C13286">
      <w:pPr>
        <w:suppressAutoHyphens w:val="0"/>
        <w:autoSpaceDE w:val="0"/>
        <w:autoSpaceDN w:val="0"/>
        <w:adjustRightInd w:val="0"/>
        <w:spacing w:after="120"/>
        <w:ind w:left="2268" w:right="1134" w:hanging="1134"/>
        <w:jc w:val="both"/>
        <w:rPr>
          <w:rFonts w:asciiTheme="majorBidi" w:eastAsiaTheme="minorHAnsi" w:hAnsiTheme="majorBidi" w:cstheme="majorBidi"/>
          <w:lang w:val="en-US"/>
        </w:rPr>
      </w:pPr>
      <w:r w:rsidRPr="00B512B9">
        <w:rPr>
          <w:rFonts w:asciiTheme="majorBidi" w:eastAsiaTheme="minorHAnsi" w:hAnsiTheme="majorBidi" w:cstheme="majorBidi"/>
          <w:lang w:val="en-US"/>
        </w:rPr>
        <w:t xml:space="preserve">"6.5. </w:t>
      </w:r>
      <w:r w:rsidRPr="00B512B9">
        <w:rPr>
          <w:rFonts w:asciiTheme="majorBidi" w:eastAsiaTheme="minorHAnsi" w:hAnsiTheme="majorBidi" w:cstheme="majorBidi"/>
          <w:lang w:val="en-US"/>
        </w:rPr>
        <w:tab/>
        <w:t xml:space="preserve">The replica replacement </w:t>
      </w:r>
      <w:proofErr w:type="gramStart"/>
      <w:r w:rsidRPr="00B512B9">
        <w:rPr>
          <w:rFonts w:asciiTheme="majorBidi" w:eastAsiaTheme="minorHAnsi" w:hAnsiTheme="majorBidi" w:cstheme="majorBidi"/>
          <w:lang w:val="en-US"/>
        </w:rPr>
        <w:t>wheels</w:t>
      </w:r>
      <w:proofErr w:type="gramEnd"/>
      <w:r w:rsidRPr="00B512B9">
        <w:rPr>
          <w:rFonts w:asciiTheme="majorBidi" w:eastAsiaTheme="minorHAnsi" w:hAnsiTheme="majorBidi" w:cstheme="majorBidi"/>
          <w:lang w:val="en-US"/>
        </w:rPr>
        <w:t xml:space="preserve"> and pattern part replacement wheels shall satisfy the following tests:</w:t>
      </w:r>
    </w:p>
    <w:p w14:paraId="33D0ED23" w14:textId="77777777" w:rsidR="00C13286" w:rsidRPr="00B512B9" w:rsidRDefault="00C13286" w:rsidP="00C13286">
      <w:pPr>
        <w:suppressAutoHyphens w:val="0"/>
        <w:autoSpaceDE w:val="0"/>
        <w:autoSpaceDN w:val="0"/>
        <w:adjustRightInd w:val="0"/>
        <w:spacing w:after="120"/>
        <w:ind w:left="2268" w:right="1134"/>
        <w:jc w:val="both"/>
        <w:rPr>
          <w:rFonts w:asciiTheme="majorBidi" w:eastAsiaTheme="minorHAnsi" w:hAnsiTheme="majorBidi" w:cstheme="majorBidi"/>
          <w:lang w:val="en-US"/>
        </w:rPr>
      </w:pPr>
      <w:r w:rsidRPr="00B512B9">
        <w:rPr>
          <w:rFonts w:asciiTheme="majorBidi" w:eastAsiaTheme="minorHAnsi" w:hAnsiTheme="majorBidi" w:cstheme="majorBidi"/>
          <w:lang w:val="en-US"/>
        </w:rPr>
        <w:t>As an alternative to the test specifications in paragraph 6.5.1.1., the endurance life of replica replacement wheels can be proven in comparison to the endurance life of the vehicle manufacturer's replacement wheels.</w:t>
      </w:r>
    </w:p>
    <w:p w14:paraId="71261873" w14:textId="77777777" w:rsidR="00C13286" w:rsidRPr="00B512B9" w:rsidRDefault="00C13286" w:rsidP="00C13286">
      <w:pPr>
        <w:suppressAutoHyphens w:val="0"/>
        <w:autoSpaceDE w:val="0"/>
        <w:autoSpaceDN w:val="0"/>
        <w:adjustRightInd w:val="0"/>
        <w:spacing w:after="120"/>
        <w:ind w:left="2268" w:right="1134"/>
        <w:jc w:val="both"/>
        <w:rPr>
          <w:rFonts w:asciiTheme="majorBidi" w:eastAsiaTheme="minorHAnsi" w:hAnsiTheme="majorBidi" w:cstheme="majorBidi"/>
          <w:lang w:val="en-US"/>
        </w:rPr>
      </w:pPr>
      <w:r w:rsidRPr="00B512B9">
        <w:rPr>
          <w:rFonts w:asciiTheme="majorBidi" w:eastAsiaTheme="minorHAnsi" w:hAnsiTheme="majorBidi" w:cstheme="majorBidi"/>
          <w:lang w:val="en-US"/>
        </w:rPr>
        <w:t xml:space="preserve">The rotation bending tests on two load levels have to be performed according </w:t>
      </w:r>
      <w:r>
        <w:rPr>
          <w:rFonts w:asciiTheme="majorBidi" w:eastAsiaTheme="minorHAnsi" w:hAnsiTheme="majorBidi" w:cstheme="majorBidi"/>
          <w:lang w:val="en-US"/>
        </w:rPr>
        <w:t>A</w:t>
      </w:r>
      <w:r w:rsidRPr="00B512B9">
        <w:rPr>
          <w:rFonts w:asciiTheme="majorBidi" w:eastAsiaTheme="minorHAnsi" w:hAnsiTheme="majorBidi" w:cstheme="majorBidi"/>
          <w:lang w:val="en-US"/>
        </w:rPr>
        <w:t>nnex 6 as well as rolling test according to Annex 7. These tests have always to be performed in comparison of the replica replacement wheels to the vehicle manufacturer's replacement wheels until the required limits or failure of the wheels.</w:t>
      </w:r>
    </w:p>
    <w:p w14:paraId="5D84F195" w14:textId="77777777" w:rsidR="00C13286" w:rsidRPr="00B512B9" w:rsidRDefault="00C13286" w:rsidP="00C13286">
      <w:pPr>
        <w:suppressAutoHyphens w:val="0"/>
        <w:autoSpaceDE w:val="0"/>
        <w:autoSpaceDN w:val="0"/>
        <w:adjustRightInd w:val="0"/>
        <w:spacing w:after="120"/>
        <w:ind w:left="2268" w:right="1134"/>
        <w:jc w:val="both"/>
        <w:rPr>
          <w:rFonts w:asciiTheme="majorBidi" w:eastAsiaTheme="minorHAnsi" w:hAnsiTheme="majorBidi" w:cstheme="majorBidi"/>
          <w:lang w:val="en-US"/>
        </w:rPr>
      </w:pPr>
      <w:r w:rsidRPr="00B512B9">
        <w:rPr>
          <w:rFonts w:asciiTheme="majorBidi" w:eastAsiaTheme="minorHAnsi" w:hAnsiTheme="majorBidi" w:cstheme="majorBidi"/>
          <w:lang w:val="en-US"/>
        </w:rPr>
        <w:t>Replica replacement wheels must achieve in every level at least the results or better of the vehicle manufacturer's replacement wheels.</w:t>
      </w:r>
    </w:p>
    <w:p w14:paraId="78C8DA08" w14:textId="2C1AE003" w:rsidR="00567652" w:rsidRDefault="00C13286" w:rsidP="0023783E">
      <w:pPr>
        <w:suppressAutoHyphens w:val="0"/>
        <w:autoSpaceDE w:val="0"/>
        <w:autoSpaceDN w:val="0"/>
        <w:adjustRightInd w:val="0"/>
        <w:spacing w:after="120"/>
        <w:ind w:left="2268" w:right="1134"/>
        <w:jc w:val="both"/>
        <w:rPr>
          <w:rFonts w:asciiTheme="majorBidi" w:eastAsiaTheme="minorHAnsi" w:hAnsiTheme="majorBidi" w:cstheme="majorBidi"/>
          <w:lang w:val="en-US"/>
        </w:rPr>
      </w:pPr>
      <w:r w:rsidRPr="00B512B9">
        <w:rPr>
          <w:rFonts w:asciiTheme="majorBidi" w:eastAsiaTheme="minorHAnsi" w:hAnsiTheme="majorBidi" w:cstheme="majorBidi"/>
          <w:lang w:val="en-US"/>
        </w:rPr>
        <w:t>The tests requirements of the vehicle manufacturer regarding vehicle manufacturer's replacement wheels can be applied instead of test requirement 6.5.1.1. These testing requirements have to be disclosed in order to enable the verifiability. The assignment to the wheel load released by the vehicle manufacturer must be given."</w:t>
      </w:r>
    </w:p>
    <w:p w14:paraId="7E68DDEB" w14:textId="419E9A08" w:rsidR="00965ACD" w:rsidRPr="00EE5A92" w:rsidRDefault="00C52C30" w:rsidP="00C52C30">
      <w:pPr>
        <w:spacing w:before="240"/>
        <w:jc w:val="center"/>
        <w:rPr>
          <w:u w:val="single"/>
        </w:rPr>
      </w:pPr>
      <w:r>
        <w:rPr>
          <w:u w:val="single"/>
        </w:rPr>
        <w:tab/>
      </w:r>
      <w:r>
        <w:rPr>
          <w:u w:val="single"/>
        </w:rPr>
        <w:tab/>
      </w:r>
      <w:r>
        <w:rPr>
          <w:u w:val="single"/>
        </w:rPr>
        <w:tab/>
      </w:r>
    </w:p>
    <w:sectPr w:rsidR="00965ACD" w:rsidRPr="00EE5A92" w:rsidSect="00995FD9">
      <w:headerReference w:type="even" r:id="rId12"/>
      <w:headerReference w:type="default" r:id="rId13"/>
      <w:footerReference w:type="even" r:id="rId14"/>
      <w:footerReference w:type="first" r:id="rId1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14891" w14:textId="77777777" w:rsidR="004A532B" w:rsidRDefault="004A532B"/>
  </w:endnote>
  <w:endnote w:type="continuationSeparator" w:id="0">
    <w:p w14:paraId="063D6B43" w14:textId="77777777" w:rsidR="004A532B" w:rsidRDefault="004A532B"/>
  </w:endnote>
  <w:endnote w:type="continuationNotice" w:id="1">
    <w:p w14:paraId="6724BF0B" w14:textId="77777777" w:rsidR="004A532B" w:rsidRDefault="004A5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13C4" w14:textId="77777777" w:rsidR="00EC6E97" w:rsidRPr="00EC6E97" w:rsidRDefault="00EC6E97" w:rsidP="00EC6E97">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D0508">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E25AB" w14:textId="647F6193" w:rsidR="00F50552" w:rsidRPr="00F50552" w:rsidRDefault="00485773" w:rsidP="00485773">
    <w:pPr>
      <w:pStyle w:val="Footer"/>
      <w:rPr>
        <w:sz w:val="20"/>
      </w:rPr>
    </w:pPr>
    <w:r>
      <w:rPr>
        <w:noProof/>
        <w:sz w:val="20"/>
      </w:rPr>
      <w:drawing>
        <wp:anchor distT="0" distB="0" distL="114300" distR="114300" simplePos="0" relativeHeight="251660288" behindDoc="0" locked="0" layoutInCell="1" allowOverlap="1" wp14:anchorId="0E5EF5BF" wp14:editId="598B968D">
          <wp:simplePos x="0" y="0"/>
          <wp:positionH relativeFrom="column">
            <wp:posOffset>5486400</wp:posOffset>
          </wp:positionH>
          <wp:positionV relativeFrom="paragraph">
            <wp:posOffset>-336880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552">
      <w:rPr>
        <w:noProof/>
        <w:lang w:val="en-US" w:eastAsia="zh-CN"/>
      </w:rPr>
      <w:drawing>
        <wp:anchor distT="0" distB="0" distL="114300" distR="114300" simplePos="0" relativeHeight="251659264" behindDoc="1" locked="1" layoutInCell="1" allowOverlap="1" wp14:anchorId="5420E819" wp14:editId="3C8B0A43">
          <wp:simplePos x="0" y="0"/>
          <wp:positionH relativeFrom="margin">
            <wp:posOffset>4378960</wp:posOffset>
          </wp:positionH>
          <wp:positionV relativeFrom="margin">
            <wp:posOffset>9249410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bookmarkStart w:id="6" w:name="_GoBack"/>
    <w:bookmarkEnd w:id="6"/>
    <w:r w:rsidR="00F50552">
      <w:rPr>
        <w:sz w:val="20"/>
      </w:rPr>
      <w:t>GE.22-04080(E)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FF0E8" w14:textId="77777777" w:rsidR="004A532B" w:rsidRPr="000B175B" w:rsidRDefault="004A532B" w:rsidP="000B175B">
      <w:pPr>
        <w:tabs>
          <w:tab w:val="right" w:pos="2155"/>
        </w:tabs>
        <w:spacing w:after="80"/>
        <w:ind w:left="680"/>
        <w:rPr>
          <w:u w:val="single"/>
        </w:rPr>
      </w:pPr>
      <w:r>
        <w:rPr>
          <w:u w:val="single"/>
        </w:rPr>
        <w:tab/>
      </w:r>
    </w:p>
  </w:footnote>
  <w:footnote w:type="continuationSeparator" w:id="0">
    <w:p w14:paraId="52BF61AE" w14:textId="77777777" w:rsidR="004A532B" w:rsidRPr="00FC68B7" w:rsidRDefault="004A532B" w:rsidP="00FC68B7">
      <w:pPr>
        <w:tabs>
          <w:tab w:val="left" w:pos="2155"/>
        </w:tabs>
        <w:spacing w:after="80"/>
        <w:ind w:left="680"/>
        <w:rPr>
          <w:u w:val="single"/>
        </w:rPr>
      </w:pPr>
      <w:r>
        <w:rPr>
          <w:u w:val="single"/>
        </w:rPr>
        <w:tab/>
      </w:r>
    </w:p>
  </w:footnote>
  <w:footnote w:type="continuationNotice" w:id="1">
    <w:p w14:paraId="64F2BBD8" w14:textId="77777777" w:rsidR="004A532B" w:rsidRDefault="004A532B"/>
  </w:footnote>
  <w:footnote w:id="2">
    <w:p w14:paraId="6F210EB9" w14:textId="77777777" w:rsidR="00672DEB" w:rsidRPr="0009740B" w:rsidRDefault="00672DEB" w:rsidP="00672DEB">
      <w:pPr>
        <w:pStyle w:val="FootnoteText"/>
        <w:rPr>
          <w:lang w:val="en-US"/>
        </w:rPr>
      </w:pPr>
      <w:r w:rsidRPr="0009740B">
        <w:tab/>
      </w:r>
      <w:r w:rsidRPr="0009740B">
        <w:rPr>
          <w:rStyle w:val="FootnoteReference"/>
          <w:sz w:val="20"/>
          <w:lang w:val="en-US"/>
        </w:rPr>
        <w:t>*</w:t>
      </w:r>
      <w:r w:rsidRPr="0009740B">
        <w:rPr>
          <w:sz w:val="20"/>
          <w:lang w:val="en-US"/>
        </w:rPr>
        <w:tab/>
      </w:r>
      <w:r w:rsidRPr="0009740B">
        <w:rPr>
          <w:lang w:val="en-US"/>
        </w:rPr>
        <w:t>Former titles of the Agreement:</w:t>
      </w:r>
    </w:p>
    <w:p w14:paraId="623EB974" w14:textId="77777777" w:rsidR="00672DEB" w:rsidRPr="0009740B" w:rsidRDefault="00672DEB" w:rsidP="00672DEB">
      <w:pPr>
        <w:pStyle w:val="FootnoteText"/>
        <w:rPr>
          <w:sz w:val="20"/>
          <w:lang w:val="en-US"/>
        </w:rPr>
      </w:pPr>
      <w:r w:rsidRPr="0009740B">
        <w:rPr>
          <w:lang w:val="en-US"/>
        </w:rPr>
        <w:tab/>
      </w:r>
      <w:r w:rsidRPr="0009740B">
        <w:rPr>
          <w:lang w:val="en-US"/>
        </w:rPr>
        <w:tab/>
      </w:r>
      <w:r w:rsidRPr="0009740B">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09740B">
        <w:rPr>
          <w:spacing w:val="-4"/>
          <w:lang w:val="en-US"/>
        </w:rPr>
        <w:t>);</w:t>
      </w:r>
      <w:proofErr w:type="gramEnd"/>
    </w:p>
    <w:p w14:paraId="1B5D86DC" w14:textId="77777777" w:rsidR="00672DEB" w:rsidRPr="0009740B" w:rsidRDefault="00672DEB" w:rsidP="00672DEB">
      <w:pPr>
        <w:pStyle w:val="FootnoteText"/>
        <w:rPr>
          <w:lang w:val="en-US"/>
        </w:rPr>
      </w:pPr>
      <w:r w:rsidRPr="0009740B">
        <w:rPr>
          <w:lang w:val="en-US"/>
        </w:rPr>
        <w:tab/>
      </w:r>
      <w:r w:rsidRPr="0009740B">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47EE" w14:textId="5F3ABDBD" w:rsidR="00672DEB" w:rsidRDefault="00672DEB" w:rsidP="00672DEB">
    <w:pPr>
      <w:pStyle w:val="Header"/>
    </w:pPr>
    <w:r w:rsidRPr="00672DEB">
      <w:t>E/ECE</w:t>
    </w:r>
    <w:r w:rsidR="003D0508">
      <w:t>/324/Rev.2/</w:t>
    </w:r>
    <w:r w:rsidR="00ED4A2A" w:rsidRPr="00ED4A2A">
      <w:t>Add.123/Amend.</w:t>
    </w:r>
    <w:r w:rsidR="00D4415D">
      <w:t>3</w:t>
    </w:r>
  </w:p>
  <w:p w14:paraId="51B852D2" w14:textId="3BDF9A30" w:rsidR="00EC6E97" w:rsidRPr="00672DEB" w:rsidRDefault="00672DEB" w:rsidP="003D0508">
    <w:pPr>
      <w:pStyle w:val="Header"/>
      <w:spacing w:after="240"/>
    </w:pPr>
    <w:r w:rsidRPr="00672DEB">
      <w:t>E/ECE/TRANS</w:t>
    </w:r>
    <w:r w:rsidR="003D0508">
      <w:t>/505/Rev.2/</w:t>
    </w:r>
    <w:r w:rsidR="00ED4A2A" w:rsidRPr="00ED4A2A">
      <w:t>Add.123/Amend.</w:t>
    </w:r>
    <w:r w:rsidR="00D4415D">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1A30" w14:textId="721F05F5" w:rsidR="003D0508" w:rsidRDefault="003D0508" w:rsidP="003D0508">
    <w:pPr>
      <w:pStyle w:val="Header"/>
      <w:jc w:val="right"/>
    </w:pPr>
    <w:r w:rsidRPr="00672DEB">
      <w:t>E/ECE</w:t>
    </w:r>
    <w:r>
      <w:t>/324/Rev.2/</w:t>
    </w:r>
    <w:r w:rsidR="00ED4A2A" w:rsidRPr="00ED4A2A">
      <w:t>Add.123/Amend.2</w:t>
    </w:r>
  </w:p>
  <w:p w14:paraId="0034A9A3" w14:textId="12661ACE" w:rsidR="003D0508" w:rsidRPr="00672DEB" w:rsidRDefault="003D0508" w:rsidP="003D0508">
    <w:pPr>
      <w:pStyle w:val="Header"/>
      <w:spacing w:after="240"/>
      <w:jc w:val="right"/>
    </w:pPr>
    <w:r w:rsidRPr="00672DEB">
      <w:t>E/ECE/TRANS</w:t>
    </w:r>
    <w:r>
      <w:t>/505/Rev.2/</w:t>
    </w:r>
    <w:r w:rsidR="00ED4A2A" w:rsidRPr="00ED4A2A">
      <w:t>Add.123/Amend.2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2E2C"/>
    <w:rsid w:val="000839E4"/>
    <w:rsid w:val="00084C60"/>
    <w:rsid w:val="000872E8"/>
    <w:rsid w:val="00090A93"/>
    <w:rsid w:val="000916EC"/>
    <w:rsid w:val="000931C0"/>
    <w:rsid w:val="000936F0"/>
    <w:rsid w:val="0009740B"/>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4C10"/>
    <w:rsid w:val="000C6AE8"/>
    <w:rsid w:val="000E0415"/>
    <w:rsid w:val="000E1BC7"/>
    <w:rsid w:val="000E76D7"/>
    <w:rsid w:val="000E7AB5"/>
    <w:rsid w:val="000F19BC"/>
    <w:rsid w:val="000F5506"/>
    <w:rsid w:val="000F624D"/>
    <w:rsid w:val="000F680A"/>
    <w:rsid w:val="000F715D"/>
    <w:rsid w:val="000F792D"/>
    <w:rsid w:val="00101A76"/>
    <w:rsid w:val="00105768"/>
    <w:rsid w:val="00110447"/>
    <w:rsid w:val="00110FA9"/>
    <w:rsid w:val="001119C2"/>
    <w:rsid w:val="00114ABC"/>
    <w:rsid w:val="001220B8"/>
    <w:rsid w:val="00127E98"/>
    <w:rsid w:val="00131370"/>
    <w:rsid w:val="0013179D"/>
    <w:rsid w:val="00134C76"/>
    <w:rsid w:val="001355F5"/>
    <w:rsid w:val="00136B47"/>
    <w:rsid w:val="001414F0"/>
    <w:rsid w:val="001428E5"/>
    <w:rsid w:val="00143BF0"/>
    <w:rsid w:val="00145473"/>
    <w:rsid w:val="00147632"/>
    <w:rsid w:val="00152E5E"/>
    <w:rsid w:val="001534B8"/>
    <w:rsid w:val="001537A2"/>
    <w:rsid w:val="00155A2C"/>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3783E"/>
    <w:rsid w:val="002405A7"/>
    <w:rsid w:val="00241260"/>
    <w:rsid w:val="0024608F"/>
    <w:rsid w:val="00250632"/>
    <w:rsid w:val="002549F5"/>
    <w:rsid w:val="0026160C"/>
    <w:rsid w:val="00262166"/>
    <w:rsid w:val="0026278A"/>
    <w:rsid w:val="00263F82"/>
    <w:rsid w:val="00270935"/>
    <w:rsid w:val="00272E60"/>
    <w:rsid w:val="00273DB4"/>
    <w:rsid w:val="002765E7"/>
    <w:rsid w:val="00280870"/>
    <w:rsid w:val="00280DE4"/>
    <w:rsid w:val="00282868"/>
    <w:rsid w:val="00285167"/>
    <w:rsid w:val="00286C96"/>
    <w:rsid w:val="0029081B"/>
    <w:rsid w:val="002A063B"/>
    <w:rsid w:val="002A1589"/>
    <w:rsid w:val="002A2838"/>
    <w:rsid w:val="002A3D2B"/>
    <w:rsid w:val="002A6577"/>
    <w:rsid w:val="002B11C3"/>
    <w:rsid w:val="002B177A"/>
    <w:rsid w:val="002B1830"/>
    <w:rsid w:val="002B2961"/>
    <w:rsid w:val="002C1C92"/>
    <w:rsid w:val="002C4C96"/>
    <w:rsid w:val="002C6C33"/>
    <w:rsid w:val="002E3ED6"/>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0508"/>
    <w:rsid w:val="003D2EF2"/>
    <w:rsid w:val="003D4B23"/>
    <w:rsid w:val="003D6BDF"/>
    <w:rsid w:val="003E29DF"/>
    <w:rsid w:val="003E2F28"/>
    <w:rsid w:val="003E3C91"/>
    <w:rsid w:val="003F0FBD"/>
    <w:rsid w:val="003F142C"/>
    <w:rsid w:val="003F1ED3"/>
    <w:rsid w:val="003F24EB"/>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6A43"/>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773"/>
    <w:rsid w:val="00485D04"/>
    <w:rsid w:val="004865D9"/>
    <w:rsid w:val="00490CB6"/>
    <w:rsid w:val="00496513"/>
    <w:rsid w:val="00496D74"/>
    <w:rsid w:val="0049793C"/>
    <w:rsid w:val="004A1854"/>
    <w:rsid w:val="004A3B18"/>
    <w:rsid w:val="004A41CA"/>
    <w:rsid w:val="004A47D4"/>
    <w:rsid w:val="004A532B"/>
    <w:rsid w:val="004A6BCF"/>
    <w:rsid w:val="004A72EA"/>
    <w:rsid w:val="004B209D"/>
    <w:rsid w:val="004B43E8"/>
    <w:rsid w:val="004B5A45"/>
    <w:rsid w:val="004C18DF"/>
    <w:rsid w:val="004C4071"/>
    <w:rsid w:val="004C5F65"/>
    <w:rsid w:val="004D0875"/>
    <w:rsid w:val="004D0C28"/>
    <w:rsid w:val="004D157E"/>
    <w:rsid w:val="004D21F1"/>
    <w:rsid w:val="004D3546"/>
    <w:rsid w:val="004D447A"/>
    <w:rsid w:val="004D4E51"/>
    <w:rsid w:val="004E2AF7"/>
    <w:rsid w:val="004E3F54"/>
    <w:rsid w:val="004F0BA3"/>
    <w:rsid w:val="004F0DA1"/>
    <w:rsid w:val="004F3903"/>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2420"/>
    <w:rsid w:val="00544B01"/>
    <w:rsid w:val="00545810"/>
    <w:rsid w:val="00552801"/>
    <w:rsid w:val="0055513A"/>
    <w:rsid w:val="005552E8"/>
    <w:rsid w:val="00555BB4"/>
    <w:rsid w:val="005574C0"/>
    <w:rsid w:val="0055778C"/>
    <w:rsid w:val="00563186"/>
    <w:rsid w:val="00567652"/>
    <w:rsid w:val="0057324A"/>
    <w:rsid w:val="005754D5"/>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5EB3"/>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F4"/>
    <w:rsid w:val="00634F10"/>
    <w:rsid w:val="006361D1"/>
    <w:rsid w:val="00636348"/>
    <w:rsid w:val="00636553"/>
    <w:rsid w:val="00640B26"/>
    <w:rsid w:val="00643805"/>
    <w:rsid w:val="00644961"/>
    <w:rsid w:val="00645612"/>
    <w:rsid w:val="00656071"/>
    <w:rsid w:val="006600E7"/>
    <w:rsid w:val="0066120A"/>
    <w:rsid w:val="006632AF"/>
    <w:rsid w:val="0066460A"/>
    <w:rsid w:val="0066501A"/>
    <w:rsid w:val="00665595"/>
    <w:rsid w:val="00671536"/>
    <w:rsid w:val="00672DEB"/>
    <w:rsid w:val="00674C0A"/>
    <w:rsid w:val="00676015"/>
    <w:rsid w:val="00676762"/>
    <w:rsid w:val="006805A5"/>
    <w:rsid w:val="00682F4C"/>
    <w:rsid w:val="00690FDF"/>
    <w:rsid w:val="006919E3"/>
    <w:rsid w:val="00694912"/>
    <w:rsid w:val="00694AD9"/>
    <w:rsid w:val="006A2320"/>
    <w:rsid w:val="006A2A9E"/>
    <w:rsid w:val="006A365F"/>
    <w:rsid w:val="006A4406"/>
    <w:rsid w:val="006A47F4"/>
    <w:rsid w:val="006A7392"/>
    <w:rsid w:val="006A79EC"/>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204"/>
    <w:rsid w:val="007B14D9"/>
    <w:rsid w:val="007B1683"/>
    <w:rsid w:val="007B3312"/>
    <w:rsid w:val="007B6033"/>
    <w:rsid w:val="007B6BA5"/>
    <w:rsid w:val="007C3390"/>
    <w:rsid w:val="007C34C2"/>
    <w:rsid w:val="007C4F4B"/>
    <w:rsid w:val="007C521A"/>
    <w:rsid w:val="007C62D0"/>
    <w:rsid w:val="007D0E25"/>
    <w:rsid w:val="007D3960"/>
    <w:rsid w:val="007D3B87"/>
    <w:rsid w:val="007D694A"/>
    <w:rsid w:val="007D6F8D"/>
    <w:rsid w:val="007E0150"/>
    <w:rsid w:val="007E1AA7"/>
    <w:rsid w:val="007E1E6D"/>
    <w:rsid w:val="007E2B7D"/>
    <w:rsid w:val="007E4B28"/>
    <w:rsid w:val="007F0B83"/>
    <w:rsid w:val="007F212A"/>
    <w:rsid w:val="007F38E5"/>
    <w:rsid w:val="007F43E2"/>
    <w:rsid w:val="007F6611"/>
    <w:rsid w:val="0080188C"/>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1CFB"/>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FFD"/>
    <w:rsid w:val="00881571"/>
    <w:rsid w:val="00881C3C"/>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65ACD"/>
    <w:rsid w:val="0097310B"/>
    <w:rsid w:val="00973733"/>
    <w:rsid w:val="00974A8D"/>
    <w:rsid w:val="009763F9"/>
    <w:rsid w:val="00977D9E"/>
    <w:rsid w:val="009811B1"/>
    <w:rsid w:val="00983FDA"/>
    <w:rsid w:val="009877D0"/>
    <w:rsid w:val="00990799"/>
    <w:rsid w:val="00991261"/>
    <w:rsid w:val="00992D08"/>
    <w:rsid w:val="0099391C"/>
    <w:rsid w:val="009958ED"/>
    <w:rsid w:val="00995FD9"/>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01"/>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060D8"/>
    <w:rsid w:val="00A10687"/>
    <w:rsid w:val="00A113BD"/>
    <w:rsid w:val="00A1427D"/>
    <w:rsid w:val="00A2091B"/>
    <w:rsid w:val="00A225B5"/>
    <w:rsid w:val="00A2260A"/>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74D22"/>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6B1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3286"/>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2C30"/>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A7F2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6BB"/>
    <w:rsid w:val="00D4199D"/>
    <w:rsid w:val="00D43252"/>
    <w:rsid w:val="00D432CB"/>
    <w:rsid w:val="00D438D2"/>
    <w:rsid w:val="00D4415D"/>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425B"/>
    <w:rsid w:val="00DE7DB4"/>
    <w:rsid w:val="00DF12F7"/>
    <w:rsid w:val="00DF26CA"/>
    <w:rsid w:val="00E00B6B"/>
    <w:rsid w:val="00E012F6"/>
    <w:rsid w:val="00E02C81"/>
    <w:rsid w:val="00E044BA"/>
    <w:rsid w:val="00E05A8B"/>
    <w:rsid w:val="00E0765C"/>
    <w:rsid w:val="00E10FC1"/>
    <w:rsid w:val="00E130AB"/>
    <w:rsid w:val="00E1354A"/>
    <w:rsid w:val="00E24749"/>
    <w:rsid w:val="00E272DC"/>
    <w:rsid w:val="00E3125A"/>
    <w:rsid w:val="00E31402"/>
    <w:rsid w:val="00E32D71"/>
    <w:rsid w:val="00E34F7C"/>
    <w:rsid w:val="00E35822"/>
    <w:rsid w:val="00E3755F"/>
    <w:rsid w:val="00E40F00"/>
    <w:rsid w:val="00E42737"/>
    <w:rsid w:val="00E5151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C6E97"/>
    <w:rsid w:val="00ED057C"/>
    <w:rsid w:val="00ED4A2A"/>
    <w:rsid w:val="00ED4C21"/>
    <w:rsid w:val="00ED7840"/>
    <w:rsid w:val="00ED7A2A"/>
    <w:rsid w:val="00ED7B8C"/>
    <w:rsid w:val="00EE0286"/>
    <w:rsid w:val="00EE514D"/>
    <w:rsid w:val="00EE6B56"/>
    <w:rsid w:val="00EF1B47"/>
    <w:rsid w:val="00EF1D7F"/>
    <w:rsid w:val="00EF3351"/>
    <w:rsid w:val="00EF3DAE"/>
    <w:rsid w:val="00F00D5A"/>
    <w:rsid w:val="00F072C7"/>
    <w:rsid w:val="00F1271A"/>
    <w:rsid w:val="00F21970"/>
    <w:rsid w:val="00F253DE"/>
    <w:rsid w:val="00F261FB"/>
    <w:rsid w:val="00F263D2"/>
    <w:rsid w:val="00F27E85"/>
    <w:rsid w:val="00F30AD7"/>
    <w:rsid w:val="00F35C55"/>
    <w:rsid w:val="00F36D9B"/>
    <w:rsid w:val="00F377FA"/>
    <w:rsid w:val="00F37DE5"/>
    <w:rsid w:val="00F44C52"/>
    <w:rsid w:val="00F45C0C"/>
    <w:rsid w:val="00F45E6A"/>
    <w:rsid w:val="00F46902"/>
    <w:rsid w:val="00F50552"/>
    <w:rsid w:val="00F51A52"/>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35B5"/>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53103CA"/>
  <w15:docId w15:val="{C0F25C61-511E-4308-BF9F-19BBCF24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customStyle="1" w:styleId="StyleSingleTxtGLeft2cmHanging206cm">
    <w:name w:val="Style _ Single Txt_G + Left:  2 cm Hanging:  2.06 cm"/>
    <w:basedOn w:val="SingleTxtG"/>
    <w:link w:val="StyleSingleTxtGLeft2cmHanging206cmChar"/>
    <w:rsid w:val="00965ACD"/>
    <w:pPr>
      <w:ind w:left="2268" w:hanging="1134"/>
    </w:pPr>
  </w:style>
  <w:style w:type="character" w:customStyle="1" w:styleId="StyleSingleTxtGLeft2cmHanging206cmChar">
    <w:name w:val="Style _ Single Txt_G + Left:  2 cm Hanging:  2.06 cm Char"/>
    <w:link w:val="StyleSingleTxtGLeft2cmHanging206cm"/>
    <w:rsid w:val="00965A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10BA-47EF-4740-8308-29183FCDF430}"/>
</file>

<file path=customXml/itemProps2.xml><?xml version="1.0" encoding="utf-8"?>
<ds:datastoreItem xmlns:ds="http://schemas.openxmlformats.org/officeDocument/2006/customXml" ds:itemID="{05318264-44A7-4B37-815E-7E2AB4BD2D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4C0623-3A57-42F1-823C-2E3082D357FE}">
  <ds:schemaRefs>
    <ds:schemaRef ds:uri="http://schemas.microsoft.com/sharepoint/v3/contenttype/forms"/>
  </ds:schemaRefs>
</ds:datastoreItem>
</file>

<file path=customXml/itemProps4.xml><?xml version="1.0" encoding="utf-8"?>
<ds:datastoreItem xmlns:ds="http://schemas.openxmlformats.org/officeDocument/2006/customXml" ds:itemID="{48A62586-7805-4873-83F4-C2857536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2</Pages>
  <Words>489</Words>
  <Characters>2627</Characters>
  <Application>Microsoft Office Word</Application>
  <DocSecurity>0</DocSecurity>
  <Lines>98</Lines>
  <Paragraphs>57</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E/ECE/324/Rev.2/Add.123/Amend.3</vt:lpstr>
      <vt:lpstr>1801172</vt:lpstr>
      <vt:lpstr>Format for UN Regulation</vt:lpstr>
      <vt:lpstr/>
    </vt:vector>
  </TitlesOfParts>
  <Company>CSD</Company>
  <LinksUpToDate>false</LinksUpToDate>
  <CharactersWithSpaces>3082</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E/ECE/324/Rev.2/Add.123/Amend.3</dc:title>
  <dc:subject>2204080</dc:subject>
  <dc:creator>Una Philippa GILTSOFF</dc:creator>
  <cp:keywords/>
  <dc:description/>
  <cp:lastModifiedBy>Una Philippa GILTSOFF</cp:lastModifiedBy>
  <cp:revision>2</cp:revision>
  <cp:lastPrinted>2019-11-19T09:24:00Z</cp:lastPrinted>
  <dcterms:created xsi:type="dcterms:W3CDTF">2022-03-21T09:11:00Z</dcterms:created>
  <dcterms:modified xsi:type="dcterms:W3CDTF">2022-03-21T09:11:00Z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1779600</vt:r8>
  </property>
</Properties>
</file>