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782E1C" w14:textId="77777777" w:rsidTr="00C97039">
        <w:trPr>
          <w:trHeight w:hRule="exact" w:val="851"/>
        </w:trPr>
        <w:tc>
          <w:tcPr>
            <w:tcW w:w="1276" w:type="dxa"/>
            <w:tcBorders>
              <w:bottom w:val="single" w:sz="4" w:space="0" w:color="auto"/>
            </w:tcBorders>
          </w:tcPr>
          <w:p w14:paraId="068553A9" w14:textId="77777777" w:rsidR="00F35BAF" w:rsidRPr="00DB58B5" w:rsidRDefault="00F35BAF" w:rsidP="004A77DD"/>
        </w:tc>
        <w:tc>
          <w:tcPr>
            <w:tcW w:w="2268" w:type="dxa"/>
            <w:tcBorders>
              <w:bottom w:val="single" w:sz="4" w:space="0" w:color="auto"/>
            </w:tcBorders>
            <w:vAlign w:val="bottom"/>
          </w:tcPr>
          <w:p w14:paraId="43E738B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7862EF" w14:textId="63B83FAA" w:rsidR="00F35BAF" w:rsidRPr="00DB58B5" w:rsidRDefault="004A77DD" w:rsidP="004A77DD">
            <w:pPr>
              <w:jc w:val="right"/>
            </w:pPr>
            <w:r w:rsidRPr="004A77DD">
              <w:rPr>
                <w:sz w:val="40"/>
              </w:rPr>
              <w:t>ECE</w:t>
            </w:r>
            <w:r>
              <w:t>/TRANS/WP</w:t>
            </w:r>
            <w:r w:rsidR="00AF71B2" w:rsidRPr="00AF71B2">
              <w:t>.</w:t>
            </w:r>
            <w:r>
              <w:t>29/GRBP/2022/23</w:t>
            </w:r>
          </w:p>
        </w:tc>
      </w:tr>
      <w:tr w:rsidR="00F35BAF" w:rsidRPr="00DB58B5" w14:paraId="6247896B" w14:textId="77777777" w:rsidTr="00C97039">
        <w:trPr>
          <w:trHeight w:hRule="exact" w:val="2835"/>
        </w:trPr>
        <w:tc>
          <w:tcPr>
            <w:tcW w:w="1276" w:type="dxa"/>
            <w:tcBorders>
              <w:top w:val="single" w:sz="4" w:space="0" w:color="auto"/>
              <w:bottom w:val="single" w:sz="12" w:space="0" w:color="auto"/>
            </w:tcBorders>
          </w:tcPr>
          <w:p w14:paraId="668DC65B" w14:textId="77777777" w:rsidR="00F35BAF" w:rsidRPr="00DB58B5" w:rsidRDefault="00F35BAF" w:rsidP="00C97039">
            <w:pPr>
              <w:spacing w:before="120"/>
              <w:jc w:val="center"/>
            </w:pPr>
            <w:r>
              <w:rPr>
                <w:noProof/>
                <w:lang w:eastAsia="fr-CH"/>
              </w:rPr>
              <w:drawing>
                <wp:inline distT="0" distB="0" distL="0" distR="0" wp14:anchorId="007D3245" wp14:editId="5DFE40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FF774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C23EC8" w14:textId="7CD04EC4" w:rsidR="00F35BAF" w:rsidRDefault="004A77DD" w:rsidP="00C97039">
            <w:pPr>
              <w:spacing w:before="240"/>
            </w:pPr>
            <w:proofErr w:type="spellStart"/>
            <w:r>
              <w:t>Distr</w:t>
            </w:r>
            <w:proofErr w:type="spellEnd"/>
            <w:r w:rsidR="00AF71B2" w:rsidRPr="00AF71B2">
              <w:t>.</w:t>
            </w:r>
            <w:r>
              <w:t xml:space="preserve"> générale</w:t>
            </w:r>
          </w:p>
          <w:p w14:paraId="52DF6FA3" w14:textId="18362474" w:rsidR="004A77DD" w:rsidRDefault="004A77DD" w:rsidP="004A77DD">
            <w:pPr>
              <w:spacing w:line="240" w:lineRule="exact"/>
            </w:pPr>
            <w:r>
              <w:t>16 juin 2022</w:t>
            </w:r>
          </w:p>
          <w:p w14:paraId="5999EF10" w14:textId="77777777" w:rsidR="004A77DD" w:rsidRDefault="004A77DD" w:rsidP="004A77DD">
            <w:pPr>
              <w:spacing w:line="240" w:lineRule="exact"/>
            </w:pPr>
            <w:r>
              <w:t>Français</w:t>
            </w:r>
          </w:p>
          <w:p w14:paraId="4E8F15E3" w14:textId="06F418D4" w:rsidR="004A77DD" w:rsidRPr="00DB58B5" w:rsidRDefault="004A77DD" w:rsidP="004A77DD">
            <w:pPr>
              <w:spacing w:line="240" w:lineRule="exact"/>
            </w:pPr>
            <w:r>
              <w:t>Original : anglais</w:t>
            </w:r>
          </w:p>
        </w:tc>
      </w:tr>
    </w:tbl>
    <w:p w14:paraId="6D6FB38C" w14:textId="77777777" w:rsidR="007F20FA" w:rsidRPr="000312C0" w:rsidRDefault="007F20FA" w:rsidP="007F20FA">
      <w:pPr>
        <w:spacing w:before="120"/>
        <w:rPr>
          <w:b/>
          <w:sz w:val="28"/>
          <w:szCs w:val="28"/>
        </w:rPr>
      </w:pPr>
      <w:r w:rsidRPr="000312C0">
        <w:rPr>
          <w:b/>
          <w:sz w:val="28"/>
          <w:szCs w:val="28"/>
        </w:rPr>
        <w:t>Commission économique pour l’Europe</w:t>
      </w:r>
    </w:p>
    <w:p w14:paraId="7147EE5A" w14:textId="77777777" w:rsidR="007F20FA" w:rsidRDefault="007F20FA" w:rsidP="007F20FA">
      <w:pPr>
        <w:spacing w:before="120"/>
        <w:rPr>
          <w:sz w:val="28"/>
          <w:szCs w:val="28"/>
        </w:rPr>
      </w:pPr>
      <w:r w:rsidRPr="00685843">
        <w:rPr>
          <w:sz w:val="28"/>
          <w:szCs w:val="28"/>
        </w:rPr>
        <w:t>Comité des transports intérieurs</w:t>
      </w:r>
    </w:p>
    <w:p w14:paraId="632A65D1" w14:textId="2D8E5444" w:rsidR="0075704A" w:rsidRPr="007E5D9C" w:rsidRDefault="0075704A" w:rsidP="0075704A">
      <w:pPr>
        <w:spacing w:before="120"/>
        <w:rPr>
          <w:b/>
          <w:sz w:val="24"/>
          <w:szCs w:val="24"/>
        </w:rPr>
      </w:pPr>
      <w:r w:rsidRPr="007E5D9C">
        <w:rPr>
          <w:b/>
          <w:bCs/>
          <w:sz w:val="24"/>
          <w:szCs w:val="24"/>
          <w:lang w:val="fr-FR"/>
        </w:rPr>
        <w:t xml:space="preserve">Forum mondial de l’harmonisation </w:t>
      </w:r>
      <w:r w:rsidR="007E5D9C">
        <w:rPr>
          <w:b/>
          <w:bCs/>
          <w:sz w:val="24"/>
          <w:szCs w:val="24"/>
          <w:lang w:val="fr-FR"/>
        </w:rPr>
        <w:br/>
      </w:r>
      <w:r w:rsidRPr="007E5D9C">
        <w:rPr>
          <w:b/>
          <w:bCs/>
          <w:sz w:val="24"/>
          <w:szCs w:val="24"/>
          <w:lang w:val="fr-FR"/>
        </w:rPr>
        <w:t>des Règlements concernant les véhicules</w:t>
      </w:r>
    </w:p>
    <w:p w14:paraId="6C90F3B1" w14:textId="463BD433" w:rsidR="0075704A" w:rsidRPr="00A21343" w:rsidRDefault="0075704A" w:rsidP="0075704A">
      <w:pPr>
        <w:tabs>
          <w:tab w:val="left" w:pos="5423"/>
        </w:tabs>
        <w:spacing w:before="120"/>
        <w:rPr>
          <w:b/>
        </w:rPr>
      </w:pPr>
      <w:r>
        <w:rPr>
          <w:b/>
          <w:bCs/>
          <w:lang w:val="fr-FR"/>
        </w:rPr>
        <w:t>Groupe de travail du bruit et des pneumatiques</w:t>
      </w:r>
    </w:p>
    <w:p w14:paraId="0FE1B54E" w14:textId="77777777" w:rsidR="0075704A" w:rsidRPr="00A21343" w:rsidRDefault="0075704A" w:rsidP="0075704A">
      <w:pPr>
        <w:spacing w:before="120"/>
        <w:jc w:val="both"/>
        <w:rPr>
          <w:b/>
        </w:rPr>
      </w:pPr>
      <w:r>
        <w:rPr>
          <w:b/>
          <w:bCs/>
          <w:lang w:val="fr-FR"/>
        </w:rPr>
        <w:t>Soixante-seizième session</w:t>
      </w:r>
    </w:p>
    <w:p w14:paraId="60F5294E" w14:textId="77777777" w:rsidR="0075704A" w:rsidRPr="00A21343" w:rsidRDefault="0075704A" w:rsidP="0075704A">
      <w:pPr>
        <w:jc w:val="both"/>
      </w:pPr>
      <w:r>
        <w:rPr>
          <w:lang w:val="fr-FR"/>
        </w:rPr>
        <w:t>Genève, 5-7 septembre 2022</w:t>
      </w:r>
    </w:p>
    <w:p w14:paraId="383E897A" w14:textId="77777777" w:rsidR="0075704A" w:rsidRPr="00A21343" w:rsidRDefault="0075704A" w:rsidP="0075704A">
      <w:pPr>
        <w:jc w:val="both"/>
      </w:pPr>
      <w:r>
        <w:rPr>
          <w:lang w:val="fr-FR"/>
        </w:rPr>
        <w:t>Point 4 c) de l’ordre du jour provisoire</w:t>
      </w:r>
    </w:p>
    <w:p w14:paraId="522CD5A0" w14:textId="74B87D55" w:rsidR="0075704A" w:rsidRPr="00596B91" w:rsidRDefault="0075704A" w:rsidP="0075704A">
      <w:pPr>
        <w:pStyle w:val="Default"/>
        <w:spacing w:after="120"/>
        <w:rPr>
          <w:b/>
          <w:bCs/>
          <w:sz w:val="20"/>
          <w:szCs w:val="20"/>
        </w:rPr>
      </w:pPr>
      <w:r w:rsidRPr="00596B91">
        <w:rPr>
          <w:b/>
          <w:bCs/>
          <w:sz w:val="20"/>
          <w:szCs w:val="20"/>
          <w:lang w:val="fr-FR"/>
        </w:rPr>
        <w:t xml:space="preserve">Pneumatiques : Règlement ONU </w:t>
      </w:r>
      <w:r w:rsidR="00761749" w:rsidRPr="00761749">
        <w:rPr>
          <w:rFonts w:eastAsia="MS Mincho"/>
          <w:b/>
          <w:bCs/>
          <w:sz w:val="20"/>
          <w:szCs w:val="20"/>
          <w:lang w:val="fr-FR"/>
        </w:rPr>
        <w:t>n</w:t>
      </w:r>
      <w:r w:rsidR="00761749" w:rsidRPr="00761749">
        <w:rPr>
          <w:rFonts w:eastAsia="MS Mincho"/>
          <w:b/>
          <w:bCs/>
          <w:sz w:val="20"/>
          <w:szCs w:val="20"/>
          <w:vertAlign w:val="superscript"/>
          <w:lang w:val="fr-FR"/>
        </w:rPr>
        <w:t>o</w:t>
      </w:r>
      <w:r w:rsidR="00761749">
        <w:rPr>
          <w:b/>
          <w:bCs/>
          <w:sz w:val="20"/>
          <w:szCs w:val="20"/>
          <w:lang w:val="fr-FR"/>
        </w:rPr>
        <w:t> </w:t>
      </w:r>
      <w:r w:rsidRPr="00596B91">
        <w:rPr>
          <w:b/>
          <w:bCs/>
          <w:sz w:val="20"/>
          <w:szCs w:val="20"/>
          <w:lang w:val="fr-FR"/>
        </w:rPr>
        <w:t xml:space="preserve">117 (Pneumatiques − Résistance </w:t>
      </w:r>
      <w:r w:rsidR="00596B91">
        <w:rPr>
          <w:b/>
          <w:bCs/>
          <w:sz w:val="20"/>
          <w:szCs w:val="20"/>
          <w:lang w:val="fr-FR"/>
        </w:rPr>
        <w:br/>
      </w:r>
      <w:r w:rsidRPr="00596B91">
        <w:rPr>
          <w:b/>
          <w:bCs/>
          <w:sz w:val="20"/>
          <w:szCs w:val="20"/>
          <w:lang w:val="fr-FR"/>
        </w:rPr>
        <w:t>au roulement, bruit de roulement et adhérence sur sol mouillé)</w:t>
      </w:r>
    </w:p>
    <w:p w14:paraId="79F986A6" w14:textId="44A3FF33" w:rsidR="0075704A" w:rsidRPr="00A21343" w:rsidRDefault="0075704A" w:rsidP="0075704A">
      <w:pPr>
        <w:pStyle w:val="HChG"/>
      </w:pPr>
      <w:r>
        <w:rPr>
          <w:lang w:val="fr-FR"/>
        </w:rPr>
        <w:tab/>
      </w:r>
      <w:r>
        <w:rPr>
          <w:lang w:val="fr-FR"/>
        </w:rPr>
        <w:tab/>
      </w:r>
      <w:r>
        <w:rPr>
          <w:lang w:val="fr-FR"/>
        </w:rPr>
        <w:t>Proposition de série 04 d’amendements au Règlement ONU</w:t>
      </w:r>
      <w:r>
        <w:rPr>
          <w:lang w:val="fr-FR"/>
        </w:rPr>
        <w:t> </w:t>
      </w:r>
      <w:r w:rsidRPr="0075704A">
        <w:rPr>
          <w:rFonts w:eastAsia="MS Mincho"/>
          <w:lang w:val="fr-FR"/>
        </w:rPr>
        <w:t>n</w:t>
      </w:r>
      <w:r w:rsidRPr="0075704A">
        <w:rPr>
          <w:rFonts w:eastAsia="MS Mincho"/>
          <w:vertAlign w:val="superscript"/>
          <w:lang w:val="fr-FR"/>
        </w:rPr>
        <w:t>o</w:t>
      </w:r>
      <w:r>
        <w:rPr>
          <w:lang w:val="fr-FR"/>
        </w:rPr>
        <w:t> </w:t>
      </w:r>
      <w:r>
        <w:rPr>
          <w:lang w:val="fr-FR"/>
        </w:rPr>
        <w:t>117</w:t>
      </w:r>
    </w:p>
    <w:p w14:paraId="74AF77F3" w14:textId="38E9B377" w:rsidR="0075704A" w:rsidRPr="00A21343" w:rsidRDefault="0075704A" w:rsidP="0075704A">
      <w:pPr>
        <w:pStyle w:val="H1G"/>
        <w:rPr>
          <w:sz w:val="20"/>
        </w:rPr>
      </w:pPr>
      <w:r>
        <w:tab/>
      </w:r>
      <w:r>
        <w:tab/>
      </w:r>
      <w:r>
        <w:rPr>
          <w:lang w:val="fr-FR"/>
        </w:rPr>
        <w:t xml:space="preserve">Communication du groupe de travail informel de l’adhérence </w:t>
      </w:r>
      <w:r>
        <w:rPr>
          <w:lang w:val="fr-FR"/>
        </w:rPr>
        <w:br/>
      </w:r>
      <w:r>
        <w:rPr>
          <w:lang w:val="fr-FR"/>
        </w:rPr>
        <w:t>sur sol mouillé des pneumatiques usés</w:t>
      </w:r>
      <w:r w:rsidRPr="0075704A">
        <w:rPr>
          <w:b w:val="0"/>
          <w:bCs/>
          <w:sz w:val="20"/>
          <w:lang w:val="fr-FR"/>
        </w:rPr>
        <w:footnoteReference w:customMarkFollows="1" w:id="2"/>
        <w:t>*</w:t>
      </w:r>
    </w:p>
    <w:p w14:paraId="0A99A9FB" w14:textId="166B8C10" w:rsidR="0075704A" w:rsidRPr="00A21343" w:rsidRDefault="0075704A" w:rsidP="0075704A">
      <w:pPr>
        <w:pStyle w:val="SingleTxtG"/>
      </w:pPr>
      <w:r>
        <w:rPr>
          <w:lang w:val="fr-FR"/>
        </w:rPr>
        <w:tab/>
      </w:r>
      <w:r>
        <w:rPr>
          <w:lang w:val="fr-FR"/>
        </w:rPr>
        <w:tab/>
      </w:r>
      <w:r>
        <w:rPr>
          <w:lang w:val="fr-FR"/>
        </w:rPr>
        <w:t xml:space="preserve">Le texte ci-après, établi par le groupe de travail informel de l’adhérence sur sol mouillé des pneumatiques usés (groupe WGWT), vise à modifier le Règlement ONU </w:t>
      </w:r>
      <w:r w:rsidRPr="0075704A">
        <w:rPr>
          <w:rFonts w:eastAsia="MS Mincho"/>
          <w:lang w:val="fr-FR"/>
        </w:rPr>
        <w:t>n</w:t>
      </w:r>
      <w:r w:rsidRPr="0075704A">
        <w:rPr>
          <w:rFonts w:eastAsia="MS Mincho"/>
          <w:vertAlign w:val="superscript"/>
          <w:lang w:val="fr-FR"/>
        </w:rPr>
        <w:t>o</w:t>
      </w:r>
      <w:r>
        <w:rPr>
          <w:lang w:val="fr-FR"/>
        </w:rPr>
        <w:t> </w:t>
      </w:r>
      <w:r>
        <w:rPr>
          <w:lang w:val="fr-FR"/>
        </w:rPr>
        <w:t>117</w:t>
      </w:r>
      <w:r w:rsidR="00AF71B2" w:rsidRPr="00AF71B2">
        <w:rPr>
          <w:lang w:val="fr-FR"/>
        </w:rPr>
        <w:t>.</w:t>
      </w:r>
      <w:r>
        <w:rPr>
          <w:lang w:val="fr-FR"/>
        </w:rPr>
        <w:t xml:space="preserve"> Les modifications qu’il est proposé d’apporter au texte actuel du Règlement ONU figurent en caractères gras pour les ajouts et biffés pour les suppressions</w:t>
      </w:r>
      <w:r w:rsidR="00AF71B2" w:rsidRPr="00AF71B2">
        <w:rPr>
          <w:lang w:val="fr-FR"/>
        </w:rPr>
        <w:t>.</w:t>
      </w:r>
    </w:p>
    <w:p w14:paraId="441AA9AC" w14:textId="77777777" w:rsidR="0075704A" w:rsidRPr="00A57265" w:rsidRDefault="0075704A" w:rsidP="0075704A">
      <w:pPr>
        <w:rPr>
          <w:sz w:val="28"/>
          <w:lang w:val="fr-FR"/>
        </w:rPr>
      </w:pPr>
      <w:r w:rsidRPr="00A57265">
        <w:rPr>
          <w:lang w:val="fr-FR"/>
        </w:rPr>
        <w:br w:type="page"/>
      </w:r>
    </w:p>
    <w:p w14:paraId="4DEBFAC2" w14:textId="25E55DB7" w:rsidR="0075704A" w:rsidRPr="00A21343" w:rsidRDefault="0075704A" w:rsidP="0075704A">
      <w:pPr>
        <w:pStyle w:val="HChG"/>
        <w:rPr>
          <w:szCs w:val="28"/>
        </w:rPr>
      </w:pPr>
      <w:bookmarkStart w:id="0" w:name="_Hlk81492560"/>
      <w:r>
        <w:rPr>
          <w:szCs w:val="28"/>
        </w:rPr>
        <w:lastRenderedPageBreak/>
        <w:tab/>
      </w:r>
      <w:r w:rsidRPr="00A21343">
        <w:rPr>
          <w:szCs w:val="28"/>
        </w:rPr>
        <w:t>I</w:t>
      </w:r>
      <w:r w:rsidR="00AF71B2" w:rsidRPr="00AF71B2">
        <w:rPr>
          <w:szCs w:val="28"/>
        </w:rPr>
        <w:t>.</w:t>
      </w:r>
      <w:r w:rsidRPr="00A21343">
        <w:rPr>
          <w:szCs w:val="28"/>
        </w:rPr>
        <w:tab/>
      </w:r>
      <w:r>
        <w:rPr>
          <w:lang w:val="fr-FR"/>
        </w:rPr>
        <w:t xml:space="preserve">Proposition </w:t>
      </w:r>
      <w:bookmarkEnd w:id="0"/>
    </w:p>
    <w:p w14:paraId="1F37AF76" w14:textId="77777777" w:rsidR="0075704A" w:rsidRPr="00A21343" w:rsidRDefault="0075704A" w:rsidP="00761749">
      <w:pPr>
        <w:spacing w:after="120"/>
        <w:ind w:firstLine="1134"/>
        <w:rPr>
          <w:szCs w:val="14"/>
        </w:rPr>
      </w:pPr>
      <w:r w:rsidRPr="00761749">
        <w:rPr>
          <w:i/>
          <w:iCs/>
          <w:lang w:val="fr-FR"/>
        </w:rPr>
        <w:t>Table des matières, annexes, annexe 9</w:t>
      </w:r>
      <w:r>
        <w:rPr>
          <w:lang w:val="fr-FR"/>
        </w:rPr>
        <w:t>, lire :</w:t>
      </w:r>
    </w:p>
    <w:p w14:paraId="29726D6F" w14:textId="711125A4" w:rsidR="0075704A" w:rsidRPr="00761749" w:rsidRDefault="0075704A" w:rsidP="00761749">
      <w:pPr>
        <w:pStyle w:val="TM1"/>
        <w:tabs>
          <w:tab w:val="clear" w:pos="9071"/>
          <w:tab w:val="right" w:leader="dot" w:pos="8789"/>
          <w:tab w:val="right" w:pos="9498"/>
        </w:tabs>
        <w:spacing w:before="0" w:line="240" w:lineRule="atLeast"/>
        <w:ind w:left="2268" w:right="1134" w:hanging="1134"/>
        <w:rPr>
          <w:color w:val="000000" w:themeColor="text1"/>
          <w:sz w:val="20"/>
          <w:szCs w:val="20"/>
          <w:lang w:val="fr-FR"/>
        </w:rPr>
      </w:pPr>
      <w:r w:rsidRPr="00A57265">
        <w:rPr>
          <w:sz w:val="20"/>
          <w:szCs w:val="20"/>
          <w:lang w:val="fr-FR"/>
        </w:rPr>
        <w:t>« 9</w:t>
      </w:r>
      <w:r w:rsidRPr="00A57265">
        <w:rPr>
          <w:sz w:val="20"/>
          <w:szCs w:val="20"/>
          <w:lang w:val="fr-FR"/>
        </w:rPr>
        <w:tab/>
      </w:r>
      <w:r w:rsidRPr="00A57265">
        <w:rPr>
          <w:strike/>
          <w:sz w:val="20"/>
          <w:szCs w:val="20"/>
          <w:lang w:val="fr-FR"/>
        </w:rPr>
        <w:t>Procédure d</w:t>
      </w:r>
      <w:r>
        <w:rPr>
          <w:strike/>
          <w:sz w:val="20"/>
          <w:szCs w:val="20"/>
          <w:lang w:val="fr-FR"/>
        </w:rPr>
        <w:t>’</w:t>
      </w:r>
      <w:r w:rsidRPr="00A57265">
        <w:rPr>
          <w:strike/>
          <w:sz w:val="20"/>
          <w:szCs w:val="20"/>
          <w:lang w:val="fr-FR"/>
        </w:rPr>
        <w:t>essai pour mesurer</w:t>
      </w:r>
      <w:r w:rsidRPr="00A57265">
        <w:rPr>
          <w:sz w:val="20"/>
          <w:szCs w:val="20"/>
          <w:lang w:val="fr-FR"/>
        </w:rPr>
        <w:t xml:space="preserve"> </w:t>
      </w:r>
      <w:r w:rsidRPr="00A57265">
        <w:rPr>
          <w:b/>
          <w:bCs/>
          <w:sz w:val="20"/>
          <w:szCs w:val="20"/>
          <w:lang w:val="fr-FR"/>
        </w:rPr>
        <w:t xml:space="preserve">Procédure de </w:t>
      </w:r>
      <w:r>
        <w:rPr>
          <w:b/>
          <w:bCs/>
          <w:sz w:val="20"/>
          <w:szCs w:val="20"/>
          <w:lang w:val="fr-FR"/>
        </w:rPr>
        <w:t>détermination</w:t>
      </w:r>
      <w:r w:rsidRPr="00A57265">
        <w:rPr>
          <w:b/>
          <w:bCs/>
          <w:sz w:val="20"/>
          <w:szCs w:val="20"/>
          <w:lang w:val="fr-FR"/>
        </w:rPr>
        <w:t xml:space="preserve"> de</w:t>
      </w:r>
      <w:r w:rsidRPr="00A57265">
        <w:rPr>
          <w:sz w:val="20"/>
          <w:szCs w:val="20"/>
          <w:lang w:val="fr-FR"/>
        </w:rPr>
        <w:t xml:space="preserve"> l</w:t>
      </w:r>
      <w:r>
        <w:rPr>
          <w:sz w:val="20"/>
          <w:szCs w:val="20"/>
          <w:lang w:val="fr-FR"/>
        </w:rPr>
        <w:t>’</w:t>
      </w:r>
      <w:r w:rsidRPr="00A57265">
        <w:rPr>
          <w:sz w:val="20"/>
          <w:szCs w:val="20"/>
          <w:lang w:val="fr-FR"/>
        </w:rPr>
        <w:t>adhérence sur sol mouillé des pneumatiques usés</w:t>
      </w:r>
      <w:r w:rsidR="00596B91">
        <w:rPr>
          <w:sz w:val="20"/>
          <w:szCs w:val="20"/>
          <w:lang w:val="fr-FR"/>
        </w:rPr>
        <w:t xml:space="preserve"> </w:t>
      </w:r>
      <w:r w:rsidRPr="00A57265">
        <w:rPr>
          <w:webHidden/>
          <w:color w:val="000000" w:themeColor="text1"/>
          <w:sz w:val="20"/>
          <w:szCs w:val="20"/>
          <w:lang w:val="fr-FR"/>
        </w:rPr>
        <w:tab/>
      </w:r>
    </w:p>
    <w:p w14:paraId="25DCFD0A" w14:textId="3B51579C" w:rsidR="0075704A" w:rsidRPr="00761749" w:rsidRDefault="0075704A" w:rsidP="00761749">
      <w:pPr>
        <w:pStyle w:val="TM1"/>
        <w:tabs>
          <w:tab w:val="clear" w:pos="9071"/>
          <w:tab w:val="left" w:pos="2268"/>
          <w:tab w:val="right" w:leader="dot" w:pos="8789"/>
          <w:tab w:val="right" w:pos="9498"/>
        </w:tabs>
        <w:spacing w:before="0" w:line="240" w:lineRule="atLeast"/>
        <w:ind w:left="2546" w:hanging="1412"/>
        <w:rPr>
          <w:color w:val="000000" w:themeColor="text1"/>
          <w:sz w:val="20"/>
          <w:szCs w:val="20"/>
          <w:lang w:val="fr-FR"/>
        </w:rPr>
      </w:pPr>
      <w:r w:rsidRPr="00A57265">
        <w:rPr>
          <w:sz w:val="20"/>
          <w:szCs w:val="20"/>
          <w:lang w:val="fr-FR"/>
        </w:rPr>
        <w:t xml:space="preserve">Appendice 1 − </w:t>
      </w:r>
      <w:r w:rsidRPr="00A57265">
        <w:rPr>
          <w:sz w:val="20"/>
          <w:szCs w:val="20"/>
          <w:lang w:val="fr-FR"/>
        </w:rPr>
        <w:tab/>
        <w:t>Exemple de rapport de préparation d</w:t>
      </w:r>
      <w:r>
        <w:rPr>
          <w:sz w:val="20"/>
          <w:szCs w:val="20"/>
          <w:lang w:val="fr-FR"/>
        </w:rPr>
        <w:t>’</w:t>
      </w:r>
      <w:r w:rsidRPr="00A57265">
        <w:rPr>
          <w:sz w:val="20"/>
          <w:szCs w:val="20"/>
          <w:lang w:val="fr-FR"/>
        </w:rPr>
        <w:t>un pneumatique à l</w:t>
      </w:r>
      <w:r>
        <w:rPr>
          <w:sz w:val="20"/>
          <w:szCs w:val="20"/>
          <w:lang w:val="fr-FR"/>
        </w:rPr>
        <w:t>’</w:t>
      </w:r>
      <w:r w:rsidRPr="00A57265">
        <w:rPr>
          <w:sz w:val="20"/>
          <w:szCs w:val="20"/>
          <w:lang w:val="fr-FR"/>
        </w:rPr>
        <w:t>usure</w:t>
      </w:r>
      <w:r w:rsidRPr="00A57265">
        <w:rPr>
          <w:webHidden/>
          <w:color w:val="000000" w:themeColor="text1"/>
          <w:sz w:val="20"/>
          <w:szCs w:val="20"/>
          <w:lang w:val="fr-FR"/>
        </w:rPr>
        <w:tab/>
      </w:r>
    </w:p>
    <w:p w14:paraId="29E42793" w14:textId="6A680AC8" w:rsidR="0075704A" w:rsidRPr="00A57265" w:rsidRDefault="0075704A" w:rsidP="00761749">
      <w:pPr>
        <w:pStyle w:val="TM1"/>
        <w:tabs>
          <w:tab w:val="clear" w:pos="9071"/>
          <w:tab w:val="left" w:pos="2268"/>
          <w:tab w:val="right" w:leader="dot" w:pos="8789"/>
          <w:tab w:val="right" w:pos="9498"/>
        </w:tabs>
        <w:spacing w:before="0" w:line="240" w:lineRule="atLeast"/>
        <w:ind w:left="2546" w:right="1134" w:hanging="1412"/>
        <w:rPr>
          <w:color w:val="000000" w:themeColor="text1"/>
          <w:sz w:val="20"/>
          <w:szCs w:val="20"/>
          <w:lang w:val="fr-FR"/>
        </w:rPr>
      </w:pPr>
      <w:r w:rsidRPr="00A57265">
        <w:rPr>
          <w:sz w:val="20"/>
          <w:szCs w:val="20"/>
          <w:lang w:val="fr-FR"/>
        </w:rPr>
        <w:t xml:space="preserve">Appendice 2 − </w:t>
      </w:r>
      <w:r w:rsidRPr="00A57265">
        <w:rPr>
          <w:sz w:val="20"/>
          <w:szCs w:val="20"/>
          <w:lang w:val="fr-FR"/>
        </w:rPr>
        <w:tab/>
        <w:t>Exemples de procès-verbaux d</w:t>
      </w:r>
      <w:r>
        <w:rPr>
          <w:sz w:val="20"/>
          <w:szCs w:val="20"/>
          <w:lang w:val="fr-FR"/>
        </w:rPr>
        <w:t>’</w:t>
      </w:r>
      <w:r w:rsidRPr="00A57265">
        <w:rPr>
          <w:sz w:val="20"/>
          <w:szCs w:val="20"/>
          <w:lang w:val="fr-FR"/>
        </w:rPr>
        <w:t>essai pour la mesure de l</w:t>
      </w:r>
      <w:r>
        <w:rPr>
          <w:sz w:val="20"/>
          <w:szCs w:val="20"/>
          <w:lang w:val="fr-FR"/>
        </w:rPr>
        <w:t>’</w:t>
      </w:r>
      <w:r w:rsidRPr="00A57265">
        <w:rPr>
          <w:sz w:val="20"/>
          <w:szCs w:val="20"/>
          <w:lang w:val="fr-FR"/>
        </w:rPr>
        <w:t>indice d</w:t>
      </w:r>
      <w:r>
        <w:rPr>
          <w:sz w:val="20"/>
          <w:szCs w:val="20"/>
          <w:lang w:val="fr-FR"/>
        </w:rPr>
        <w:t>’</w:t>
      </w:r>
      <w:r w:rsidRPr="00A57265">
        <w:rPr>
          <w:sz w:val="20"/>
          <w:szCs w:val="20"/>
          <w:lang w:val="fr-FR"/>
        </w:rPr>
        <w:t>adhérence sur sol mouillé des pneumatiques usés</w:t>
      </w:r>
      <w:r w:rsidRPr="00A57265">
        <w:rPr>
          <w:webHidden/>
          <w:color w:val="000000" w:themeColor="text1"/>
          <w:sz w:val="20"/>
          <w:szCs w:val="20"/>
          <w:lang w:val="fr-FR"/>
        </w:rPr>
        <w:tab/>
      </w:r>
      <w:r>
        <w:rPr>
          <w:webHidden/>
          <w:color w:val="000000" w:themeColor="text1"/>
          <w:sz w:val="20"/>
          <w:szCs w:val="20"/>
          <w:lang w:val="fr-FR"/>
        </w:rPr>
        <w:t> »</w:t>
      </w:r>
      <w:r w:rsidR="00AF71B2" w:rsidRPr="00AF71B2">
        <w:rPr>
          <w:webHidden/>
          <w:color w:val="000000" w:themeColor="text1"/>
          <w:sz w:val="20"/>
          <w:szCs w:val="20"/>
          <w:lang w:val="fr-FR"/>
        </w:rPr>
        <w:t>.</w:t>
      </w:r>
    </w:p>
    <w:p w14:paraId="30CEFC0F" w14:textId="26CC6F9D" w:rsidR="0075704A" w:rsidRPr="00A21343" w:rsidRDefault="0075704A" w:rsidP="0075704A">
      <w:pPr>
        <w:spacing w:after="120"/>
        <w:ind w:left="1134"/>
      </w:pPr>
      <w:r>
        <w:rPr>
          <w:i/>
          <w:iCs/>
          <w:lang w:val="fr-FR"/>
        </w:rPr>
        <w:t>Paragraphe 6</w:t>
      </w:r>
      <w:r w:rsidR="00AF71B2" w:rsidRPr="00AF71B2">
        <w:rPr>
          <w:i/>
          <w:iCs/>
          <w:lang w:val="fr-FR"/>
        </w:rPr>
        <w:t>.</w:t>
      </w:r>
      <w:r>
        <w:rPr>
          <w:i/>
          <w:iCs/>
          <w:lang w:val="fr-FR"/>
        </w:rPr>
        <w:t>4</w:t>
      </w:r>
      <w:r w:rsidR="00AF71B2" w:rsidRPr="00AF71B2">
        <w:rPr>
          <w:i/>
          <w:iCs/>
          <w:lang w:val="fr-FR"/>
        </w:rPr>
        <w:t>.</w:t>
      </w:r>
      <w:r>
        <w:rPr>
          <w:i/>
          <w:iCs/>
          <w:lang w:val="fr-FR"/>
        </w:rPr>
        <w:t>1</w:t>
      </w:r>
      <w:r>
        <w:rPr>
          <w:lang w:val="fr-FR"/>
        </w:rPr>
        <w:t>, lire :</w:t>
      </w:r>
    </w:p>
    <w:p w14:paraId="0FA89422" w14:textId="77F14085" w:rsidR="0075704A" w:rsidRPr="00A21343" w:rsidRDefault="0075704A" w:rsidP="0075704A">
      <w:pPr>
        <w:pStyle w:val="SingleTxtG"/>
        <w:ind w:left="2268" w:hanging="1134"/>
        <w:rPr>
          <w:color w:val="000000" w:themeColor="text1"/>
        </w:rPr>
      </w:pPr>
      <w:r>
        <w:rPr>
          <w:lang w:val="fr-FR"/>
        </w:rPr>
        <w:t>« 6</w:t>
      </w:r>
      <w:r w:rsidR="00AF71B2" w:rsidRPr="00AF71B2">
        <w:rPr>
          <w:lang w:val="fr-FR"/>
        </w:rPr>
        <w:t>.</w:t>
      </w:r>
      <w:r>
        <w:rPr>
          <w:lang w:val="fr-FR"/>
        </w:rPr>
        <w:t>4</w:t>
      </w:r>
      <w:r w:rsidR="00AF71B2" w:rsidRPr="00AF71B2">
        <w:rPr>
          <w:lang w:val="fr-FR"/>
        </w:rPr>
        <w:t>.</w:t>
      </w:r>
      <w:r>
        <w:rPr>
          <w:lang w:val="fr-FR"/>
        </w:rPr>
        <w:t>1</w:t>
      </w:r>
      <w:r>
        <w:rPr>
          <w:lang w:val="fr-FR"/>
        </w:rPr>
        <w:tab/>
        <w:t>Les pneumatiques de la classe C1 éprouvés conformément à l’une ou l’autre méthode décrite dans l’annexe 9 du présent Règlement doivent satisfaire aux prescriptions suivantes :</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5"/>
        <w:gridCol w:w="2838"/>
        <w:gridCol w:w="1135"/>
        <w:gridCol w:w="1277"/>
      </w:tblGrid>
      <w:tr w:rsidR="0075704A" w:rsidRPr="00596B91" w14:paraId="13E35E9D" w14:textId="77777777" w:rsidTr="00761749">
        <w:trPr>
          <w:tblHeader/>
        </w:trPr>
        <w:tc>
          <w:tcPr>
            <w:tcW w:w="1335" w:type="dxa"/>
            <w:vAlign w:val="bottom"/>
            <w:hideMark/>
          </w:tcPr>
          <w:p w14:paraId="5147972B" w14:textId="77777777" w:rsidR="0075704A" w:rsidRPr="00596B91" w:rsidRDefault="0075704A" w:rsidP="009759C1">
            <w:pPr>
              <w:suppressAutoHyphens w:val="0"/>
              <w:spacing w:before="80" w:after="80" w:line="200" w:lineRule="exact"/>
              <w:ind w:left="113" w:right="113"/>
              <w:jc w:val="center"/>
              <w:rPr>
                <w:i/>
                <w:sz w:val="16"/>
                <w:szCs w:val="16"/>
              </w:rPr>
            </w:pPr>
            <w:r w:rsidRPr="00596B91">
              <w:rPr>
                <w:i/>
                <w:iCs/>
                <w:sz w:val="16"/>
                <w:szCs w:val="16"/>
                <w:lang w:val="fr-FR"/>
              </w:rPr>
              <w:t>Catégorie d’utilisation</w:t>
            </w:r>
          </w:p>
        </w:tc>
        <w:tc>
          <w:tcPr>
            <w:tcW w:w="3973" w:type="dxa"/>
            <w:gridSpan w:val="2"/>
          </w:tcPr>
          <w:p w14:paraId="427F3D04" w14:textId="77777777" w:rsidR="0075704A" w:rsidRPr="00596B91" w:rsidRDefault="0075704A" w:rsidP="009759C1">
            <w:pPr>
              <w:suppressAutoHyphens w:val="0"/>
              <w:spacing w:before="80" w:after="80" w:line="200" w:lineRule="exact"/>
              <w:ind w:left="113" w:right="113"/>
              <w:jc w:val="center"/>
              <w:rPr>
                <w:i/>
                <w:sz w:val="16"/>
                <w:szCs w:val="16"/>
                <w:lang w:val="en-GB"/>
              </w:rPr>
            </w:pPr>
          </w:p>
        </w:tc>
        <w:tc>
          <w:tcPr>
            <w:tcW w:w="1277" w:type="dxa"/>
            <w:noWrap/>
            <w:vAlign w:val="bottom"/>
            <w:hideMark/>
          </w:tcPr>
          <w:p w14:paraId="2654879D" w14:textId="77777777" w:rsidR="0075704A" w:rsidRPr="00596B91" w:rsidRDefault="0075704A" w:rsidP="009759C1">
            <w:pPr>
              <w:suppressAutoHyphens w:val="0"/>
              <w:spacing w:before="80" w:after="80" w:line="200" w:lineRule="exact"/>
              <w:ind w:left="113" w:right="113"/>
              <w:jc w:val="center"/>
              <w:rPr>
                <w:i/>
                <w:sz w:val="16"/>
                <w:szCs w:val="16"/>
              </w:rPr>
            </w:pPr>
            <w:r w:rsidRPr="00596B91">
              <w:rPr>
                <w:i/>
                <w:iCs/>
                <w:sz w:val="16"/>
                <w:szCs w:val="16"/>
                <w:lang w:val="fr-FR"/>
              </w:rPr>
              <w:t>Indice d’adhérence sur sol mouillé (G</w:t>
            </w:r>
            <w:r w:rsidRPr="00596B91">
              <w:rPr>
                <w:i/>
                <w:iCs/>
                <w:sz w:val="16"/>
                <w:szCs w:val="16"/>
                <w:vertAlign w:val="subscript"/>
                <w:lang w:val="fr-FR"/>
              </w:rPr>
              <w:t>B</w:t>
            </w:r>
            <w:r w:rsidRPr="00596B91">
              <w:rPr>
                <w:i/>
                <w:iCs/>
                <w:sz w:val="16"/>
                <w:szCs w:val="16"/>
                <w:lang w:val="fr-FR"/>
              </w:rPr>
              <w:t>)</w:t>
            </w:r>
          </w:p>
        </w:tc>
      </w:tr>
      <w:tr w:rsidR="0075704A" w:rsidRPr="009402B3" w14:paraId="34319856" w14:textId="77777777" w:rsidTr="00761749">
        <w:tc>
          <w:tcPr>
            <w:tcW w:w="1335" w:type="dxa"/>
            <w:hideMark/>
          </w:tcPr>
          <w:p w14:paraId="14B178F1" w14:textId="77777777" w:rsidR="0075704A" w:rsidRPr="009402B3" w:rsidRDefault="0075704A" w:rsidP="009759C1">
            <w:pPr>
              <w:suppressAutoHyphens w:val="0"/>
              <w:spacing w:before="40" w:after="40" w:line="220" w:lineRule="exact"/>
              <w:ind w:left="113" w:right="113"/>
              <w:rPr>
                <w:sz w:val="18"/>
                <w:szCs w:val="18"/>
              </w:rPr>
            </w:pPr>
            <w:r>
              <w:rPr>
                <w:lang w:val="fr-FR"/>
              </w:rPr>
              <w:t>Normale</w:t>
            </w:r>
          </w:p>
        </w:tc>
        <w:tc>
          <w:tcPr>
            <w:tcW w:w="3973" w:type="dxa"/>
            <w:gridSpan w:val="2"/>
          </w:tcPr>
          <w:p w14:paraId="77796919" w14:textId="77777777" w:rsidR="0075704A" w:rsidRPr="009402B3" w:rsidRDefault="0075704A" w:rsidP="009759C1">
            <w:pPr>
              <w:suppressAutoHyphens w:val="0"/>
              <w:spacing w:before="40" w:after="40" w:line="220" w:lineRule="exact"/>
              <w:ind w:left="113" w:right="113"/>
              <w:jc w:val="center"/>
              <w:rPr>
                <w:sz w:val="18"/>
                <w:szCs w:val="18"/>
                <w:lang w:val="en-GB"/>
              </w:rPr>
            </w:pPr>
          </w:p>
        </w:tc>
        <w:tc>
          <w:tcPr>
            <w:tcW w:w="1277" w:type="dxa"/>
            <w:hideMark/>
          </w:tcPr>
          <w:p w14:paraId="07C1E317" w14:textId="3F747829" w:rsidR="0075704A" w:rsidRPr="009402B3" w:rsidRDefault="0075704A" w:rsidP="009759C1">
            <w:pPr>
              <w:suppressAutoHyphens w:val="0"/>
              <w:spacing w:before="40" w:after="40" w:line="220" w:lineRule="exact"/>
              <w:ind w:left="113" w:right="113"/>
              <w:jc w:val="center"/>
              <w:rPr>
                <w:sz w:val="18"/>
                <w:szCs w:val="18"/>
              </w:rPr>
            </w:pPr>
            <w:r>
              <w:rPr>
                <w:lang w:val="fr-FR"/>
              </w:rPr>
              <w:t>≥0,88</w:t>
            </w:r>
          </w:p>
        </w:tc>
      </w:tr>
      <w:tr w:rsidR="0075704A" w:rsidRPr="009402B3" w14:paraId="225F7153" w14:textId="77777777" w:rsidTr="00761749">
        <w:tc>
          <w:tcPr>
            <w:tcW w:w="1335" w:type="dxa"/>
          </w:tcPr>
          <w:p w14:paraId="6DADF0CF" w14:textId="77777777" w:rsidR="0075704A" w:rsidRPr="009402B3" w:rsidRDefault="0075704A" w:rsidP="009759C1">
            <w:pPr>
              <w:suppressAutoHyphens w:val="0"/>
              <w:spacing w:before="40" w:after="40" w:line="240" w:lineRule="auto"/>
              <w:ind w:left="113" w:right="113"/>
              <w:rPr>
                <w:sz w:val="18"/>
                <w:szCs w:val="18"/>
                <w:lang w:val="en-GB" w:eastAsia="de-DE"/>
              </w:rPr>
            </w:pPr>
          </w:p>
        </w:tc>
        <w:tc>
          <w:tcPr>
            <w:tcW w:w="3973" w:type="dxa"/>
            <w:gridSpan w:val="2"/>
          </w:tcPr>
          <w:p w14:paraId="44FC1FAC" w14:textId="77777777" w:rsidR="0075704A" w:rsidRPr="009402B3" w:rsidRDefault="0075704A" w:rsidP="009759C1">
            <w:pPr>
              <w:suppressAutoHyphens w:val="0"/>
              <w:spacing w:before="40" w:after="40" w:line="240" w:lineRule="auto"/>
              <w:ind w:left="113" w:right="113"/>
              <w:rPr>
                <w:b/>
                <w:bCs/>
                <w:sz w:val="18"/>
                <w:szCs w:val="18"/>
              </w:rPr>
            </w:pPr>
            <w:r>
              <w:rPr>
                <w:b/>
                <w:bCs/>
                <w:lang w:val="fr-FR"/>
              </w:rPr>
              <w:t>Pneumatique dont le rapport nominal d’aspect est inférieur ou égal à 40, dont la grosseur de boudin est égale ou supérieure à 235 mm et qui convient à des vitesses égales ou supérieures à 300 km/h</w:t>
            </w:r>
            <w:r>
              <w:rPr>
                <w:lang w:val="fr-FR"/>
              </w:rPr>
              <w:t xml:space="preserve"> </w:t>
            </w:r>
          </w:p>
        </w:tc>
        <w:tc>
          <w:tcPr>
            <w:tcW w:w="1277" w:type="dxa"/>
          </w:tcPr>
          <w:p w14:paraId="1757E7AC" w14:textId="72329B74" w:rsidR="0075704A" w:rsidRPr="009402B3" w:rsidRDefault="0075704A" w:rsidP="009759C1">
            <w:pPr>
              <w:suppressAutoHyphens w:val="0"/>
              <w:spacing w:before="40" w:after="40" w:line="240" w:lineRule="auto"/>
              <w:ind w:left="113" w:right="113"/>
              <w:jc w:val="center"/>
              <w:rPr>
                <w:b/>
                <w:bCs/>
                <w:sz w:val="18"/>
                <w:szCs w:val="18"/>
              </w:rPr>
            </w:pPr>
            <w:r>
              <w:rPr>
                <w:b/>
                <w:bCs/>
                <w:lang w:val="fr-FR"/>
              </w:rPr>
              <w:t>≥0,80</w:t>
            </w:r>
          </w:p>
        </w:tc>
      </w:tr>
      <w:tr w:rsidR="0075704A" w:rsidRPr="009402B3" w14:paraId="013F857F" w14:textId="77777777" w:rsidTr="00761749">
        <w:tc>
          <w:tcPr>
            <w:tcW w:w="1335" w:type="dxa"/>
            <w:vMerge w:val="restart"/>
            <w:hideMark/>
          </w:tcPr>
          <w:p w14:paraId="428B4DB3" w14:textId="77777777" w:rsidR="0075704A" w:rsidRPr="009402B3" w:rsidRDefault="0075704A" w:rsidP="009759C1">
            <w:pPr>
              <w:suppressAutoHyphens w:val="0"/>
              <w:spacing w:before="40" w:after="40" w:line="220" w:lineRule="exact"/>
              <w:ind w:left="113" w:right="113"/>
              <w:rPr>
                <w:sz w:val="18"/>
                <w:szCs w:val="18"/>
              </w:rPr>
            </w:pPr>
            <w:r>
              <w:rPr>
                <w:lang w:val="fr-FR"/>
              </w:rPr>
              <w:t>Neige</w:t>
            </w:r>
          </w:p>
        </w:tc>
        <w:tc>
          <w:tcPr>
            <w:tcW w:w="3973" w:type="dxa"/>
            <w:gridSpan w:val="2"/>
          </w:tcPr>
          <w:p w14:paraId="7530AFFB" w14:textId="77777777" w:rsidR="0075704A" w:rsidRPr="009402B3" w:rsidRDefault="0075704A" w:rsidP="009759C1">
            <w:pPr>
              <w:suppressAutoHyphens w:val="0"/>
              <w:spacing w:before="40" w:after="40" w:line="220" w:lineRule="exact"/>
              <w:ind w:left="113" w:right="113"/>
              <w:jc w:val="center"/>
              <w:rPr>
                <w:sz w:val="18"/>
                <w:szCs w:val="18"/>
                <w:lang w:val="en-GB"/>
              </w:rPr>
            </w:pPr>
          </w:p>
        </w:tc>
        <w:tc>
          <w:tcPr>
            <w:tcW w:w="1277" w:type="dxa"/>
            <w:hideMark/>
          </w:tcPr>
          <w:p w14:paraId="67DC15DC" w14:textId="77777777" w:rsidR="0075704A" w:rsidRPr="009402B3" w:rsidRDefault="0075704A" w:rsidP="009759C1">
            <w:pPr>
              <w:suppressAutoHyphens w:val="0"/>
              <w:spacing w:before="40" w:after="40" w:line="220" w:lineRule="exact"/>
              <w:ind w:left="113" w:right="113"/>
              <w:jc w:val="center"/>
              <w:rPr>
                <w:b/>
                <w:bCs/>
                <w:sz w:val="18"/>
                <w:szCs w:val="18"/>
              </w:rPr>
            </w:pPr>
            <w:r>
              <w:rPr>
                <w:strike/>
                <w:lang w:val="fr-FR"/>
              </w:rPr>
              <w:t xml:space="preserve">≥ 0,80 </w:t>
            </w:r>
            <w:r>
              <w:rPr>
                <w:b/>
                <w:bCs/>
                <w:lang w:val="fr-FR"/>
              </w:rPr>
              <w:t>0,88</w:t>
            </w:r>
          </w:p>
        </w:tc>
      </w:tr>
      <w:tr w:rsidR="0075704A" w:rsidRPr="009402B3" w14:paraId="1969DB33" w14:textId="77777777" w:rsidTr="00761749">
        <w:trPr>
          <w:trHeight w:val="699"/>
        </w:trPr>
        <w:tc>
          <w:tcPr>
            <w:tcW w:w="5308" w:type="dxa"/>
            <w:vMerge/>
            <w:vAlign w:val="center"/>
            <w:hideMark/>
          </w:tcPr>
          <w:p w14:paraId="7CF1142D" w14:textId="77777777" w:rsidR="0075704A" w:rsidRPr="009402B3" w:rsidRDefault="0075704A" w:rsidP="009759C1">
            <w:pPr>
              <w:suppressAutoHyphens w:val="0"/>
              <w:spacing w:line="240" w:lineRule="auto"/>
              <w:rPr>
                <w:sz w:val="18"/>
                <w:szCs w:val="18"/>
                <w:lang w:val="en-GB" w:eastAsia="de-DE"/>
              </w:rPr>
            </w:pPr>
          </w:p>
        </w:tc>
        <w:tc>
          <w:tcPr>
            <w:tcW w:w="2838" w:type="dxa"/>
            <w:vMerge w:val="restart"/>
            <w:hideMark/>
          </w:tcPr>
          <w:p w14:paraId="47A007A5" w14:textId="6BA6E115" w:rsidR="0075704A" w:rsidRPr="009402B3" w:rsidRDefault="0075704A" w:rsidP="009759C1">
            <w:pPr>
              <w:suppressAutoHyphens w:val="0"/>
              <w:spacing w:before="40" w:after="40" w:line="220" w:lineRule="exact"/>
              <w:ind w:left="113" w:right="113"/>
              <w:rPr>
                <w:sz w:val="18"/>
                <w:szCs w:val="18"/>
              </w:rPr>
            </w:pPr>
            <w:r>
              <w:rPr>
                <w:lang w:val="fr-FR"/>
              </w:rPr>
              <w:t xml:space="preserve">« Pneumatique pour conditions de neige extrêmes » </w:t>
            </w:r>
            <w:r>
              <w:rPr>
                <w:strike/>
                <w:lang w:val="fr-FR"/>
              </w:rPr>
              <w:t>dont l’indice de vitesse (R ou supérieur, y compris H) correspond à une vitesse maximale autorisée</w:t>
            </w:r>
            <w:r>
              <w:rPr>
                <w:lang w:val="fr-FR"/>
              </w:rPr>
              <w:t xml:space="preserve"> </w:t>
            </w:r>
            <w:r>
              <w:rPr>
                <w:b/>
                <w:bCs/>
                <w:lang w:val="fr-FR"/>
              </w:rPr>
              <w:t xml:space="preserve">adapté à des vitesses </w:t>
            </w:r>
            <w:r>
              <w:rPr>
                <w:lang w:val="fr-FR"/>
              </w:rPr>
              <w:t>supérieure</w:t>
            </w:r>
            <w:r w:rsidRPr="006540B3">
              <w:rPr>
                <w:b/>
                <w:bCs/>
                <w:lang w:val="fr-FR"/>
              </w:rPr>
              <w:t xml:space="preserve">s </w:t>
            </w:r>
            <w:r>
              <w:rPr>
                <w:lang w:val="fr-FR"/>
              </w:rPr>
              <w:t>à 160</w:t>
            </w:r>
            <w:r w:rsidR="00761749">
              <w:rPr>
                <w:lang w:val="fr-FR"/>
              </w:rPr>
              <w:t> </w:t>
            </w:r>
            <w:r>
              <w:rPr>
                <w:lang w:val="fr-FR"/>
              </w:rPr>
              <w:t>km/h</w:t>
            </w:r>
            <w:bookmarkStart w:id="1" w:name="_Hlk94176869"/>
            <w:bookmarkEnd w:id="1"/>
          </w:p>
        </w:tc>
        <w:tc>
          <w:tcPr>
            <w:tcW w:w="1135" w:type="dxa"/>
          </w:tcPr>
          <w:p w14:paraId="61522FB6" w14:textId="77777777" w:rsidR="0075704A" w:rsidRPr="00A57265" w:rsidRDefault="0075704A" w:rsidP="009759C1">
            <w:pPr>
              <w:suppressAutoHyphens w:val="0"/>
              <w:spacing w:before="40" w:after="40" w:line="220" w:lineRule="exact"/>
              <w:ind w:left="113" w:right="113"/>
              <w:jc w:val="center"/>
              <w:rPr>
                <w:sz w:val="18"/>
                <w:szCs w:val="18"/>
                <w:lang w:val="fr-FR"/>
              </w:rPr>
            </w:pPr>
          </w:p>
        </w:tc>
        <w:tc>
          <w:tcPr>
            <w:tcW w:w="1277" w:type="dxa"/>
            <w:hideMark/>
          </w:tcPr>
          <w:p w14:paraId="28FD531A" w14:textId="6BAF3986" w:rsidR="0075704A" w:rsidRPr="009402B3" w:rsidRDefault="0075704A" w:rsidP="009759C1">
            <w:pPr>
              <w:suppressAutoHyphens w:val="0"/>
              <w:spacing w:before="40" w:after="40" w:line="220" w:lineRule="exact"/>
              <w:ind w:left="113" w:right="113"/>
              <w:jc w:val="center"/>
              <w:rPr>
                <w:sz w:val="18"/>
                <w:szCs w:val="18"/>
              </w:rPr>
            </w:pPr>
            <w:r>
              <w:rPr>
                <w:b/>
                <w:bCs/>
                <w:lang w:val="fr-FR"/>
              </w:rPr>
              <w:t>≥0,80</w:t>
            </w:r>
          </w:p>
        </w:tc>
      </w:tr>
      <w:tr w:rsidR="0075704A" w:rsidRPr="009402B3" w14:paraId="5D03146F" w14:textId="77777777" w:rsidTr="00761749">
        <w:tc>
          <w:tcPr>
            <w:tcW w:w="5308" w:type="dxa"/>
            <w:vMerge/>
            <w:vAlign w:val="center"/>
            <w:hideMark/>
          </w:tcPr>
          <w:p w14:paraId="0D0AE356" w14:textId="77777777" w:rsidR="0075704A" w:rsidRPr="009402B3" w:rsidRDefault="0075704A" w:rsidP="009759C1">
            <w:pPr>
              <w:suppressAutoHyphens w:val="0"/>
              <w:spacing w:line="240" w:lineRule="auto"/>
              <w:rPr>
                <w:sz w:val="18"/>
                <w:szCs w:val="18"/>
                <w:lang w:val="en-GB" w:eastAsia="de-DE"/>
              </w:rPr>
            </w:pPr>
          </w:p>
        </w:tc>
        <w:tc>
          <w:tcPr>
            <w:tcW w:w="3973" w:type="dxa"/>
            <w:vMerge/>
            <w:vAlign w:val="center"/>
            <w:hideMark/>
          </w:tcPr>
          <w:p w14:paraId="75C0095E" w14:textId="77777777" w:rsidR="0075704A" w:rsidRPr="009402B3" w:rsidRDefault="0075704A" w:rsidP="009759C1">
            <w:pPr>
              <w:suppressAutoHyphens w:val="0"/>
              <w:spacing w:line="240" w:lineRule="auto"/>
              <w:rPr>
                <w:sz w:val="18"/>
                <w:szCs w:val="18"/>
                <w:lang w:val="en-GB"/>
              </w:rPr>
            </w:pPr>
          </w:p>
        </w:tc>
        <w:tc>
          <w:tcPr>
            <w:tcW w:w="1135" w:type="dxa"/>
            <w:hideMark/>
          </w:tcPr>
          <w:p w14:paraId="63346504" w14:textId="77777777" w:rsidR="0075704A" w:rsidRPr="00761749" w:rsidRDefault="0075704A" w:rsidP="00761749">
            <w:pPr>
              <w:suppressAutoHyphens w:val="0"/>
              <w:spacing w:before="40" w:after="40" w:line="220" w:lineRule="exact"/>
              <w:ind w:left="57" w:right="57"/>
              <w:jc w:val="center"/>
              <w:rPr>
                <w:spacing w:val="-4"/>
                <w:sz w:val="18"/>
                <w:szCs w:val="18"/>
              </w:rPr>
            </w:pPr>
            <w:r w:rsidRPr="00761749">
              <w:rPr>
                <w:spacing w:val="-4"/>
                <w:lang w:val="fr-FR"/>
              </w:rPr>
              <w:t>Pneumatique glace</w:t>
            </w:r>
          </w:p>
        </w:tc>
        <w:tc>
          <w:tcPr>
            <w:tcW w:w="1277" w:type="dxa"/>
            <w:hideMark/>
          </w:tcPr>
          <w:p w14:paraId="6C142CAF" w14:textId="7C15CEE6" w:rsidR="0075704A" w:rsidRPr="009402B3" w:rsidRDefault="0075704A" w:rsidP="009759C1">
            <w:pPr>
              <w:suppressAutoHyphens w:val="0"/>
              <w:spacing w:before="40" w:after="40" w:line="220" w:lineRule="exact"/>
              <w:ind w:left="113" w:right="113"/>
              <w:jc w:val="center"/>
              <w:rPr>
                <w:sz w:val="18"/>
                <w:szCs w:val="18"/>
              </w:rPr>
            </w:pPr>
            <w:r>
              <w:rPr>
                <w:lang w:val="fr-FR"/>
              </w:rPr>
              <w:t>≥0,70</w:t>
            </w:r>
          </w:p>
        </w:tc>
      </w:tr>
      <w:tr w:rsidR="0075704A" w:rsidRPr="009402B3" w14:paraId="1C94439C" w14:textId="77777777" w:rsidTr="00761749">
        <w:trPr>
          <w:trHeight w:val="705"/>
        </w:trPr>
        <w:tc>
          <w:tcPr>
            <w:tcW w:w="5308" w:type="dxa"/>
            <w:vMerge/>
            <w:vAlign w:val="center"/>
            <w:hideMark/>
          </w:tcPr>
          <w:p w14:paraId="5A33BEAA" w14:textId="77777777" w:rsidR="0075704A" w:rsidRPr="009402B3" w:rsidRDefault="0075704A" w:rsidP="009759C1">
            <w:pPr>
              <w:suppressAutoHyphens w:val="0"/>
              <w:spacing w:line="240" w:lineRule="auto"/>
              <w:rPr>
                <w:sz w:val="18"/>
                <w:szCs w:val="18"/>
                <w:lang w:val="en-GB" w:eastAsia="de-DE"/>
              </w:rPr>
            </w:pPr>
          </w:p>
        </w:tc>
        <w:tc>
          <w:tcPr>
            <w:tcW w:w="2838" w:type="dxa"/>
            <w:vMerge w:val="restart"/>
            <w:hideMark/>
          </w:tcPr>
          <w:p w14:paraId="0E265F85" w14:textId="77777777" w:rsidR="0075704A" w:rsidRPr="009402B3" w:rsidRDefault="0075704A" w:rsidP="009759C1">
            <w:pPr>
              <w:suppressAutoHyphens w:val="0"/>
              <w:spacing w:before="40" w:after="40" w:line="220" w:lineRule="exact"/>
              <w:ind w:left="113" w:right="113"/>
              <w:rPr>
                <w:sz w:val="18"/>
                <w:szCs w:val="18"/>
              </w:rPr>
            </w:pPr>
            <w:r>
              <w:rPr>
                <w:lang w:val="fr-FR"/>
              </w:rPr>
              <w:t>« Pneumatique pour conditions de neige extrêmes »</w:t>
            </w:r>
            <w:r>
              <w:rPr>
                <w:strike/>
                <w:lang w:val="fr-FR"/>
              </w:rPr>
              <w:t xml:space="preserve"> dont l’indice de vitesse (Q ou inférieur, sauf H) correspond à une vitesse maximale autorisée</w:t>
            </w:r>
            <w:r>
              <w:rPr>
                <w:b/>
                <w:bCs/>
                <w:lang w:val="fr-FR"/>
              </w:rPr>
              <w:t xml:space="preserve"> adapté à des vitesses</w:t>
            </w:r>
            <w:r>
              <w:rPr>
                <w:lang w:val="fr-FR"/>
              </w:rPr>
              <w:t xml:space="preserve"> ne dépassant pas 160 km/h</w:t>
            </w:r>
          </w:p>
        </w:tc>
        <w:tc>
          <w:tcPr>
            <w:tcW w:w="1135" w:type="dxa"/>
          </w:tcPr>
          <w:p w14:paraId="712B2A09" w14:textId="77777777" w:rsidR="0075704A" w:rsidRPr="00761749" w:rsidRDefault="0075704A" w:rsidP="00761749">
            <w:pPr>
              <w:suppressAutoHyphens w:val="0"/>
              <w:spacing w:before="40" w:after="40" w:line="220" w:lineRule="exact"/>
              <w:ind w:left="57" w:right="57"/>
              <w:jc w:val="center"/>
              <w:rPr>
                <w:spacing w:val="-4"/>
                <w:sz w:val="18"/>
                <w:szCs w:val="18"/>
                <w:lang w:val="fr-FR"/>
              </w:rPr>
            </w:pPr>
          </w:p>
        </w:tc>
        <w:tc>
          <w:tcPr>
            <w:tcW w:w="1277" w:type="dxa"/>
            <w:hideMark/>
          </w:tcPr>
          <w:p w14:paraId="1FF8885E" w14:textId="27172F0B" w:rsidR="0075704A" w:rsidRPr="009402B3" w:rsidRDefault="0075704A" w:rsidP="009759C1">
            <w:pPr>
              <w:suppressAutoHyphens w:val="0"/>
              <w:spacing w:before="40" w:after="40" w:line="220" w:lineRule="exact"/>
              <w:ind w:left="113" w:right="113"/>
              <w:jc w:val="center"/>
              <w:rPr>
                <w:sz w:val="18"/>
                <w:szCs w:val="18"/>
              </w:rPr>
            </w:pPr>
            <w:r>
              <w:rPr>
                <w:lang w:val="fr-FR"/>
              </w:rPr>
              <w:t>≥0,70</w:t>
            </w:r>
          </w:p>
        </w:tc>
      </w:tr>
      <w:tr w:rsidR="0075704A" w:rsidRPr="009402B3" w14:paraId="4FE48991" w14:textId="77777777" w:rsidTr="00761749">
        <w:tc>
          <w:tcPr>
            <w:tcW w:w="5308" w:type="dxa"/>
            <w:vMerge/>
            <w:vAlign w:val="center"/>
            <w:hideMark/>
          </w:tcPr>
          <w:p w14:paraId="7EF279C1" w14:textId="77777777" w:rsidR="0075704A" w:rsidRPr="009402B3" w:rsidRDefault="0075704A" w:rsidP="009759C1">
            <w:pPr>
              <w:suppressAutoHyphens w:val="0"/>
              <w:spacing w:line="240" w:lineRule="auto"/>
              <w:rPr>
                <w:sz w:val="18"/>
                <w:szCs w:val="18"/>
                <w:lang w:val="en-GB" w:eastAsia="de-DE"/>
              </w:rPr>
            </w:pPr>
          </w:p>
        </w:tc>
        <w:tc>
          <w:tcPr>
            <w:tcW w:w="3973" w:type="dxa"/>
            <w:vMerge/>
            <w:vAlign w:val="center"/>
            <w:hideMark/>
          </w:tcPr>
          <w:p w14:paraId="3735E942" w14:textId="77777777" w:rsidR="0075704A" w:rsidRPr="009402B3" w:rsidRDefault="0075704A" w:rsidP="009759C1">
            <w:pPr>
              <w:suppressAutoHyphens w:val="0"/>
              <w:spacing w:line="240" w:lineRule="auto"/>
              <w:rPr>
                <w:sz w:val="18"/>
                <w:szCs w:val="18"/>
                <w:lang w:val="en-GB"/>
              </w:rPr>
            </w:pPr>
          </w:p>
        </w:tc>
        <w:tc>
          <w:tcPr>
            <w:tcW w:w="1135" w:type="dxa"/>
            <w:hideMark/>
          </w:tcPr>
          <w:p w14:paraId="2A426477" w14:textId="77777777" w:rsidR="0075704A" w:rsidRPr="00761749" w:rsidRDefault="0075704A" w:rsidP="00761749">
            <w:pPr>
              <w:suppressAutoHyphens w:val="0"/>
              <w:spacing w:before="40" w:after="40" w:line="220" w:lineRule="exact"/>
              <w:ind w:left="57" w:right="57"/>
              <w:jc w:val="center"/>
              <w:rPr>
                <w:spacing w:val="-4"/>
                <w:sz w:val="18"/>
                <w:szCs w:val="18"/>
              </w:rPr>
            </w:pPr>
            <w:r w:rsidRPr="00761749">
              <w:rPr>
                <w:spacing w:val="-4"/>
                <w:lang w:val="fr-FR"/>
              </w:rPr>
              <w:t>Pneumatique glace</w:t>
            </w:r>
          </w:p>
        </w:tc>
        <w:tc>
          <w:tcPr>
            <w:tcW w:w="1277" w:type="dxa"/>
            <w:hideMark/>
          </w:tcPr>
          <w:p w14:paraId="5014FAC0" w14:textId="7C5A1651" w:rsidR="0075704A" w:rsidRPr="009402B3" w:rsidRDefault="0075704A" w:rsidP="009759C1">
            <w:pPr>
              <w:suppressAutoHyphens w:val="0"/>
              <w:spacing w:before="40" w:after="40" w:line="220" w:lineRule="exact"/>
              <w:ind w:left="113" w:right="113"/>
              <w:jc w:val="center"/>
              <w:rPr>
                <w:sz w:val="18"/>
                <w:szCs w:val="18"/>
              </w:rPr>
            </w:pPr>
            <w:r>
              <w:rPr>
                <w:lang w:val="fr-FR"/>
              </w:rPr>
              <w:t>≥0,70</w:t>
            </w:r>
          </w:p>
        </w:tc>
      </w:tr>
      <w:tr w:rsidR="0075704A" w:rsidRPr="009402B3" w14:paraId="32F6020E" w14:textId="77777777" w:rsidTr="00761749">
        <w:tc>
          <w:tcPr>
            <w:tcW w:w="5308" w:type="dxa"/>
            <w:gridSpan w:val="3"/>
            <w:hideMark/>
          </w:tcPr>
          <w:p w14:paraId="0D7E5625" w14:textId="77777777" w:rsidR="0075704A" w:rsidRPr="009402B3" w:rsidRDefault="0075704A" w:rsidP="009759C1">
            <w:pPr>
              <w:suppressAutoHyphens w:val="0"/>
              <w:spacing w:before="40" w:after="40" w:line="220" w:lineRule="exact"/>
              <w:ind w:left="113" w:right="113"/>
              <w:rPr>
                <w:sz w:val="18"/>
                <w:szCs w:val="18"/>
              </w:rPr>
            </w:pPr>
            <w:r>
              <w:rPr>
                <w:lang w:val="fr-FR"/>
              </w:rPr>
              <w:t>Spéciale</w:t>
            </w:r>
          </w:p>
        </w:tc>
        <w:tc>
          <w:tcPr>
            <w:tcW w:w="1277" w:type="dxa"/>
            <w:hideMark/>
          </w:tcPr>
          <w:p w14:paraId="42BB9472" w14:textId="77777777" w:rsidR="0075704A" w:rsidRPr="00C31DD2" w:rsidRDefault="0075704A" w:rsidP="009759C1">
            <w:pPr>
              <w:suppressAutoHyphens w:val="0"/>
              <w:spacing w:before="40" w:after="40" w:line="220" w:lineRule="exact"/>
              <w:ind w:left="113" w:right="113"/>
              <w:jc w:val="center"/>
              <w:rPr>
                <w:strike/>
                <w:sz w:val="18"/>
                <w:szCs w:val="18"/>
              </w:rPr>
            </w:pPr>
            <w:r w:rsidRPr="006540B3">
              <w:rPr>
                <w:strike/>
                <w:lang w:val="fr-FR"/>
              </w:rPr>
              <w:t>Non défini</w:t>
            </w:r>
          </w:p>
          <w:p w14:paraId="313AAC70" w14:textId="646B1D90" w:rsidR="0075704A" w:rsidRPr="009402B3" w:rsidRDefault="0075704A" w:rsidP="009759C1">
            <w:pPr>
              <w:suppressAutoHyphens w:val="0"/>
              <w:spacing w:before="40" w:after="40" w:line="220" w:lineRule="exact"/>
              <w:ind w:left="113" w:right="113"/>
              <w:jc w:val="center"/>
              <w:rPr>
                <w:sz w:val="18"/>
                <w:szCs w:val="18"/>
              </w:rPr>
            </w:pPr>
            <w:r>
              <w:rPr>
                <w:b/>
                <w:bCs/>
                <w:lang w:val="fr-FR"/>
              </w:rPr>
              <w:t>≥0,80</w:t>
            </w:r>
          </w:p>
        </w:tc>
      </w:tr>
    </w:tbl>
    <w:p w14:paraId="22B9A3DC" w14:textId="618C7C45" w:rsidR="0075704A" w:rsidRPr="009402B3" w:rsidRDefault="0075704A" w:rsidP="00596B91">
      <w:pPr>
        <w:spacing w:before="240" w:after="120"/>
        <w:ind w:left="2268" w:right="1134" w:hanging="1134"/>
        <w:jc w:val="both"/>
        <w:rPr>
          <w:spacing w:val="-4"/>
          <w:sz w:val="18"/>
          <w:szCs w:val="18"/>
        </w:rPr>
      </w:pPr>
      <w:r>
        <w:rPr>
          <w:lang w:val="fr-FR"/>
        </w:rPr>
        <w:tab/>
      </w:r>
      <w:r>
        <w:rPr>
          <w:strike/>
          <w:lang w:val="fr-FR"/>
        </w:rPr>
        <w:t xml:space="preserve">Pour les pneumatiques normaux dont l’indice de vitesse correspond à une vitesse maximale autorisée égale ou supérieure à 300 km/h et dont le rapport </w:t>
      </w:r>
      <w:proofErr w:type="spellStart"/>
      <w:r>
        <w:rPr>
          <w:strike/>
          <w:lang w:val="fr-FR"/>
        </w:rPr>
        <w:t>rapport</w:t>
      </w:r>
      <w:proofErr w:type="spellEnd"/>
      <w:r>
        <w:rPr>
          <w:strike/>
          <w:lang w:val="fr-FR"/>
        </w:rPr>
        <w:t xml:space="preserve"> de section est égal ou inférieur à 40, la limite doit être diminuée de 0,08</w:t>
      </w:r>
      <w:r>
        <w:rPr>
          <w:lang w:val="fr-FR"/>
        </w:rPr>
        <w:t> »</w:t>
      </w:r>
      <w:r w:rsidR="00AF71B2" w:rsidRPr="00AF71B2">
        <w:rPr>
          <w:lang w:val="fr-FR"/>
        </w:rPr>
        <w:t>.</w:t>
      </w:r>
    </w:p>
    <w:p w14:paraId="46D0016B" w14:textId="38784C3A" w:rsidR="0075704A" w:rsidRPr="00A21343" w:rsidRDefault="0075704A" w:rsidP="0075704A">
      <w:pPr>
        <w:spacing w:after="120"/>
        <w:ind w:left="1134"/>
      </w:pPr>
      <w:r>
        <w:rPr>
          <w:lang w:val="fr-FR"/>
        </w:rPr>
        <w:t>Paragraphe 6</w:t>
      </w:r>
      <w:r w:rsidR="00AF71B2" w:rsidRPr="00AF71B2">
        <w:rPr>
          <w:lang w:val="fr-FR"/>
        </w:rPr>
        <w:t>.</w:t>
      </w:r>
      <w:r>
        <w:rPr>
          <w:lang w:val="fr-FR"/>
        </w:rPr>
        <w:t>7, lire :</w:t>
      </w:r>
    </w:p>
    <w:p w14:paraId="34D33F30" w14:textId="7EB84E31" w:rsidR="0075704A" w:rsidRPr="00A21343" w:rsidRDefault="0075704A" w:rsidP="0075704A">
      <w:pPr>
        <w:pStyle w:val="SingleTxtG"/>
        <w:ind w:left="2268" w:hanging="1134"/>
        <w:rPr>
          <w:bCs/>
        </w:rPr>
      </w:pPr>
      <w:r>
        <w:rPr>
          <w:lang w:val="fr-FR"/>
        </w:rPr>
        <w:t>« 6</w:t>
      </w:r>
      <w:r w:rsidR="00AF71B2" w:rsidRPr="00AF71B2">
        <w:rPr>
          <w:lang w:val="fr-FR"/>
        </w:rPr>
        <w:t>.</w:t>
      </w:r>
      <w:r>
        <w:rPr>
          <w:lang w:val="fr-FR"/>
        </w:rPr>
        <w:t>7</w:t>
      </w:r>
      <w:r>
        <w:rPr>
          <w:lang w:val="fr-FR"/>
        </w:rPr>
        <w:tab/>
        <w:t xml:space="preserve">Pour être classé dans la catégorie </w:t>
      </w:r>
      <w:r w:rsidR="00761749" w:rsidRPr="00761749">
        <w:t>“</w:t>
      </w:r>
      <w:r>
        <w:rPr>
          <w:lang w:val="fr-FR"/>
        </w:rPr>
        <w:t>pneumatique à usage spécial</w:t>
      </w:r>
      <w:r w:rsidR="00761749" w:rsidRPr="00761749">
        <w:t>”</w:t>
      </w:r>
      <w:r>
        <w:rPr>
          <w:lang w:val="fr-FR"/>
        </w:rPr>
        <w:t>, un pneumatique doit avoir un profil de la bande de roulement comportant des pavés plus gros et plus espacés que pour un pneumatique normal, et remplissant les conditions suivantes :</w:t>
      </w:r>
    </w:p>
    <w:p w14:paraId="272BDBB2" w14:textId="41CDF37D" w:rsidR="0075704A" w:rsidRPr="00A21343" w:rsidRDefault="0075704A" w:rsidP="0075704A">
      <w:pPr>
        <w:pStyle w:val="SingleTxtG"/>
        <w:ind w:left="2268"/>
        <w:rPr>
          <w:bCs/>
        </w:rPr>
      </w:pPr>
      <w:r>
        <w:rPr>
          <w:lang w:val="fr-FR"/>
        </w:rPr>
        <w:t>Pour les pneumatiques de la classe C1</w:t>
      </w:r>
      <w:r w:rsidR="00761749">
        <w:rPr>
          <w:lang w:val="fr-FR"/>
        </w:rPr>
        <w:t> </w:t>
      </w:r>
      <w:r>
        <w:rPr>
          <w:lang w:val="fr-FR"/>
        </w:rPr>
        <w:t>: une profondeur des sculptures ≥</w:t>
      </w:r>
      <w:r w:rsidRPr="006540B3">
        <w:rPr>
          <w:strike/>
          <w:lang w:val="fr-FR"/>
        </w:rPr>
        <w:t>11</w:t>
      </w:r>
      <w:r w:rsidRPr="006540B3">
        <w:rPr>
          <w:b/>
          <w:bCs/>
          <w:lang w:val="fr-FR"/>
        </w:rPr>
        <w:t>9</w:t>
      </w:r>
      <w:r w:rsidR="00761749">
        <w:rPr>
          <w:b/>
          <w:bCs/>
          <w:lang w:val="fr-FR"/>
        </w:rPr>
        <w:t> </w:t>
      </w:r>
      <w:r>
        <w:rPr>
          <w:lang w:val="fr-FR"/>
        </w:rPr>
        <w:t>mm et un rapport rainures/parties pleines ≥</w:t>
      </w:r>
      <w:r>
        <w:rPr>
          <w:strike/>
          <w:lang w:val="fr-FR"/>
        </w:rPr>
        <w:t>35</w:t>
      </w:r>
      <w:r>
        <w:rPr>
          <w:b/>
          <w:bCs/>
          <w:lang w:val="fr-FR"/>
        </w:rPr>
        <w:t>30</w:t>
      </w:r>
      <w:r>
        <w:rPr>
          <w:lang w:val="fr-FR"/>
        </w:rPr>
        <w:t xml:space="preserve"> % ;</w:t>
      </w:r>
    </w:p>
    <w:p w14:paraId="58980B89" w14:textId="77777777" w:rsidR="0075704A" w:rsidRPr="00A21343" w:rsidRDefault="0075704A" w:rsidP="0075704A">
      <w:pPr>
        <w:pStyle w:val="SingleTxtG"/>
        <w:ind w:left="2268"/>
        <w:rPr>
          <w:bCs/>
        </w:rPr>
      </w:pPr>
      <w:r>
        <w:rPr>
          <w:lang w:val="fr-FR"/>
        </w:rPr>
        <w:lastRenderedPageBreak/>
        <w:t>Pour les pneumatiques de la classe C2 : une profondeur des sculptures ≥11 mm et un rapport rainures/parties pleines ≥35 % ;</w:t>
      </w:r>
    </w:p>
    <w:p w14:paraId="5BFF78BC" w14:textId="057B8949" w:rsidR="0075704A" w:rsidRPr="00A21343" w:rsidRDefault="0075704A" w:rsidP="0075704A">
      <w:pPr>
        <w:pStyle w:val="SingleTxtG"/>
        <w:ind w:left="2268"/>
        <w:rPr>
          <w:szCs w:val="14"/>
        </w:rPr>
      </w:pPr>
      <w:r>
        <w:rPr>
          <w:lang w:val="fr-FR"/>
        </w:rPr>
        <w:t>Pour les pneumatiques de la classe C3 : une profondeur des sculptures ≥16 mm et un rapport rainures/parties pleines ≥35 %</w:t>
      </w:r>
      <w:r w:rsidR="00AF71B2" w:rsidRPr="00AF71B2">
        <w:rPr>
          <w:lang w:val="fr-FR"/>
        </w:rPr>
        <w:t>.</w:t>
      </w:r>
      <w:r>
        <w:rPr>
          <w:lang w:val="fr-FR"/>
        </w:rPr>
        <w:t> »</w:t>
      </w:r>
      <w:r w:rsidR="00AF71B2" w:rsidRPr="00AF71B2">
        <w:rPr>
          <w:lang w:val="fr-FR"/>
        </w:rPr>
        <w:t>.</w:t>
      </w:r>
    </w:p>
    <w:p w14:paraId="72C7A8B3" w14:textId="4314B93E" w:rsidR="0075704A" w:rsidRPr="00A21343" w:rsidRDefault="0075704A" w:rsidP="0075704A">
      <w:pPr>
        <w:pStyle w:val="SingleTxtG"/>
        <w:ind w:left="2268" w:hanging="1134"/>
      </w:pPr>
      <w:r w:rsidRPr="00761749">
        <w:rPr>
          <w:i/>
          <w:iCs/>
          <w:lang w:val="fr-FR"/>
        </w:rPr>
        <w:t>Ajouter le nouveau paragraphe 6</w:t>
      </w:r>
      <w:r w:rsidR="00AF71B2" w:rsidRPr="00AF71B2">
        <w:rPr>
          <w:i/>
          <w:iCs/>
          <w:lang w:val="fr-FR"/>
        </w:rPr>
        <w:t>.</w:t>
      </w:r>
      <w:r w:rsidRPr="00761749">
        <w:rPr>
          <w:i/>
          <w:iCs/>
          <w:lang w:val="fr-FR"/>
        </w:rPr>
        <w:t>4</w:t>
      </w:r>
      <w:r w:rsidR="00AF71B2" w:rsidRPr="00AF71B2">
        <w:rPr>
          <w:i/>
          <w:iCs/>
          <w:lang w:val="fr-FR"/>
        </w:rPr>
        <w:t>.</w:t>
      </w:r>
      <w:r w:rsidRPr="00761749">
        <w:rPr>
          <w:i/>
          <w:iCs/>
          <w:lang w:val="fr-FR"/>
        </w:rPr>
        <w:t>2</w:t>
      </w:r>
      <w:r>
        <w:rPr>
          <w:lang w:val="fr-FR"/>
        </w:rPr>
        <w:t>, libellé comme suit :</w:t>
      </w:r>
    </w:p>
    <w:p w14:paraId="709FC426" w14:textId="2264703E" w:rsidR="0075704A" w:rsidRPr="009402B3" w:rsidRDefault="0075704A" w:rsidP="0075704A">
      <w:pPr>
        <w:pStyle w:val="SingleTxtG"/>
        <w:ind w:left="2268" w:hanging="1134"/>
      </w:pPr>
      <w:r>
        <w:rPr>
          <w:lang w:val="fr-FR"/>
        </w:rPr>
        <w:t>« </w:t>
      </w:r>
      <w:r>
        <w:rPr>
          <w:b/>
          <w:bCs/>
          <w:lang w:val="fr-FR"/>
        </w:rPr>
        <w:t>6</w:t>
      </w:r>
      <w:r w:rsidR="00AF71B2" w:rsidRPr="00AF71B2">
        <w:rPr>
          <w:b/>
          <w:bCs/>
          <w:lang w:val="fr-FR"/>
        </w:rPr>
        <w:t>.</w:t>
      </w:r>
      <w:r>
        <w:rPr>
          <w:b/>
          <w:bCs/>
          <w:lang w:val="fr-FR"/>
        </w:rPr>
        <w:t>4</w:t>
      </w:r>
      <w:r w:rsidR="00AF71B2" w:rsidRPr="00AF71B2">
        <w:rPr>
          <w:b/>
          <w:bCs/>
          <w:lang w:val="fr-FR"/>
        </w:rPr>
        <w:t>.</w:t>
      </w:r>
      <w:r>
        <w:rPr>
          <w:b/>
          <w:bCs/>
          <w:lang w:val="fr-FR"/>
        </w:rPr>
        <w:t>2</w:t>
      </w:r>
      <w:r>
        <w:rPr>
          <w:lang w:val="fr-FR"/>
        </w:rPr>
        <w:tab/>
      </w:r>
      <w:r>
        <w:rPr>
          <w:b/>
          <w:bCs/>
          <w:lang w:val="fr-FR"/>
        </w:rPr>
        <w:t>Les pneumatiques de la classe C2 évalués conformément à l’une ou l’autre méthode décrite au paragraphe 3 de l’annexe 9 du présent Règlement doivent satisfaire aux prescriptions suivantes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75704A" w:rsidRPr="009402B3" w14:paraId="58AC6710" w14:textId="77777777" w:rsidTr="00761749">
        <w:trPr>
          <w:trHeight w:val="326"/>
        </w:trPr>
        <w:tc>
          <w:tcPr>
            <w:tcW w:w="4037" w:type="dxa"/>
            <w:gridSpan w:val="2"/>
            <w:vMerge w:val="restart"/>
            <w:shd w:val="clear" w:color="auto" w:fill="auto"/>
            <w:vAlign w:val="center"/>
          </w:tcPr>
          <w:p w14:paraId="3C34E003" w14:textId="77777777" w:rsidR="0075704A" w:rsidRPr="00761749" w:rsidRDefault="0075704A" w:rsidP="009759C1">
            <w:pPr>
              <w:keepNext/>
              <w:keepLines/>
              <w:suppressAutoHyphens w:val="0"/>
              <w:spacing w:before="60" w:after="60" w:line="240" w:lineRule="auto"/>
              <w:ind w:left="113" w:right="113"/>
              <w:rPr>
                <w:bCs/>
                <w:i/>
                <w:sz w:val="16"/>
                <w:szCs w:val="16"/>
              </w:rPr>
            </w:pPr>
            <w:r w:rsidRPr="00761749">
              <w:rPr>
                <w:i/>
                <w:iCs/>
                <w:sz w:val="16"/>
                <w:szCs w:val="16"/>
                <w:lang w:val="fr-FR"/>
              </w:rPr>
              <w:t>Catégorie d’utilisation</w:t>
            </w:r>
          </w:p>
        </w:tc>
        <w:tc>
          <w:tcPr>
            <w:tcW w:w="2200" w:type="dxa"/>
            <w:gridSpan w:val="2"/>
            <w:shd w:val="clear" w:color="auto" w:fill="auto"/>
          </w:tcPr>
          <w:p w14:paraId="5382B6D2" w14:textId="77777777" w:rsidR="0075704A" w:rsidRPr="00761749" w:rsidRDefault="0075704A" w:rsidP="009759C1">
            <w:pPr>
              <w:keepNext/>
              <w:keepLines/>
              <w:spacing w:before="60" w:after="60" w:line="240" w:lineRule="auto"/>
              <w:ind w:left="113" w:right="113"/>
              <w:jc w:val="center"/>
              <w:rPr>
                <w:b/>
                <w:bCs/>
                <w:i/>
                <w:sz w:val="16"/>
                <w:szCs w:val="16"/>
              </w:rPr>
            </w:pPr>
            <w:r w:rsidRPr="00761749">
              <w:rPr>
                <w:i/>
                <w:iCs/>
                <w:sz w:val="16"/>
                <w:szCs w:val="16"/>
                <w:lang w:val="fr-FR"/>
              </w:rPr>
              <w:t>Indice d’adhérence sur sol mouillé (</w:t>
            </w:r>
            <w:r w:rsidRPr="00761749">
              <w:rPr>
                <w:b/>
                <w:bCs/>
                <w:i/>
                <w:iCs/>
                <w:sz w:val="16"/>
                <w:szCs w:val="16"/>
                <w:lang w:val="fr-FR"/>
              </w:rPr>
              <w:t>G</w:t>
            </w:r>
            <w:r w:rsidRPr="00761749">
              <w:rPr>
                <w:b/>
                <w:bCs/>
                <w:i/>
                <w:iCs/>
                <w:sz w:val="16"/>
                <w:szCs w:val="16"/>
                <w:vertAlign w:val="subscript"/>
                <w:lang w:val="fr-FR"/>
              </w:rPr>
              <w:t>B</w:t>
            </w:r>
            <w:r w:rsidRPr="00761749">
              <w:rPr>
                <w:i/>
                <w:iCs/>
                <w:sz w:val="16"/>
                <w:szCs w:val="16"/>
                <w:lang w:val="fr-FR"/>
              </w:rPr>
              <w:t>)</w:t>
            </w:r>
          </w:p>
        </w:tc>
      </w:tr>
      <w:tr w:rsidR="0075704A" w:rsidRPr="009402B3" w14:paraId="70D35510" w14:textId="77777777" w:rsidTr="00761749">
        <w:trPr>
          <w:trHeight w:val="326"/>
        </w:trPr>
        <w:tc>
          <w:tcPr>
            <w:tcW w:w="4037" w:type="dxa"/>
            <w:gridSpan w:val="2"/>
            <w:vMerge/>
            <w:shd w:val="clear" w:color="auto" w:fill="auto"/>
          </w:tcPr>
          <w:p w14:paraId="68FAA34E" w14:textId="77777777" w:rsidR="0075704A" w:rsidRPr="00761749" w:rsidRDefault="0075704A" w:rsidP="009759C1">
            <w:pPr>
              <w:keepNext/>
              <w:keepLines/>
              <w:suppressAutoHyphens w:val="0"/>
              <w:spacing w:before="60" w:after="60" w:line="240" w:lineRule="auto"/>
              <w:ind w:left="113" w:right="113"/>
              <w:jc w:val="right"/>
              <w:rPr>
                <w:bCs/>
                <w:i/>
                <w:sz w:val="16"/>
                <w:szCs w:val="16"/>
                <w:lang w:val="fr-FR"/>
              </w:rPr>
            </w:pPr>
          </w:p>
        </w:tc>
        <w:tc>
          <w:tcPr>
            <w:tcW w:w="992" w:type="dxa"/>
            <w:shd w:val="clear" w:color="auto" w:fill="auto"/>
          </w:tcPr>
          <w:p w14:paraId="7257E703" w14:textId="77777777" w:rsidR="0075704A" w:rsidRPr="00761749" w:rsidRDefault="0075704A" w:rsidP="009759C1">
            <w:pPr>
              <w:keepNext/>
              <w:keepLines/>
              <w:suppressAutoHyphens w:val="0"/>
              <w:spacing w:before="60" w:after="60" w:line="240" w:lineRule="auto"/>
              <w:ind w:left="113" w:right="113"/>
              <w:jc w:val="center"/>
              <w:rPr>
                <w:bCs/>
                <w:i/>
                <w:sz w:val="16"/>
                <w:szCs w:val="16"/>
              </w:rPr>
            </w:pPr>
            <w:r w:rsidRPr="00761749">
              <w:rPr>
                <w:i/>
                <w:iCs/>
                <w:sz w:val="16"/>
                <w:szCs w:val="16"/>
                <w:lang w:val="fr-FR"/>
              </w:rPr>
              <w:t>Autre</w:t>
            </w:r>
          </w:p>
        </w:tc>
        <w:tc>
          <w:tcPr>
            <w:tcW w:w="1208" w:type="dxa"/>
            <w:shd w:val="clear" w:color="auto" w:fill="auto"/>
          </w:tcPr>
          <w:p w14:paraId="31464BB6" w14:textId="77777777" w:rsidR="0075704A" w:rsidRPr="00761749" w:rsidRDefault="0075704A" w:rsidP="009759C1">
            <w:pPr>
              <w:keepNext/>
              <w:keepLines/>
              <w:suppressAutoHyphens w:val="0"/>
              <w:spacing w:before="60" w:after="60" w:line="240" w:lineRule="auto"/>
              <w:ind w:left="113" w:right="113"/>
              <w:jc w:val="center"/>
              <w:rPr>
                <w:bCs/>
                <w:i/>
                <w:sz w:val="16"/>
                <w:szCs w:val="16"/>
              </w:rPr>
            </w:pPr>
            <w:r w:rsidRPr="00761749">
              <w:rPr>
                <w:i/>
                <w:iCs/>
                <w:sz w:val="16"/>
                <w:szCs w:val="16"/>
                <w:lang w:val="fr-FR"/>
              </w:rPr>
              <w:t>Pneumatiques de traction</w:t>
            </w:r>
          </w:p>
        </w:tc>
      </w:tr>
      <w:tr w:rsidR="0075704A" w:rsidRPr="009402B3" w14:paraId="6A715477" w14:textId="77777777" w:rsidTr="00761749">
        <w:trPr>
          <w:trHeight w:val="177"/>
        </w:trPr>
        <w:tc>
          <w:tcPr>
            <w:tcW w:w="1600" w:type="dxa"/>
            <w:shd w:val="clear" w:color="auto" w:fill="auto"/>
          </w:tcPr>
          <w:p w14:paraId="76733FBE" w14:textId="77777777" w:rsidR="0075704A" w:rsidRPr="002D0400" w:rsidRDefault="0075704A" w:rsidP="009759C1">
            <w:pPr>
              <w:suppressAutoHyphens w:val="0"/>
              <w:spacing w:before="60" w:after="60" w:line="240" w:lineRule="auto"/>
              <w:ind w:left="113" w:right="113"/>
              <w:jc w:val="both"/>
              <w:rPr>
                <w:bCs/>
                <w:sz w:val="18"/>
                <w:szCs w:val="18"/>
              </w:rPr>
            </w:pPr>
            <w:r>
              <w:rPr>
                <w:lang w:val="fr-FR"/>
              </w:rPr>
              <w:t>Normale</w:t>
            </w:r>
          </w:p>
        </w:tc>
        <w:tc>
          <w:tcPr>
            <w:tcW w:w="2437" w:type="dxa"/>
            <w:shd w:val="clear" w:color="auto" w:fill="auto"/>
          </w:tcPr>
          <w:p w14:paraId="3E6162D2" w14:textId="77777777" w:rsidR="0075704A" w:rsidRPr="002D0400"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3918E370" w14:textId="79D21B42" w:rsidR="0075704A" w:rsidRPr="002D0400" w:rsidRDefault="0075704A" w:rsidP="009759C1">
            <w:pPr>
              <w:suppressAutoHyphens w:val="0"/>
              <w:spacing w:before="60" w:after="60" w:line="240" w:lineRule="auto"/>
              <w:ind w:left="113" w:right="113"/>
              <w:jc w:val="center"/>
              <w:rPr>
                <w:b/>
                <w:sz w:val="18"/>
                <w:szCs w:val="18"/>
              </w:rPr>
            </w:pPr>
            <w:r>
              <w:rPr>
                <w:b/>
                <w:bCs/>
                <w:lang w:val="fr-FR"/>
              </w:rPr>
              <w:t>≥0,82</w:t>
            </w:r>
          </w:p>
        </w:tc>
        <w:tc>
          <w:tcPr>
            <w:tcW w:w="1208" w:type="dxa"/>
            <w:shd w:val="clear" w:color="auto" w:fill="auto"/>
          </w:tcPr>
          <w:p w14:paraId="0ADA0EAA" w14:textId="76DF8370" w:rsidR="0075704A" w:rsidRPr="002D0400" w:rsidRDefault="0075704A" w:rsidP="009759C1">
            <w:pPr>
              <w:spacing w:before="60" w:after="60" w:line="240" w:lineRule="auto"/>
              <w:ind w:left="113" w:right="113"/>
              <w:jc w:val="center"/>
              <w:rPr>
                <w:b/>
                <w:sz w:val="18"/>
                <w:szCs w:val="18"/>
              </w:rPr>
            </w:pPr>
            <w:r>
              <w:rPr>
                <w:b/>
                <w:bCs/>
                <w:lang w:val="fr-FR"/>
              </w:rPr>
              <w:t>≥0,74</w:t>
            </w:r>
          </w:p>
        </w:tc>
      </w:tr>
      <w:tr w:rsidR="0075704A" w:rsidRPr="009402B3" w14:paraId="10451FC7" w14:textId="77777777" w:rsidTr="00761749">
        <w:trPr>
          <w:trHeight w:val="161"/>
        </w:trPr>
        <w:tc>
          <w:tcPr>
            <w:tcW w:w="1600" w:type="dxa"/>
            <w:vMerge w:val="restart"/>
            <w:shd w:val="clear" w:color="auto" w:fill="auto"/>
          </w:tcPr>
          <w:p w14:paraId="18C248BA" w14:textId="77777777" w:rsidR="0075704A" w:rsidRPr="002D0400" w:rsidRDefault="0075704A" w:rsidP="009759C1">
            <w:pPr>
              <w:spacing w:before="60" w:after="60" w:line="240" w:lineRule="auto"/>
              <w:ind w:left="113" w:right="113"/>
              <w:jc w:val="both"/>
              <w:rPr>
                <w:bCs/>
                <w:sz w:val="18"/>
                <w:szCs w:val="18"/>
              </w:rPr>
            </w:pPr>
            <w:r>
              <w:rPr>
                <w:lang w:val="fr-FR"/>
              </w:rPr>
              <w:t>Neige</w:t>
            </w:r>
          </w:p>
        </w:tc>
        <w:tc>
          <w:tcPr>
            <w:tcW w:w="2437" w:type="dxa"/>
            <w:shd w:val="clear" w:color="auto" w:fill="auto"/>
          </w:tcPr>
          <w:p w14:paraId="706CC5D5" w14:textId="77777777" w:rsidR="0075704A" w:rsidRPr="002D0400"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17EE7A69" w14:textId="0C6CA193" w:rsidR="0075704A" w:rsidRPr="003A3DCF" w:rsidRDefault="0075704A" w:rsidP="009759C1">
            <w:pPr>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82</w:t>
            </w:r>
          </w:p>
        </w:tc>
        <w:tc>
          <w:tcPr>
            <w:tcW w:w="1208" w:type="dxa"/>
            <w:shd w:val="clear" w:color="auto" w:fill="auto"/>
          </w:tcPr>
          <w:p w14:paraId="32DAD5B4" w14:textId="32F83394" w:rsidR="0075704A" w:rsidRPr="002D0400" w:rsidRDefault="0075704A" w:rsidP="009759C1">
            <w:pPr>
              <w:spacing w:before="60" w:after="60" w:line="240" w:lineRule="auto"/>
              <w:ind w:left="113" w:right="113"/>
              <w:jc w:val="center"/>
              <w:rPr>
                <w:b/>
                <w:sz w:val="18"/>
                <w:szCs w:val="18"/>
              </w:rPr>
            </w:pPr>
            <w:r>
              <w:rPr>
                <w:b/>
                <w:bCs/>
                <w:lang w:val="fr-FR"/>
              </w:rPr>
              <w:t>≥0,74</w:t>
            </w:r>
          </w:p>
        </w:tc>
      </w:tr>
      <w:tr w:rsidR="0075704A" w:rsidRPr="009402B3" w14:paraId="05D54A2C" w14:textId="77777777" w:rsidTr="00761749">
        <w:trPr>
          <w:trHeight w:val="161"/>
        </w:trPr>
        <w:tc>
          <w:tcPr>
            <w:tcW w:w="1600" w:type="dxa"/>
            <w:vMerge/>
            <w:shd w:val="clear" w:color="auto" w:fill="auto"/>
          </w:tcPr>
          <w:p w14:paraId="46E0D069" w14:textId="77777777" w:rsidR="0075704A" w:rsidRPr="002D0400" w:rsidRDefault="0075704A" w:rsidP="009759C1">
            <w:pPr>
              <w:suppressAutoHyphens w:val="0"/>
              <w:spacing w:before="60" w:after="60" w:line="240" w:lineRule="auto"/>
              <w:ind w:left="113" w:right="113"/>
              <w:rPr>
                <w:bCs/>
                <w:sz w:val="18"/>
                <w:szCs w:val="18"/>
                <w:lang w:val="en-GB"/>
              </w:rPr>
            </w:pPr>
          </w:p>
        </w:tc>
        <w:tc>
          <w:tcPr>
            <w:tcW w:w="2437" w:type="dxa"/>
            <w:shd w:val="clear" w:color="auto" w:fill="auto"/>
          </w:tcPr>
          <w:p w14:paraId="39A8320C" w14:textId="77777777" w:rsidR="0075704A" w:rsidRPr="002D0400" w:rsidRDefault="0075704A" w:rsidP="00596B91">
            <w:pPr>
              <w:suppressAutoHyphens w:val="0"/>
              <w:spacing w:before="60" w:after="60" w:line="240" w:lineRule="auto"/>
              <w:ind w:left="113" w:right="113"/>
              <w:rPr>
                <w:bCs/>
                <w:sz w:val="18"/>
                <w:szCs w:val="18"/>
              </w:rPr>
            </w:pPr>
            <w:r>
              <w:rPr>
                <w:lang w:val="fr-FR"/>
              </w:rPr>
              <w:t>Pneumatiques pour conditions de neige extrêmes</w:t>
            </w:r>
          </w:p>
        </w:tc>
        <w:tc>
          <w:tcPr>
            <w:tcW w:w="992" w:type="dxa"/>
            <w:shd w:val="clear" w:color="auto" w:fill="auto"/>
          </w:tcPr>
          <w:p w14:paraId="0494D167" w14:textId="3E7F3BC6" w:rsidR="0075704A" w:rsidRPr="002D0400" w:rsidRDefault="0075704A" w:rsidP="009759C1">
            <w:pPr>
              <w:suppressAutoHyphens w:val="0"/>
              <w:spacing w:before="60" w:after="60" w:line="240" w:lineRule="auto"/>
              <w:ind w:left="113" w:right="113"/>
              <w:jc w:val="center"/>
              <w:rPr>
                <w:b/>
                <w:sz w:val="18"/>
                <w:szCs w:val="18"/>
              </w:rPr>
            </w:pPr>
            <w:r>
              <w:rPr>
                <w:b/>
                <w:bCs/>
                <w:lang w:val="fr-FR"/>
              </w:rPr>
              <w:t>≥0,74</w:t>
            </w:r>
          </w:p>
        </w:tc>
        <w:tc>
          <w:tcPr>
            <w:tcW w:w="1208" w:type="dxa"/>
            <w:shd w:val="clear" w:color="auto" w:fill="auto"/>
          </w:tcPr>
          <w:p w14:paraId="5C320421" w14:textId="3844658A" w:rsidR="0075704A" w:rsidRPr="002D0400" w:rsidRDefault="0075704A" w:rsidP="009759C1">
            <w:pPr>
              <w:spacing w:before="60" w:after="60" w:line="240" w:lineRule="auto"/>
              <w:ind w:left="113" w:right="113"/>
              <w:jc w:val="center"/>
              <w:rPr>
                <w:b/>
                <w:sz w:val="18"/>
                <w:szCs w:val="18"/>
              </w:rPr>
            </w:pPr>
            <w:r>
              <w:rPr>
                <w:b/>
                <w:bCs/>
                <w:lang w:val="fr-FR"/>
              </w:rPr>
              <w:t>≥0,74</w:t>
            </w:r>
          </w:p>
        </w:tc>
      </w:tr>
      <w:tr w:rsidR="0075704A" w:rsidRPr="009402B3" w14:paraId="1BDFCD5D" w14:textId="77777777" w:rsidTr="00761749">
        <w:trPr>
          <w:trHeight w:val="285"/>
        </w:trPr>
        <w:tc>
          <w:tcPr>
            <w:tcW w:w="1600" w:type="dxa"/>
            <w:shd w:val="clear" w:color="auto" w:fill="auto"/>
          </w:tcPr>
          <w:p w14:paraId="628B27D7" w14:textId="77777777" w:rsidR="0075704A" w:rsidRPr="002D0400" w:rsidRDefault="0075704A" w:rsidP="009759C1">
            <w:pPr>
              <w:suppressAutoHyphens w:val="0"/>
              <w:spacing w:before="60" w:after="60" w:line="240" w:lineRule="auto"/>
              <w:ind w:left="113" w:right="113"/>
              <w:jc w:val="both"/>
              <w:rPr>
                <w:bCs/>
                <w:sz w:val="18"/>
                <w:szCs w:val="18"/>
              </w:rPr>
            </w:pPr>
            <w:r>
              <w:rPr>
                <w:lang w:val="fr-FR"/>
              </w:rPr>
              <w:t>Spéciale</w:t>
            </w:r>
          </w:p>
        </w:tc>
        <w:tc>
          <w:tcPr>
            <w:tcW w:w="2437" w:type="dxa"/>
            <w:shd w:val="clear" w:color="auto" w:fill="auto"/>
          </w:tcPr>
          <w:p w14:paraId="0F84433E" w14:textId="77777777" w:rsidR="0075704A" w:rsidRPr="002D0400"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601456B9" w14:textId="3224FDB0" w:rsidR="0075704A" w:rsidRPr="002D0400" w:rsidRDefault="0075704A" w:rsidP="009759C1">
            <w:pPr>
              <w:suppressAutoHyphens w:val="0"/>
              <w:spacing w:before="60" w:after="60" w:line="240" w:lineRule="auto"/>
              <w:ind w:left="113" w:right="113"/>
              <w:jc w:val="center"/>
              <w:rPr>
                <w:b/>
                <w:sz w:val="18"/>
                <w:szCs w:val="18"/>
              </w:rPr>
            </w:pPr>
            <w:r>
              <w:rPr>
                <w:b/>
                <w:bCs/>
                <w:lang w:val="fr-FR"/>
              </w:rPr>
              <w:t>≥0,74</w:t>
            </w:r>
          </w:p>
        </w:tc>
        <w:tc>
          <w:tcPr>
            <w:tcW w:w="1208" w:type="dxa"/>
            <w:shd w:val="clear" w:color="auto" w:fill="auto"/>
          </w:tcPr>
          <w:p w14:paraId="074FCFB3" w14:textId="50250BD9" w:rsidR="0075704A" w:rsidRPr="002D0400" w:rsidRDefault="0075704A" w:rsidP="009759C1">
            <w:pPr>
              <w:suppressAutoHyphens w:val="0"/>
              <w:spacing w:before="60" w:after="60" w:line="240" w:lineRule="auto"/>
              <w:ind w:left="113" w:right="113"/>
              <w:jc w:val="center"/>
              <w:rPr>
                <w:b/>
                <w:sz w:val="18"/>
                <w:szCs w:val="18"/>
              </w:rPr>
            </w:pPr>
            <w:r>
              <w:rPr>
                <w:b/>
                <w:bCs/>
                <w:lang w:val="fr-FR"/>
              </w:rPr>
              <w:t>≥0,74</w:t>
            </w:r>
          </w:p>
        </w:tc>
      </w:tr>
    </w:tbl>
    <w:p w14:paraId="73D61943" w14:textId="72630CF5" w:rsidR="0075704A" w:rsidRPr="009402B3" w:rsidRDefault="0075704A" w:rsidP="00596B91">
      <w:pPr>
        <w:pStyle w:val="SingleTxtG"/>
        <w:spacing w:before="120" w:after="240"/>
        <w:ind w:left="2268"/>
        <w:jc w:val="right"/>
        <w:rPr>
          <w:lang w:val="en-GB"/>
        </w:rPr>
      </w:pPr>
      <w:r>
        <w:rPr>
          <w:lang w:val="en-GB"/>
        </w:rPr>
        <w:t> </w:t>
      </w:r>
      <w:r w:rsidRPr="003A3DCF">
        <w:rPr>
          <w:lang w:val="en-GB"/>
        </w:rPr>
        <w:t>»</w:t>
      </w:r>
      <w:r w:rsidR="00AF71B2" w:rsidRPr="00AF71B2">
        <w:rPr>
          <w:lang w:val="en-GB"/>
        </w:rPr>
        <w:t>.</w:t>
      </w:r>
    </w:p>
    <w:p w14:paraId="77940D2F" w14:textId="05DAAEF7" w:rsidR="0075704A" w:rsidRPr="00A21343" w:rsidRDefault="0075704A" w:rsidP="0075704A">
      <w:pPr>
        <w:pStyle w:val="SingleTxtG"/>
        <w:ind w:left="2268" w:hanging="1134"/>
      </w:pPr>
      <w:r w:rsidRPr="00761749">
        <w:rPr>
          <w:i/>
          <w:iCs/>
          <w:lang w:val="fr-FR"/>
        </w:rPr>
        <w:t>Ajouter le nouveau paragraphe 6</w:t>
      </w:r>
      <w:r w:rsidR="00AF71B2" w:rsidRPr="00AF71B2">
        <w:rPr>
          <w:i/>
          <w:iCs/>
          <w:lang w:val="fr-FR"/>
        </w:rPr>
        <w:t>.</w:t>
      </w:r>
      <w:r w:rsidRPr="00761749">
        <w:rPr>
          <w:i/>
          <w:iCs/>
          <w:lang w:val="fr-FR"/>
        </w:rPr>
        <w:t>4</w:t>
      </w:r>
      <w:r w:rsidR="00AF71B2" w:rsidRPr="00AF71B2">
        <w:rPr>
          <w:i/>
          <w:iCs/>
          <w:lang w:val="fr-FR"/>
        </w:rPr>
        <w:t>.</w:t>
      </w:r>
      <w:r w:rsidRPr="00761749">
        <w:rPr>
          <w:i/>
          <w:iCs/>
          <w:lang w:val="fr-FR"/>
        </w:rPr>
        <w:t>3</w:t>
      </w:r>
      <w:r>
        <w:rPr>
          <w:lang w:val="fr-FR"/>
        </w:rPr>
        <w:t>, libellé comme suit :</w:t>
      </w:r>
    </w:p>
    <w:p w14:paraId="05CAA902" w14:textId="03DC59EF" w:rsidR="0075704A" w:rsidRPr="009402B3" w:rsidRDefault="0075704A" w:rsidP="0075704A">
      <w:pPr>
        <w:pStyle w:val="SingleTxtG"/>
        <w:ind w:left="2268" w:hanging="1134"/>
        <w:rPr>
          <w:spacing w:val="-4"/>
        </w:rPr>
      </w:pPr>
      <w:r>
        <w:rPr>
          <w:lang w:val="fr-FR"/>
        </w:rPr>
        <w:t>« </w:t>
      </w:r>
      <w:r>
        <w:rPr>
          <w:b/>
          <w:bCs/>
          <w:lang w:val="fr-FR"/>
        </w:rPr>
        <w:t>6</w:t>
      </w:r>
      <w:r w:rsidR="00AF71B2" w:rsidRPr="00AF71B2">
        <w:rPr>
          <w:b/>
          <w:bCs/>
          <w:lang w:val="fr-FR"/>
        </w:rPr>
        <w:t>.</w:t>
      </w:r>
      <w:r>
        <w:rPr>
          <w:b/>
          <w:bCs/>
          <w:lang w:val="fr-FR"/>
        </w:rPr>
        <w:t>4</w:t>
      </w:r>
      <w:r w:rsidR="00AF71B2" w:rsidRPr="00AF71B2">
        <w:rPr>
          <w:b/>
          <w:bCs/>
          <w:lang w:val="fr-FR"/>
        </w:rPr>
        <w:t>.</w:t>
      </w:r>
      <w:r>
        <w:rPr>
          <w:b/>
          <w:bCs/>
          <w:lang w:val="fr-FR"/>
        </w:rPr>
        <w:t>3</w:t>
      </w:r>
      <w:r>
        <w:rPr>
          <w:lang w:val="fr-FR"/>
        </w:rPr>
        <w:tab/>
      </w:r>
      <w:r>
        <w:rPr>
          <w:b/>
          <w:bCs/>
          <w:lang w:val="fr-FR"/>
        </w:rPr>
        <w:t>Les pneumatiques de la classe C3 évalués conformément à l’une ou l’autre méthode décrite au paragraphe 3 de l’annexe 9 du présent Règlement doivent satisfaire aux prescriptions suivantes :</w:t>
      </w:r>
      <w:r>
        <w:rPr>
          <w:lang w:val="fr-FR"/>
        </w:rPr>
        <w:tab/>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75704A" w:rsidRPr="009402B3" w14:paraId="34C3E912" w14:textId="77777777" w:rsidTr="00761749">
        <w:trPr>
          <w:trHeight w:val="326"/>
        </w:trPr>
        <w:tc>
          <w:tcPr>
            <w:tcW w:w="3969" w:type="dxa"/>
            <w:gridSpan w:val="2"/>
            <w:vMerge w:val="restart"/>
            <w:shd w:val="clear" w:color="auto" w:fill="auto"/>
            <w:vAlign w:val="bottom"/>
          </w:tcPr>
          <w:p w14:paraId="4AC2589D" w14:textId="0879B3CB" w:rsidR="0075704A" w:rsidRPr="00761749" w:rsidRDefault="0075704A" w:rsidP="00761749">
            <w:pPr>
              <w:suppressAutoHyphens w:val="0"/>
              <w:spacing w:before="60" w:after="60" w:line="240" w:lineRule="auto"/>
              <w:ind w:left="113" w:right="113"/>
              <w:rPr>
                <w:bCs/>
                <w:i/>
                <w:sz w:val="16"/>
                <w:szCs w:val="16"/>
              </w:rPr>
            </w:pPr>
            <w:r w:rsidRPr="00761749">
              <w:rPr>
                <w:i/>
                <w:iCs/>
                <w:sz w:val="16"/>
                <w:szCs w:val="16"/>
                <w:lang w:val="fr-FR"/>
              </w:rPr>
              <w:t>Catégorie d’utilisation</w:t>
            </w:r>
          </w:p>
        </w:tc>
        <w:tc>
          <w:tcPr>
            <w:tcW w:w="2268" w:type="dxa"/>
            <w:gridSpan w:val="2"/>
            <w:shd w:val="clear" w:color="auto" w:fill="auto"/>
          </w:tcPr>
          <w:p w14:paraId="1CCE634B" w14:textId="77777777" w:rsidR="0075704A" w:rsidRPr="00761749" w:rsidRDefault="0075704A" w:rsidP="009759C1">
            <w:pPr>
              <w:suppressAutoHyphens w:val="0"/>
              <w:spacing w:before="60" w:after="60" w:line="240" w:lineRule="auto"/>
              <w:ind w:left="113" w:right="113"/>
              <w:jc w:val="center"/>
              <w:rPr>
                <w:bCs/>
                <w:i/>
                <w:sz w:val="16"/>
                <w:szCs w:val="16"/>
              </w:rPr>
            </w:pPr>
            <w:r w:rsidRPr="00761749">
              <w:rPr>
                <w:i/>
                <w:iCs/>
                <w:sz w:val="16"/>
                <w:szCs w:val="16"/>
                <w:lang w:val="fr-FR"/>
              </w:rPr>
              <w:t>Indice d’adhérence sur sol mouillé (</w:t>
            </w:r>
            <w:r w:rsidRPr="00761749">
              <w:rPr>
                <w:b/>
                <w:bCs/>
                <w:i/>
                <w:iCs/>
                <w:sz w:val="16"/>
                <w:szCs w:val="16"/>
                <w:lang w:val="fr-FR"/>
              </w:rPr>
              <w:t>G</w:t>
            </w:r>
            <w:r w:rsidRPr="00761749">
              <w:rPr>
                <w:b/>
                <w:bCs/>
                <w:i/>
                <w:iCs/>
                <w:sz w:val="16"/>
                <w:szCs w:val="16"/>
                <w:vertAlign w:val="subscript"/>
                <w:lang w:val="fr-FR"/>
              </w:rPr>
              <w:t>B</w:t>
            </w:r>
            <w:r w:rsidRPr="00761749">
              <w:rPr>
                <w:i/>
                <w:iCs/>
                <w:sz w:val="16"/>
                <w:szCs w:val="16"/>
                <w:lang w:val="fr-FR"/>
              </w:rPr>
              <w:t>)</w:t>
            </w:r>
          </w:p>
        </w:tc>
      </w:tr>
      <w:tr w:rsidR="0075704A" w:rsidRPr="009402B3" w14:paraId="296F1060" w14:textId="77777777" w:rsidTr="00761749">
        <w:trPr>
          <w:trHeight w:val="326"/>
        </w:trPr>
        <w:tc>
          <w:tcPr>
            <w:tcW w:w="3969" w:type="dxa"/>
            <w:gridSpan w:val="2"/>
            <w:vMerge/>
            <w:shd w:val="clear" w:color="auto" w:fill="auto"/>
          </w:tcPr>
          <w:p w14:paraId="5AD1338D" w14:textId="77777777" w:rsidR="0075704A" w:rsidRPr="00761749" w:rsidRDefault="0075704A" w:rsidP="009759C1">
            <w:pPr>
              <w:suppressAutoHyphens w:val="0"/>
              <w:spacing w:before="60" w:after="60" w:line="240" w:lineRule="auto"/>
              <w:ind w:left="113" w:right="113"/>
              <w:jc w:val="right"/>
              <w:rPr>
                <w:bCs/>
                <w:sz w:val="16"/>
                <w:szCs w:val="16"/>
                <w:lang w:val="fr-FR"/>
              </w:rPr>
            </w:pPr>
          </w:p>
        </w:tc>
        <w:tc>
          <w:tcPr>
            <w:tcW w:w="992" w:type="dxa"/>
            <w:shd w:val="clear" w:color="auto" w:fill="auto"/>
          </w:tcPr>
          <w:p w14:paraId="26B38429" w14:textId="77777777" w:rsidR="0075704A" w:rsidRPr="00761749" w:rsidRDefault="0075704A" w:rsidP="009759C1">
            <w:pPr>
              <w:suppressAutoHyphens w:val="0"/>
              <w:spacing w:before="60" w:after="60" w:line="240" w:lineRule="auto"/>
              <w:ind w:left="113" w:right="113"/>
              <w:jc w:val="center"/>
              <w:rPr>
                <w:bCs/>
                <w:sz w:val="16"/>
                <w:szCs w:val="16"/>
              </w:rPr>
            </w:pPr>
            <w:r w:rsidRPr="00761749">
              <w:rPr>
                <w:i/>
                <w:iCs/>
                <w:sz w:val="16"/>
                <w:szCs w:val="16"/>
                <w:lang w:val="fr-FR"/>
              </w:rPr>
              <w:t>Autre</w:t>
            </w:r>
          </w:p>
        </w:tc>
        <w:tc>
          <w:tcPr>
            <w:tcW w:w="1276" w:type="dxa"/>
            <w:shd w:val="clear" w:color="auto" w:fill="auto"/>
          </w:tcPr>
          <w:p w14:paraId="4FE1EDDD" w14:textId="77777777" w:rsidR="0075704A" w:rsidRPr="00761749" w:rsidRDefault="0075704A" w:rsidP="009759C1">
            <w:pPr>
              <w:suppressAutoHyphens w:val="0"/>
              <w:spacing w:before="60" w:after="60" w:line="240" w:lineRule="auto"/>
              <w:ind w:left="113" w:right="113"/>
              <w:jc w:val="center"/>
              <w:rPr>
                <w:bCs/>
                <w:sz w:val="16"/>
                <w:szCs w:val="16"/>
              </w:rPr>
            </w:pPr>
            <w:r w:rsidRPr="00761749">
              <w:rPr>
                <w:i/>
                <w:iCs/>
                <w:sz w:val="16"/>
                <w:szCs w:val="16"/>
                <w:lang w:val="fr-FR"/>
              </w:rPr>
              <w:t>Pneumatiques de traction</w:t>
            </w:r>
          </w:p>
        </w:tc>
      </w:tr>
      <w:tr w:rsidR="0075704A" w:rsidRPr="009402B3" w14:paraId="3989724F" w14:textId="77777777" w:rsidTr="00761749">
        <w:trPr>
          <w:trHeight w:val="177"/>
        </w:trPr>
        <w:tc>
          <w:tcPr>
            <w:tcW w:w="1532" w:type="dxa"/>
            <w:shd w:val="clear" w:color="auto" w:fill="auto"/>
          </w:tcPr>
          <w:p w14:paraId="24D40B98" w14:textId="77777777" w:rsidR="0075704A" w:rsidRPr="00347045" w:rsidRDefault="0075704A" w:rsidP="009759C1">
            <w:pPr>
              <w:suppressAutoHyphens w:val="0"/>
              <w:spacing w:before="60" w:after="60" w:line="240" w:lineRule="auto"/>
              <w:ind w:left="113" w:right="113"/>
              <w:jc w:val="both"/>
              <w:rPr>
                <w:bCs/>
                <w:sz w:val="18"/>
                <w:szCs w:val="18"/>
              </w:rPr>
            </w:pPr>
            <w:r>
              <w:rPr>
                <w:lang w:val="fr-FR"/>
              </w:rPr>
              <w:t>Normale</w:t>
            </w:r>
          </w:p>
        </w:tc>
        <w:tc>
          <w:tcPr>
            <w:tcW w:w="2437" w:type="dxa"/>
            <w:shd w:val="clear" w:color="auto" w:fill="auto"/>
          </w:tcPr>
          <w:p w14:paraId="75CD7C17" w14:textId="77777777" w:rsidR="0075704A" w:rsidRPr="00347045"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671E6F32" w14:textId="72DB9BA4" w:rsidR="0075704A" w:rsidRPr="00347045" w:rsidRDefault="0075704A" w:rsidP="009759C1">
            <w:pPr>
              <w:suppressAutoHyphens w:val="0"/>
              <w:spacing w:line="240" w:lineRule="auto"/>
              <w:ind w:left="113" w:right="113"/>
              <w:jc w:val="center"/>
              <w:rPr>
                <w:b/>
                <w:sz w:val="18"/>
                <w:szCs w:val="18"/>
              </w:rPr>
            </w:pPr>
            <w:r>
              <w:rPr>
                <w:b/>
                <w:bCs/>
                <w:lang w:val="fr-FR"/>
              </w:rPr>
              <w:t>≥0,66</w:t>
            </w:r>
          </w:p>
        </w:tc>
        <w:tc>
          <w:tcPr>
            <w:tcW w:w="1276" w:type="dxa"/>
            <w:shd w:val="clear" w:color="auto" w:fill="auto"/>
          </w:tcPr>
          <w:p w14:paraId="159CC049" w14:textId="11A0F33A" w:rsidR="0075704A" w:rsidRPr="00347045" w:rsidRDefault="0075704A" w:rsidP="009759C1">
            <w:pPr>
              <w:spacing w:before="60" w:after="60" w:line="240" w:lineRule="auto"/>
              <w:ind w:left="113" w:right="113"/>
              <w:jc w:val="center"/>
              <w:rPr>
                <w:b/>
                <w:sz w:val="18"/>
                <w:szCs w:val="18"/>
              </w:rPr>
            </w:pPr>
            <w:r>
              <w:rPr>
                <w:b/>
                <w:bCs/>
                <w:lang w:val="fr-FR"/>
              </w:rPr>
              <w:t>≥0,54</w:t>
            </w:r>
          </w:p>
        </w:tc>
      </w:tr>
      <w:tr w:rsidR="0075704A" w:rsidRPr="009402B3" w14:paraId="419AB736" w14:textId="77777777" w:rsidTr="00761749">
        <w:trPr>
          <w:trHeight w:val="161"/>
        </w:trPr>
        <w:tc>
          <w:tcPr>
            <w:tcW w:w="1532" w:type="dxa"/>
            <w:vMerge w:val="restart"/>
            <w:shd w:val="clear" w:color="auto" w:fill="auto"/>
          </w:tcPr>
          <w:p w14:paraId="68F3069B" w14:textId="77777777" w:rsidR="0075704A" w:rsidRPr="00347045" w:rsidRDefault="0075704A" w:rsidP="009759C1">
            <w:pPr>
              <w:spacing w:before="60" w:after="60" w:line="240" w:lineRule="auto"/>
              <w:ind w:left="113" w:right="113"/>
              <w:jc w:val="both"/>
              <w:rPr>
                <w:bCs/>
                <w:sz w:val="18"/>
                <w:szCs w:val="18"/>
              </w:rPr>
            </w:pPr>
            <w:r>
              <w:rPr>
                <w:lang w:val="fr-FR"/>
              </w:rPr>
              <w:t>Neige</w:t>
            </w:r>
          </w:p>
        </w:tc>
        <w:tc>
          <w:tcPr>
            <w:tcW w:w="2437" w:type="dxa"/>
            <w:shd w:val="clear" w:color="auto" w:fill="auto"/>
          </w:tcPr>
          <w:p w14:paraId="4E515434" w14:textId="77777777" w:rsidR="0075704A" w:rsidRPr="00347045"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21183E50" w14:textId="6DEEE27A" w:rsidR="0075704A" w:rsidRPr="003A3DCF" w:rsidRDefault="0075704A" w:rsidP="009759C1">
            <w:pPr>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c>
          <w:tcPr>
            <w:tcW w:w="1276" w:type="dxa"/>
            <w:shd w:val="clear" w:color="auto" w:fill="auto"/>
          </w:tcPr>
          <w:p w14:paraId="3A1B3A5C" w14:textId="3D94D44A" w:rsidR="0075704A" w:rsidRPr="006540B3" w:rsidRDefault="0075704A" w:rsidP="009759C1">
            <w:pPr>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r>
      <w:tr w:rsidR="0075704A" w:rsidRPr="009402B3" w14:paraId="571FAFCE" w14:textId="77777777" w:rsidTr="00761749">
        <w:trPr>
          <w:trHeight w:val="161"/>
        </w:trPr>
        <w:tc>
          <w:tcPr>
            <w:tcW w:w="1532" w:type="dxa"/>
            <w:vMerge/>
            <w:shd w:val="clear" w:color="auto" w:fill="auto"/>
          </w:tcPr>
          <w:p w14:paraId="677359A6" w14:textId="77777777" w:rsidR="0075704A" w:rsidRPr="00347045" w:rsidRDefault="0075704A" w:rsidP="009759C1">
            <w:pPr>
              <w:suppressAutoHyphens w:val="0"/>
              <w:spacing w:before="60" w:after="60" w:line="240" w:lineRule="auto"/>
              <w:ind w:left="113" w:right="113"/>
              <w:rPr>
                <w:bCs/>
                <w:sz w:val="18"/>
                <w:szCs w:val="18"/>
                <w:lang w:val="en-GB"/>
              </w:rPr>
            </w:pPr>
          </w:p>
        </w:tc>
        <w:tc>
          <w:tcPr>
            <w:tcW w:w="2437" w:type="dxa"/>
            <w:shd w:val="clear" w:color="auto" w:fill="auto"/>
          </w:tcPr>
          <w:p w14:paraId="4F4316A3" w14:textId="77777777" w:rsidR="0075704A" w:rsidRPr="00347045" w:rsidRDefault="0075704A" w:rsidP="00761749">
            <w:pPr>
              <w:suppressAutoHyphens w:val="0"/>
              <w:spacing w:before="60" w:after="60" w:line="240" w:lineRule="auto"/>
              <w:ind w:left="113" w:right="113"/>
              <w:rPr>
                <w:bCs/>
                <w:sz w:val="18"/>
                <w:szCs w:val="18"/>
              </w:rPr>
            </w:pPr>
            <w:r>
              <w:rPr>
                <w:lang w:val="fr-FR"/>
              </w:rPr>
              <w:t>Pneumatiques pour conditions de neige extrêmes</w:t>
            </w:r>
          </w:p>
        </w:tc>
        <w:tc>
          <w:tcPr>
            <w:tcW w:w="992" w:type="dxa"/>
            <w:shd w:val="clear" w:color="auto" w:fill="auto"/>
          </w:tcPr>
          <w:p w14:paraId="2CC61EFE" w14:textId="48F3F275" w:rsidR="0075704A" w:rsidRPr="00761749" w:rsidRDefault="0075704A" w:rsidP="00761749">
            <w:pPr>
              <w:suppressAutoHyphens w:val="0"/>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c>
          <w:tcPr>
            <w:tcW w:w="1276" w:type="dxa"/>
            <w:shd w:val="clear" w:color="auto" w:fill="auto"/>
          </w:tcPr>
          <w:p w14:paraId="479FC399" w14:textId="10FFBA25" w:rsidR="0075704A" w:rsidRPr="003A3DCF" w:rsidRDefault="0075704A" w:rsidP="009759C1">
            <w:pPr>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r>
      <w:tr w:rsidR="0075704A" w:rsidRPr="009402B3" w14:paraId="6253FB2C" w14:textId="77777777" w:rsidTr="00761749">
        <w:trPr>
          <w:trHeight w:val="285"/>
        </w:trPr>
        <w:tc>
          <w:tcPr>
            <w:tcW w:w="1532" w:type="dxa"/>
            <w:shd w:val="clear" w:color="auto" w:fill="auto"/>
          </w:tcPr>
          <w:p w14:paraId="75A848E6" w14:textId="77777777" w:rsidR="0075704A" w:rsidRPr="00347045" w:rsidRDefault="0075704A" w:rsidP="009759C1">
            <w:pPr>
              <w:suppressAutoHyphens w:val="0"/>
              <w:spacing w:before="60" w:after="60" w:line="240" w:lineRule="auto"/>
              <w:ind w:left="113" w:right="113"/>
              <w:jc w:val="both"/>
              <w:rPr>
                <w:bCs/>
                <w:sz w:val="18"/>
                <w:szCs w:val="18"/>
              </w:rPr>
            </w:pPr>
            <w:r>
              <w:rPr>
                <w:lang w:val="fr-FR"/>
              </w:rPr>
              <w:t>Spéciale</w:t>
            </w:r>
          </w:p>
        </w:tc>
        <w:tc>
          <w:tcPr>
            <w:tcW w:w="2437" w:type="dxa"/>
            <w:shd w:val="clear" w:color="auto" w:fill="auto"/>
          </w:tcPr>
          <w:p w14:paraId="5401A24E" w14:textId="77777777" w:rsidR="0075704A" w:rsidRPr="00347045" w:rsidRDefault="0075704A" w:rsidP="009759C1">
            <w:pPr>
              <w:suppressAutoHyphens w:val="0"/>
              <w:spacing w:before="60" w:after="60" w:line="240" w:lineRule="auto"/>
              <w:ind w:left="113" w:right="113"/>
              <w:jc w:val="both"/>
              <w:rPr>
                <w:bCs/>
                <w:sz w:val="18"/>
                <w:szCs w:val="18"/>
                <w:lang w:val="en-GB"/>
              </w:rPr>
            </w:pPr>
          </w:p>
        </w:tc>
        <w:tc>
          <w:tcPr>
            <w:tcW w:w="992" w:type="dxa"/>
            <w:shd w:val="clear" w:color="auto" w:fill="auto"/>
          </w:tcPr>
          <w:p w14:paraId="5DBC62D3" w14:textId="47D19983" w:rsidR="0075704A" w:rsidRPr="003A3DCF" w:rsidRDefault="0075704A" w:rsidP="009759C1">
            <w:pPr>
              <w:suppressAutoHyphens w:val="0"/>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c>
          <w:tcPr>
            <w:tcW w:w="1276" w:type="dxa"/>
            <w:shd w:val="clear" w:color="auto" w:fill="auto"/>
          </w:tcPr>
          <w:p w14:paraId="1F28265A" w14:textId="4EFB1274" w:rsidR="0075704A" w:rsidRPr="003A3DCF" w:rsidRDefault="0075704A" w:rsidP="009759C1">
            <w:pPr>
              <w:suppressAutoHyphens w:val="0"/>
              <w:spacing w:before="60" w:after="60" w:line="240" w:lineRule="auto"/>
              <w:ind w:left="113" w:right="113"/>
              <w:jc w:val="center"/>
              <w:rPr>
                <w:b/>
                <w:bCs/>
                <w:sz w:val="18"/>
                <w:szCs w:val="18"/>
              </w:rPr>
            </w:pPr>
            <w:r w:rsidRPr="006540B3">
              <w:rPr>
                <w:b/>
                <w:bCs/>
                <w:lang w:val="fr-FR"/>
              </w:rPr>
              <w:t>≥0</w:t>
            </w:r>
            <w:r>
              <w:rPr>
                <w:b/>
                <w:bCs/>
                <w:lang w:val="fr-FR"/>
              </w:rPr>
              <w:t>,</w:t>
            </w:r>
            <w:r w:rsidRPr="006540B3">
              <w:rPr>
                <w:b/>
                <w:bCs/>
                <w:lang w:val="fr-FR"/>
              </w:rPr>
              <w:t>54</w:t>
            </w:r>
          </w:p>
        </w:tc>
      </w:tr>
    </w:tbl>
    <w:p w14:paraId="4AD7B4D4" w14:textId="4D2F4353" w:rsidR="0075704A" w:rsidRPr="00596B91" w:rsidRDefault="00596B91" w:rsidP="00596B91">
      <w:pPr>
        <w:pStyle w:val="SingleTxtG"/>
        <w:keepNext/>
        <w:keepLines/>
        <w:spacing w:before="120" w:after="240"/>
        <w:ind w:left="2268"/>
        <w:jc w:val="right"/>
        <w:rPr>
          <w:lang w:val="fr-FR"/>
        </w:rPr>
      </w:pPr>
      <w:bookmarkStart w:id="2" w:name="_Hlk74300451"/>
      <w:r w:rsidRPr="00596B91">
        <w:rPr>
          <w:lang w:val="fr-FR"/>
        </w:rPr>
        <w:t>»</w:t>
      </w:r>
      <w:r w:rsidR="00AF71B2" w:rsidRPr="00AF71B2">
        <w:rPr>
          <w:lang w:val="fr-FR"/>
        </w:rPr>
        <w:t>.</w:t>
      </w:r>
    </w:p>
    <w:p w14:paraId="6ABB0A59" w14:textId="6ABE98A7" w:rsidR="0075704A" w:rsidRPr="00596B91" w:rsidRDefault="0075704A" w:rsidP="00596B91">
      <w:pPr>
        <w:pStyle w:val="SingleTxtG"/>
      </w:pPr>
      <w:r w:rsidRPr="00596B91">
        <w:rPr>
          <w:i/>
          <w:iCs/>
          <w:lang w:val="fr-FR"/>
        </w:rPr>
        <w:t>Paragraphe 12 et sous-paragraphes 12</w:t>
      </w:r>
      <w:r w:rsidR="00AF71B2" w:rsidRPr="00AF71B2">
        <w:rPr>
          <w:i/>
          <w:iCs/>
          <w:lang w:val="fr-FR"/>
        </w:rPr>
        <w:t>.</w:t>
      </w:r>
      <w:r w:rsidRPr="00596B91">
        <w:rPr>
          <w:i/>
          <w:iCs/>
          <w:lang w:val="fr-FR"/>
        </w:rPr>
        <w:t>1 à 12</w:t>
      </w:r>
      <w:r w:rsidR="00AF71B2" w:rsidRPr="00AF71B2">
        <w:rPr>
          <w:i/>
          <w:iCs/>
          <w:lang w:val="fr-FR"/>
        </w:rPr>
        <w:t>.</w:t>
      </w:r>
      <w:r w:rsidRPr="00596B91">
        <w:rPr>
          <w:i/>
          <w:iCs/>
          <w:lang w:val="fr-FR"/>
        </w:rPr>
        <w:t>8</w:t>
      </w:r>
      <w:r>
        <w:rPr>
          <w:lang w:val="fr-FR"/>
        </w:rPr>
        <w:t xml:space="preserve">, lire : </w:t>
      </w:r>
    </w:p>
    <w:p w14:paraId="2488DDDD" w14:textId="063956CE" w:rsidR="0075704A" w:rsidRPr="00A21343" w:rsidRDefault="0075704A" w:rsidP="0075704A">
      <w:pPr>
        <w:spacing w:after="120"/>
        <w:ind w:left="2268" w:right="1134" w:hanging="1134"/>
        <w:jc w:val="both"/>
      </w:pPr>
      <w:r>
        <w:rPr>
          <w:lang w:val="fr-FR"/>
        </w:rPr>
        <w:t>« 12</w:t>
      </w:r>
      <w:r w:rsidR="00AF71B2" w:rsidRPr="00AF71B2">
        <w:rPr>
          <w:lang w:val="fr-FR"/>
        </w:rPr>
        <w:t>.</w:t>
      </w:r>
      <w:r>
        <w:rPr>
          <w:lang w:val="fr-FR"/>
        </w:rPr>
        <w:tab/>
        <w:t>Dispositions transitoires</w:t>
      </w:r>
    </w:p>
    <w:p w14:paraId="31B41F7C" w14:textId="7E4F9A28"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1</w:t>
      </w:r>
      <w:r>
        <w:rPr>
          <w:lang w:val="fr-FR"/>
        </w:rPr>
        <w:tab/>
        <w:t>À compter de la date officielle d’entrée en vigueur de la série</w:t>
      </w:r>
      <w:r w:rsidR="00761749">
        <w:rPr>
          <w:lang w:val="fr-FR"/>
        </w:rPr>
        <w:t> </w:t>
      </w:r>
      <w:r>
        <w:rPr>
          <w:strike/>
          <w:lang w:val="fr-FR"/>
        </w:rPr>
        <w:t>03</w:t>
      </w:r>
      <w:r>
        <w:rPr>
          <w:b/>
          <w:bCs/>
          <w:lang w:val="fr-FR"/>
        </w:rPr>
        <w:t>04</w:t>
      </w:r>
      <w:r>
        <w:rPr>
          <w:lang w:val="fr-FR"/>
        </w:rPr>
        <w:t xml:space="preserve"> d’amendements, aucune Partie contractante appliquant le présent Règlement ne pourra refuser d’accorder ou d’accepter une homologation de type en vertu dudit Règlement tel que modifié par la série </w:t>
      </w:r>
      <w:r>
        <w:rPr>
          <w:strike/>
          <w:lang w:val="fr-FR"/>
        </w:rPr>
        <w:t>03</w:t>
      </w:r>
      <w:r>
        <w:rPr>
          <w:b/>
          <w:bCs/>
          <w:lang w:val="fr-FR"/>
        </w:rPr>
        <w:t>04</w:t>
      </w:r>
      <w:r>
        <w:rPr>
          <w:lang w:val="fr-FR"/>
        </w:rPr>
        <w:t xml:space="preserve"> d’amendements</w:t>
      </w:r>
      <w:r w:rsidR="00AF71B2" w:rsidRPr="00AF71B2">
        <w:rPr>
          <w:lang w:val="fr-FR"/>
        </w:rPr>
        <w:t>.</w:t>
      </w:r>
      <w:r>
        <w:rPr>
          <w:lang w:val="fr-FR"/>
        </w:rPr>
        <w:t xml:space="preserve"> </w:t>
      </w:r>
    </w:p>
    <w:p w14:paraId="6628945D" w14:textId="1720CEA3" w:rsidR="0075704A" w:rsidRPr="00A21343" w:rsidRDefault="0075704A" w:rsidP="0075704A">
      <w:pPr>
        <w:spacing w:after="120"/>
        <w:ind w:left="2268" w:right="1134" w:hanging="1134"/>
        <w:jc w:val="both"/>
        <w:rPr>
          <w:strike/>
        </w:rPr>
      </w:pPr>
      <w:r>
        <w:rPr>
          <w:lang w:val="fr-FR"/>
        </w:rPr>
        <w:t>12</w:t>
      </w:r>
      <w:r w:rsidR="00AF71B2" w:rsidRPr="00AF71B2">
        <w:rPr>
          <w:lang w:val="fr-FR"/>
        </w:rPr>
        <w:t>.</w:t>
      </w:r>
      <w:r>
        <w:rPr>
          <w:lang w:val="fr-FR"/>
        </w:rPr>
        <w:t>2</w:t>
      </w:r>
      <w:r>
        <w:rPr>
          <w:lang w:val="fr-FR"/>
        </w:rPr>
        <w:tab/>
      </w:r>
      <w:r>
        <w:rPr>
          <w:b/>
          <w:bCs/>
          <w:lang w:val="fr-FR"/>
        </w:rPr>
        <w:t>Réservé</w:t>
      </w:r>
    </w:p>
    <w:p w14:paraId="3DD09617" w14:textId="0E9D4612" w:rsidR="0075704A" w:rsidRPr="00A21343" w:rsidRDefault="0075704A" w:rsidP="0075704A">
      <w:pPr>
        <w:spacing w:after="120"/>
        <w:ind w:left="2268" w:right="1134"/>
        <w:jc w:val="both"/>
        <w:rPr>
          <w:strike/>
        </w:rPr>
      </w:pPr>
      <w:r>
        <w:rPr>
          <w:strike/>
          <w:lang w:val="fr-FR"/>
        </w:rPr>
        <w:t>Les Parties contractantes appliquant le présent Règlement continueront de reconnaître les homologations de type et d’accorder des extensions d’homologation au titre de la série 02 d’amendements à ce même Règlement pour les pneumatiques des classes C2 et C3 non visés par les modifications des prescriptions techniques relatives à l’adhérence sur sol mouillé des pneumatiques usés de la classe C1 apportées par la série 03 d’amendements</w:t>
      </w:r>
      <w:r w:rsidR="00AF71B2" w:rsidRPr="00AF71B2">
        <w:rPr>
          <w:strike/>
          <w:lang w:val="fr-FR"/>
        </w:rPr>
        <w:t>.</w:t>
      </w:r>
    </w:p>
    <w:p w14:paraId="061AD630" w14:textId="228EFE57" w:rsidR="0075704A" w:rsidRPr="00A21343" w:rsidRDefault="0075704A" w:rsidP="0075704A">
      <w:pPr>
        <w:spacing w:after="120"/>
        <w:ind w:left="2268" w:right="1134" w:hanging="1134"/>
        <w:jc w:val="both"/>
      </w:pPr>
      <w:r>
        <w:rPr>
          <w:lang w:val="fr-FR"/>
        </w:rPr>
        <w:lastRenderedPageBreak/>
        <w:t>12</w:t>
      </w:r>
      <w:r w:rsidR="00AF71B2" w:rsidRPr="00AF71B2">
        <w:rPr>
          <w:lang w:val="fr-FR"/>
        </w:rPr>
        <w:t>.</w:t>
      </w:r>
      <w:r>
        <w:rPr>
          <w:lang w:val="fr-FR"/>
        </w:rPr>
        <w:t>3</w:t>
      </w:r>
      <w:r w:rsidR="00AF71B2" w:rsidRPr="00AF71B2">
        <w:rPr>
          <w:lang w:val="fr-FR"/>
        </w:rPr>
        <w:t>.</w:t>
      </w:r>
      <w:r w:rsidRPr="00AF71B2">
        <w:rPr>
          <w:b/>
          <w:bCs/>
          <w:lang w:val="fr-FR"/>
        </w:rPr>
        <w:t>1</w:t>
      </w:r>
      <w:r>
        <w:rPr>
          <w:lang w:val="fr-FR"/>
        </w:rPr>
        <w:tab/>
        <w:t xml:space="preserve">À compter du 7 juillet 2024, les Parties contractantes appliquant le présent Règlement ne seront plus tenues d’accepter les homologations de type des pneumatiques de la classe C1 établies conformément </w:t>
      </w:r>
      <w:r>
        <w:rPr>
          <w:strike/>
          <w:lang w:val="fr-FR"/>
        </w:rPr>
        <w:t>à la série 02</w:t>
      </w:r>
      <w:r>
        <w:rPr>
          <w:lang w:val="fr-FR"/>
        </w:rPr>
        <w:t xml:space="preserve"> </w:t>
      </w:r>
      <w:r>
        <w:rPr>
          <w:b/>
          <w:bCs/>
          <w:lang w:val="fr-FR"/>
        </w:rPr>
        <w:t>à l’une quelconque des précédentes séries</w:t>
      </w:r>
      <w:r>
        <w:rPr>
          <w:lang w:val="fr-FR"/>
        </w:rPr>
        <w:t xml:space="preserve"> d’amendements, délivrée</w:t>
      </w:r>
      <w:r w:rsidRPr="006540B3">
        <w:rPr>
          <w:lang w:val="fr-FR"/>
        </w:rPr>
        <w:t>s</w:t>
      </w:r>
      <w:r>
        <w:rPr>
          <w:lang w:val="fr-FR"/>
        </w:rPr>
        <w:t xml:space="preserve"> pour la première fois après le 7 juillet 2024</w:t>
      </w:r>
      <w:r w:rsidR="00AF71B2" w:rsidRPr="00AF71B2">
        <w:rPr>
          <w:lang w:val="fr-FR"/>
        </w:rPr>
        <w:t>.</w:t>
      </w:r>
    </w:p>
    <w:p w14:paraId="4E979D25" w14:textId="65373320" w:rsidR="0075704A" w:rsidRPr="00A21343" w:rsidRDefault="0075704A" w:rsidP="0075704A">
      <w:pPr>
        <w:spacing w:after="120"/>
        <w:ind w:left="2268" w:right="1134" w:hanging="1134"/>
        <w:jc w:val="both"/>
        <w:rPr>
          <w:b/>
          <w:bCs/>
        </w:rPr>
      </w:pPr>
      <w:r>
        <w:rPr>
          <w:b/>
          <w:bCs/>
          <w:lang w:val="fr-FR"/>
        </w:rPr>
        <w:t>12</w:t>
      </w:r>
      <w:r w:rsidR="00AF71B2" w:rsidRPr="00AF71B2">
        <w:rPr>
          <w:b/>
          <w:bCs/>
          <w:lang w:val="fr-FR"/>
        </w:rPr>
        <w:t>.</w:t>
      </w:r>
      <w:r>
        <w:rPr>
          <w:b/>
          <w:bCs/>
          <w:lang w:val="fr-FR"/>
        </w:rPr>
        <w:t>3</w:t>
      </w:r>
      <w:r w:rsidR="00AF71B2" w:rsidRPr="00AF71B2">
        <w:rPr>
          <w:b/>
          <w:bCs/>
          <w:lang w:val="fr-FR"/>
        </w:rPr>
        <w:t>.</w:t>
      </w:r>
      <w:r>
        <w:rPr>
          <w:b/>
          <w:bCs/>
          <w:lang w:val="fr-FR"/>
        </w:rPr>
        <w:t>2</w:t>
      </w:r>
      <w:r>
        <w:rPr>
          <w:lang w:val="fr-FR"/>
        </w:rPr>
        <w:tab/>
      </w:r>
      <w:r>
        <w:rPr>
          <w:b/>
          <w:bCs/>
          <w:lang w:val="fr-FR"/>
        </w:rPr>
        <w:t>À compter du 7 juillet 2024, les Parties contractantes appliquant le présent Règlement ne seront plus tenues d’accepter les homologations de type des pneumatiques des classes C2 et C3 établies conformément à l’une quelconque des précédentes séries d’amendements, délivrées pour la première fois après le 7 juillet 2024</w:t>
      </w:r>
      <w:r w:rsidR="00AF71B2" w:rsidRPr="00AF71B2">
        <w:rPr>
          <w:b/>
          <w:bCs/>
          <w:lang w:val="fr-FR"/>
        </w:rPr>
        <w:t>.</w:t>
      </w:r>
    </w:p>
    <w:p w14:paraId="297466A4" w14:textId="7A723422"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4</w:t>
      </w:r>
      <w:r w:rsidR="00AF71B2" w:rsidRPr="00AF71B2">
        <w:rPr>
          <w:lang w:val="fr-FR"/>
        </w:rPr>
        <w:t>.</w:t>
      </w:r>
      <w:r>
        <w:rPr>
          <w:lang w:val="fr-FR"/>
        </w:rPr>
        <w:t>1</w:t>
      </w:r>
      <w:r>
        <w:rPr>
          <w:lang w:val="fr-FR"/>
        </w:rPr>
        <w:tab/>
        <w:t xml:space="preserve">Jusqu’au </w:t>
      </w:r>
      <w:r>
        <w:rPr>
          <w:strike/>
          <w:lang w:val="fr-FR"/>
        </w:rPr>
        <w:t xml:space="preserve">7 </w:t>
      </w:r>
      <w:r>
        <w:rPr>
          <w:b/>
          <w:bCs/>
          <w:lang w:val="fr-FR"/>
        </w:rPr>
        <w:t xml:space="preserve">6 </w:t>
      </w:r>
      <w:r>
        <w:rPr>
          <w:lang w:val="fr-FR"/>
        </w:rPr>
        <w:t>juillet 2026, les Parties contractantes appliquant le présent Règlement seront tenues d’accepter les homologations de type des pneumatiques de la classe C1 établies conformément à la série</w:t>
      </w:r>
      <w:r w:rsidR="00761749">
        <w:rPr>
          <w:lang w:val="fr-FR"/>
        </w:rPr>
        <w:t> </w:t>
      </w:r>
      <w:r>
        <w:rPr>
          <w:lang w:val="fr-FR"/>
        </w:rPr>
        <w:t xml:space="preserve">02 </w:t>
      </w:r>
      <w:r>
        <w:rPr>
          <w:b/>
          <w:bCs/>
          <w:lang w:val="fr-FR"/>
        </w:rPr>
        <w:t>ou à la série</w:t>
      </w:r>
      <w:r w:rsidR="00761749">
        <w:rPr>
          <w:b/>
          <w:bCs/>
          <w:lang w:val="fr-FR"/>
        </w:rPr>
        <w:t> </w:t>
      </w:r>
      <w:r>
        <w:rPr>
          <w:b/>
          <w:bCs/>
          <w:lang w:val="fr-FR"/>
        </w:rPr>
        <w:t>03</w:t>
      </w:r>
      <w:r>
        <w:rPr>
          <w:lang w:val="fr-FR"/>
        </w:rPr>
        <w:t xml:space="preserve"> d’amendements, délivrées pour la première fois avant le 7 juillet 2024</w:t>
      </w:r>
      <w:r w:rsidR="00AF71B2" w:rsidRPr="00AF71B2">
        <w:rPr>
          <w:lang w:val="fr-FR"/>
        </w:rPr>
        <w:t>.</w:t>
      </w:r>
    </w:p>
    <w:p w14:paraId="71925F04" w14:textId="78A701B6" w:rsidR="0075704A" w:rsidRPr="00A21343" w:rsidRDefault="0075704A" w:rsidP="0075704A">
      <w:pPr>
        <w:spacing w:after="120"/>
        <w:ind w:left="2268" w:right="1134" w:hanging="1134"/>
        <w:jc w:val="both"/>
        <w:rPr>
          <w:b/>
          <w:bCs/>
        </w:rPr>
      </w:pPr>
      <w:r>
        <w:rPr>
          <w:b/>
          <w:bCs/>
          <w:lang w:val="fr-FR"/>
        </w:rPr>
        <w:t>12</w:t>
      </w:r>
      <w:r w:rsidR="00AF71B2" w:rsidRPr="00AF71B2">
        <w:rPr>
          <w:b/>
          <w:bCs/>
          <w:lang w:val="fr-FR"/>
        </w:rPr>
        <w:t>.</w:t>
      </w:r>
      <w:r>
        <w:rPr>
          <w:b/>
          <w:bCs/>
          <w:lang w:val="fr-FR"/>
        </w:rPr>
        <w:t>4</w:t>
      </w:r>
      <w:r w:rsidR="00AF71B2" w:rsidRPr="00AF71B2">
        <w:rPr>
          <w:b/>
          <w:bCs/>
          <w:lang w:val="fr-FR"/>
        </w:rPr>
        <w:t>.</w:t>
      </w:r>
      <w:r>
        <w:rPr>
          <w:b/>
          <w:bCs/>
          <w:lang w:val="fr-FR"/>
        </w:rPr>
        <w:t>2</w:t>
      </w:r>
      <w:r>
        <w:rPr>
          <w:lang w:val="fr-FR"/>
        </w:rPr>
        <w:tab/>
      </w:r>
      <w:r>
        <w:rPr>
          <w:b/>
          <w:bCs/>
          <w:lang w:val="fr-FR"/>
        </w:rPr>
        <w:t>Jusqu’au 6 juillet 2026, les Parties contractantes appliquant le présent Règlement seront tenues d’accepter les homologations de type des pneumatiques des classes C2 et C3 établies conformément à la série 02 ou à la série 03 d’amendements, délivrées pour la première fois avant le 7</w:t>
      </w:r>
      <w:r w:rsidR="00761749">
        <w:rPr>
          <w:b/>
          <w:bCs/>
          <w:lang w:val="fr-FR"/>
        </w:rPr>
        <w:t> </w:t>
      </w:r>
      <w:r>
        <w:rPr>
          <w:b/>
          <w:bCs/>
          <w:lang w:val="fr-FR"/>
        </w:rPr>
        <w:t>juillet 2024</w:t>
      </w:r>
      <w:r w:rsidR="00AF71B2" w:rsidRPr="00AF71B2">
        <w:rPr>
          <w:b/>
          <w:bCs/>
          <w:lang w:val="fr-FR"/>
        </w:rPr>
        <w:t>.</w:t>
      </w:r>
    </w:p>
    <w:p w14:paraId="17541A8F" w14:textId="0CB72E56"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5</w:t>
      </w:r>
      <w:r w:rsidR="00AF71B2" w:rsidRPr="00AF71B2">
        <w:rPr>
          <w:b/>
          <w:bCs/>
          <w:lang w:val="fr-FR"/>
        </w:rPr>
        <w:t>.</w:t>
      </w:r>
      <w:r w:rsidRPr="006540B3">
        <w:rPr>
          <w:b/>
          <w:bCs/>
          <w:lang w:val="fr-FR"/>
        </w:rPr>
        <w:t>1</w:t>
      </w:r>
      <w:r>
        <w:rPr>
          <w:lang w:val="fr-FR"/>
        </w:rPr>
        <w:tab/>
        <w:t xml:space="preserve">À compter du 7 juillet 2026, les Parties contractantes appliquant le présent Règlement ne seront plus tenues d’accepter les homologations de type des pneumatiques de la classe C1 délivrées en vertu </w:t>
      </w:r>
      <w:r>
        <w:rPr>
          <w:strike/>
          <w:lang w:val="fr-FR"/>
        </w:rPr>
        <w:t>de la série 02</w:t>
      </w:r>
      <w:r>
        <w:rPr>
          <w:b/>
          <w:bCs/>
          <w:lang w:val="fr-FR"/>
        </w:rPr>
        <w:t>de l’une quelconque des précédentes séries</w:t>
      </w:r>
      <w:r>
        <w:rPr>
          <w:lang w:val="fr-FR"/>
        </w:rPr>
        <w:t xml:space="preserve"> d’amendements audit Règlement</w:t>
      </w:r>
      <w:r w:rsidR="00AF71B2" w:rsidRPr="00AF71B2">
        <w:rPr>
          <w:lang w:val="fr-FR"/>
        </w:rPr>
        <w:t>.</w:t>
      </w:r>
    </w:p>
    <w:p w14:paraId="108BAE67" w14:textId="174C77A8" w:rsidR="0075704A" w:rsidRPr="00A21343" w:rsidRDefault="0075704A" w:rsidP="0075704A">
      <w:pPr>
        <w:spacing w:after="120"/>
        <w:ind w:left="2268" w:right="1134" w:hanging="1134"/>
        <w:jc w:val="both"/>
        <w:rPr>
          <w:b/>
          <w:bCs/>
        </w:rPr>
      </w:pPr>
      <w:r>
        <w:rPr>
          <w:b/>
          <w:bCs/>
          <w:lang w:val="fr-FR"/>
        </w:rPr>
        <w:t>12</w:t>
      </w:r>
      <w:r w:rsidR="00AF71B2" w:rsidRPr="00AF71B2">
        <w:rPr>
          <w:b/>
          <w:bCs/>
          <w:lang w:val="fr-FR"/>
        </w:rPr>
        <w:t>.</w:t>
      </w:r>
      <w:r>
        <w:rPr>
          <w:b/>
          <w:bCs/>
          <w:lang w:val="fr-FR"/>
        </w:rPr>
        <w:t>5</w:t>
      </w:r>
      <w:r w:rsidR="00AF71B2" w:rsidRPr="00AF71B2">
        <w:rPr>
          <w:b/>
          <w:bCs/>
          <w:lang w:val="fr-FR"/>
        </w:rPr>
        <w:t>.</w:t>
      </w:r>
      <w:r>
        <w:rPr>
          <w:b/>
          <w:bCs/>
          <w:lang w:val="fr-FR"/>
        </w:rPr>
        <w:t>2</w:t>
      </w:r>
      <w:r>
        <w:rPr>
          <w:lang w:val="fr-FR"/>
        </w:rPr>
        <w:tab/>
      </w:r>
      <w:r>
        <w:rPr>
          <w:b/>
          <w:bCs/>
          <w:lang w:val="fr-FR"/>
        </w:rPr>
        <w:t>À compter du 7 juillet 2026, les Parties contractantes appliquant le présent Règlement ne seront plus tenues d’accepter les homologations de type des pneumatiques des classe C2 et C3 délivrées en vertu de l’une quelconque des précédentes séries d’amendements audit Règlement</w:t>
      </w:r>
      <w:r w:rsidR="00AF71B2" w:rsidRPr="00AF71B2">
        <w:rPr>
          <w:b/>
          <w:bCs/>
          <w:lang w:val="fr-FR"/>
        </w:rPr>
        <w:t>.</w:t>
      </w:r>
    </w:p>
    <w:p w14:paraId="59AE5FB6" w14:textId="74F2773D"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6</w:t>
      </w:r>
      <w:r>
        <w:rPr>
          <w:lang w:val="fr-FR"/>
        </w:rPr>
        <w:tab/>
        <w:t>Les Parties contractantes appliquant le présent Règlement peuvent accorder des homologations de type en vertu de l’une quelconque des précédentes séries d’amendements audit Règlement</w:t>
      </w:r>
      <w:r w:rsidR="00AF71B2" w:rsidRPr="00AF71B2">
        <w:rPr>
          <w:lang w:val="fr-FR"/>
        </w:rPr>
        <w:t>.</w:t>
      </w:r>
    </w:p>
    <w:p w14:paraId="119AAF19" w14:textId="61D92D81"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6</w:t>
      </w:r>
      <w:r w:rsidR="00AF71B2" w:rsidRPr="00AF71B2">
        <w:rPr>
          <w:lang w:val="fr-FR"/>
        </w:rPr>
        <w:t>.</w:t>
      </w:r>
      <w:r>
        <w:rPr>
          <w:lang w:val="fr-FR"/>
        </w:rPr>
        <w:t>1</w:t>
      </w:r>
      <w:r>
        <w:rPr>
          <w:lang w:val="fr-FR"/>
        </w:rPr>
        <w:tab/>
        <w:t>Les Parties contractantes appliquant le présent Règlement continueront d’accorder des extensions pour les homologations délivrées au titre de l’une quelconque des précédentes séries d’amendements audit Règlement</w:t>
      </w:r>
      <w:r w:rsidR="00AF71B2" w:rsidRPr="00AF71B2">
        <w:rPr>
          <w:lang w:val="fr-FR"/>
        </w:rPr>
        <w:t>.</w:t>
      </w:r>
    </w:p>
    <w:p w14:paraId="763C0DB9" w14:textId="778B83D9" w:rsidR="0075704A" w:rsidRPr="00F57742" w:rsidRDefault="0075704A" w:rsidP="0075704A">
      <w:pPr>
        <w:spacing w:after="120"/>
        <w:ind w:left="2268" w:right="1134" w:hanging="1134"/>
        <w:jc w:val="both"/>
      </w:pPr>
      <w:r>
        <w:rPr>
          <w:lang w:val="fr-FR"/>
        </w:rPr>
        <w:t>12</w:t>
      </w:r>
      <w:r w:rsidR="00AF71B2" w:rsidRPr="00AF71B2">
        <w:rPr>
          <w:lang w:val="fr-FR"/>
        </w:rPr>
        <w:t>.</w:t>
      </w:r>
      <w:r>
        <w:rPr>
          <w:lang w:val="fr-FR"/>
        </w:rPr>
        <w:t>7</w:t>
      </w:r>
      <w:r>
        <w:rPr>
          <w:lang w:val="fr-FR"/>
        </w:rPr>
        <w:tab/>
        <w:t>Jusqu’au 1</w:t>
      </w:r>
      <w:r w:rsidRPr="006540B3">
        <w:rPr>
          <w:vertAlign w:val="superscript"/>
          <w:lang w:val="fr-FR"/>
        </w:rPr>
        <w:t>er</w:t>
      </w:r>
      <w:r>
        <w:rPr>
          <w:lang w:val="fr-FR"/>
        </w:rPr>
        <w:t xml:space="preserve"> septembre 2024, les Parties contractantes appliquant le présent Règlement pourront continuer d’accorder des homologations de type en vertu de la série </w:t>
      </w:r>
      <w:r>
        <w:rPr>
          <w:strike/>
          <w:lang w:val="fr-FR"/>
        </w:rPr>
        <w:t>03</w:t>
      </w:r>
      <w:r>
        <w:rPr>
          <w:b/>
          <w:bCs/>
          <w:lang w:val="fr-FR"/>
        </w:rPr>
        <w:t>04</w:t>
      </w:r>
      <w:r>
        <w:rPr>
          <w:lang w:val="fr-FR"/>
        </w:rPr>
        <w:t xml:space="preserve"> d’amendements audit Règlement </w:t>
      </w:r>
      <w:r w:rsidRPr="000942CC">
        <w:rPr>
          <w:lang w:val="fr-FR"/>
        </w:rPr>
        <w:t>en se fondant sur l</w:t>
      </w:r>
      <w:r>
        <w:rPr>
          <w:lang w:val="fr-FR"/>
        </w:rPr>
        <w:t>’</w:t>
      </w:r>
      <w:r w:rsidRPr="000942CC">
        <w:rPr>
          <w:lang w:val="fr-FR"/>
        </w:rPr>
        <w:t>essai de performances sur la neige décrit à l</w:t>
      </w:r>
      <w:r>
        <w:rPr>
          <w:lang w:val="fr-FR"/>
        </w:rPr>
        <w:t>’</w:t>
      </w:r>
      <w:r w:rsidRPr="000942CC">
        <w:rPr>
          <w:lang w:val="fr-FR"/>
        </w:rPr>
        <w:t>annexe 7 dudit Règlement, le SRTT14 étant utilisé comme pneumatique de référence</w:t>
      </w:r>
      <w:r>
        <w:rPr>
          <w:lang w:val="fr-FR"/>
        </w:rPr>
        <w:t>)</w:t>
      </w:r>
      <w:r>
        <w:rPr>
          <w:vertAlign w:val="superscript"/>
          <w:lang w:val="fr-FR"/>
        </w:rPr>
        <w:t>a)</w:t>
      </w:r>
      <w:r w:rsidR="00AF71B2" w:rsidRPr="00AF71B2">
        <w:rPr>
          <w:lang w:val="fr-FR"/>
        </w:rPr>
        <w:t>.</w:t>
      </w:r>
    </w:p>
    <w:p w14:paraId="78E76285" w14:textId="40E88DDF" w:rsidR="0075704A" w:rsidRPr="00A21343" w:rsidRDefault="0075704A" w:rsidP="0075704A">
      <w:pPr>
        <w:spacing w:after="120"/>
        <w:ind w:left="2268" w:right="1134" w:hanging="1134"/>
        <w:jc w:val="both"/>
      </w:pPr>
      <w:r>
        <w:rPr>
          <w:lang w:val="fr-FR"/>
        </w:rPr>
        <w:t>12</w:t>
      </w:r>
      <w:r w:rsidR="00AF71B2" w:rsidRPr="00AF71B2">
        <w:rPr>
          <w:lang w:val="fr-FR"/>
        </w:rPr>
        <w:t>.</w:t>
      </w:r>
      <w:r>
        <w:rPr>
          <w:lang w:val="fr-FR"/>
        </w:rPr>
        <w:t>8</w:t>
      </w:r>
      <w:r>
        <w:rPr>
          <w:lang w:val="fr-FR"/>
        </w:rPr>
        <w:tab/>
        <w:t>Jusqu’au 1</w:t>
      </w:r>
      <w:r w:rsidRPr="006540B3">
        <w:rPr>
          <w:vertAlign w:val="superscript"/>
          <w:lang w:val="fr-FR"/>
        </w:rPr>
        <w:t>er</w:t>
      </w:r>
      <w:r>
        <w:rPr>
          <w:lang w:val="fr-FR"/>
        </w:rPr>
        <w:t xml:space="preserve"> septembre 2024, les Parties contractantes appliquant le présent Règlement pourront continuer d’accorder des homologations de type en vertu de la série</w:t>
      </w:r>
      <w:r w:rsidR="00B1101A">
        <w:rPr>
          <w:lang w:val="fr-FR"/>
        </w:rPr>
        <w:t> </w:t>
      </w:r>
      <w:r>
        <w:rPr>
          <w:strike/>
          <w:lang w:val="fr-FR"/>
        </w:rPr>
        <w:t>03</w:t>
      </w:r>
      <w:r>
        <w:rPr>
          <w:b/>
          <w:bCs/>
          <w:lang w:val="fr-FR"/>
        </w:rPr>
        <w:t>04</w:t>
      </w:r>
      <w:r>
        <w:rPr>
          <w:lang w:val="fr-FR"/>
        </w:rPr>
        <w:t xml:space="preserve"> d’amendements audit Règlement en se fondant sur les procédures d’essai pour mesurer l’adhérence sur sol mouillé des pneumatiques neufs décrites à l’annexe 5 dudit Règlement, sans tenir compte des dispositions ajoutées après le complément 12 à la série 02 d’amendements</w:t>
      </w:r>
      <w:r w:rsidR="00AF71B2" w:rsidRPr="00AF71B2">
        <w:rPr>
          <w:lang w:val="fr-FR"/>
        </w:rPr>
        <w:t>.</w:t>
      </w:r>
    </w:p>
    <w:p w14:paraId="5FBB934F" w14:textId="2FA66A1D" w:rsidR="0075704A" w:rsidRPr="00174ECE" w:rsidRDefault="0075704A" w:rsidP="00596B91">
      <w:pPr>
        <w:spacing w:after="120"/>
        <w:ind w:left="2268" w:right="1134"/>
        <w:jc w:val="both"/>
        <w:rPr>
          <w:sz w:val="18"/>
          <w:szCs w:val="18"/>
        </w:rPr>
      </w:pPr>
      <w:r>
        <w:rPr>
          <w:vertAlign w:val="superscript"/>
          <w:lang w:val="fr-FR"/>
        </w:rPr>
        <w:t>a</w:t>
      </w:r>
      <w:r w:rsidRPr="00B1101A">
        <w:rPr>
          <w:sz w:val="18"/>
          <w:szCs w:val="18"/>
          <w:vertAlign w:val="superscript"/>
          <w:lang w:val="fr-FR"/>
        </w:rPr>
        <w:t>)</w:t>
      </w:r>
      <w:r w:rsidRPr="00B1101A">
        <w:rPr>
          <w:sz w:val="18"/>
          <w:szCs w:val="18"/>
          <w:lang w:val="fr-FR"/>
        </w:rPr>
        <w:t xml:space="preserve"> </w:t>
      </w:r>
      <w:r w:rsidR="00596B91" w:rsidRPr="00B1101A">
        <w:rPr>
          <w:sz w:val="18"/>
          <w:szCs w:val="18"/>
          <w:lang w:val="fr-FR"/>
        </w:rPr>
        <w:t xml:space="preserve"> </w:t>
      </w:r>
      <w:r w:rsidRPr="00B1101A">
        <w:rPr>
          <w:sz w:val="18"/>
          <w:szCs w:val="18"/>
          <w:lang w:val="fr-FR"/>
        </w:rPr>
        <w:t>Le SRTT 14 sera disponible chez le fournisseur jusqu’à fin du mois d’octobre 2021</w:t>
      </w:r>
      <w:r w:rsidR="00AF71B2" w:rsidRPr="00AF71B2">
        <w:rPr>
          <w:lang w:val="fr-FR"/>
        </w:rPr>
        <w:t>.</w:t>
      </w:r>
      <w:r>
        <w:rPr>
          <w:lang w:val="fr-FR"/>
        </w:rPr>
        <w:t> »</w:t>
      </w:r>
      <w:r w:rsidR="00AF71B2" w:rsidRPr="00AF71B2">
        <w:rPr>
          <w:lang w:val="fr-FR"/>
        </w:rPr>
        <w:t>.</w:t>
      </w:r>
    </w:p>
    <w:p w14:paraId="3A0F1571" w14:textId="5658FF16" w:rsidR="0075704A" w:rsidRPr="00A21343" w:rsidRDefault="0075704A" w:rsidP="0075704A">
      <w:pPr>
        <w:spacing w:after="120"/>
        <w:ind w:left="2268" w:right="1134" w:hanging="1134"/>
        <w:jc w:val="both"/>
      </w:pPr>
      <w:r w:rsidRPr="00596B91">
        <w:rPr>
          <w:i/>
          <w:iCs/>
          <w:lang w:val="fr-FR"/>
        </w:rPr>
        <w:t>Ajouter le nouveau paragraphe 12</w:t>
      </w:r>
      <w:r w:rsidR="00AF71B2" w:rsidRPr="00AF71B2">
        <w:rPr>
          <w:i/>
          <w:iCs/>
          <w:lang w:val="fr-FR"/>
        </w:rPr>
        <w:t>.</w:t>
      </w:r>
      <w:r w:rsidRPr="00596B91">
        <w:rPr>
          <w:i/>
          <w:iCs/>
          <w:lang w:val="fr-FR"/>
        </w:rPr>
        <w:t>9</w:t>
      </w:r>
      <w:r>
        <w:rPr>
          <w:lang w:val="fr-FR"/>
        </w:rPr>
        <w:t>, libellé comme suit :</w:t>
      </w:r>
    </w:p>
    <w:p w14:paraId="6FB65E6C" w14:textId="4BBE4E32" w:rsidR="0075704A" w:rsidRDefault="0075704A" w:rsidP="0075704A">
      <w:pPr>
        <w:spacing w:after="120"/>
        <w:ind w:left="2268" w:right="1134" w:hanging="1134"/>
        <w:jc w:val="both"/>
        <w:rPr>
          <w:b/>
          <w:bCs/>
        </w:rPr>
      </w:pPr>
      <w:r>
        <w:rPr>
          <w:b/>
          <w:bCs/>
          <w:lang w:val="fr-FR"/>
        </w:rPr>
        <w:t>« 12</w:t>
      </w:r>
      <w:r w:rsidR="00AF71B2" w:rsidRPr="00AF71B2">
        <w:rPr>
          <w:b/>
          <w:bCs/>
          <w:lang w:val="fr-FR"/>
        </w:rPr>
        <w:t>.</w:t>
      </w:r>
      <w:r>
        <w:rPr>
          <w:b/>
          <w:bCs/>
          <w:lang w:val="fr-FR"/>
        </w:rPr>
        <w:t>9</w:t>
      </w:r>
      <w:r>
        <w:rPr>
          <w:lang w:val="fr-FR"/>
        </w:rPr>
        <w:tab/>
      </w:r>
      <w:r>
        <w:rPr>
          <w:b/>
          <w:bCs/>
          <w:lang w:val="fr-FR"/>
        </w:rPr>
        <w:t>[Jusqu’au 6 juillet 2024], les Parties contractantes appliquant le présent Règlement pourront continuer d’accorder des homologations de type en vertu de la série 04 d’amendements audit Règlement en se fondant sur les procédures d’essai pour mesurer l’adhérence sur sol mouillé des pneumatiques usés décrites à l’annexe 9 dudit Règlement, le SRTT16 usé par polissage étant utilisé comme pneumatique de référence</w:t>
      </w:r>
      <w:r w:rsidR="00AF71B2" w:rsidRPr="00AF71B2">
        <w:rPr>
          <w:b/>
          <w:bCs/>
          <w:lang w:val="fr-FR"/>
        </w:rPr>
        <w:t>.</w:t>
      </w:r>
      <w:r>
        <w:rPr>
          <w:b/>
          <w:bCs/>
          <w:lang w:val="fr-FR"/>
        </w:rPr>
        <w:t> »</w:t>
      </w:r>
      <w:r w:rsidR="00AF71B2" w:rsidRPr="00AF71B2">
        <w:rPr>
          <w:b/>
          <w:bCs/>
          <w:lang w:val="fr-FR"/>
        </w:rPr>
        <w:t>.</w:t>
      </w:r>
    </w:p>
    <w:p w14:paraId="42515549" w14:textId="77777777" w:rsidR="0075704A" w:rsidRPr="00A21343" w:rsidRDefault="0075704A" w:rsidP="0075704A">
      <w:pPr>
        <w:spacing w:after="120"/>
        <w:ind w:left="2268" w:right="1134" w:hanging="1134"/>
        <w:jc w:val="both"/>
        <w:rPr>
          <w:b/>
          <w:bCs/>
          <w:szCs w:val="14"/>
        </w:rPr>
      </w:pPr>
      <w:r>
        <w:rPr>
          <w:i/>
          <w:iCs/>
          <w:lang w:val="fr-FR"/>
        </w:rPr>
        <w:lastRenderedPageBreak/>
        <w:t>Annexe 9, titre,</w:t>
      </w:r>
      <w:r>
        <w:rPr>
          <w:lang w:val="fr-FR"/>
        </w:rPr>
        <w:t xml:space="preserve"> lire :</w:t>
      </w:r>
    </w:p>
    <w:bookmarkEnd w:id="2"/>
    <w:p w14:paraId="4541BBB1" w14:textId="07AD6B4F" w:rsidR="0075704A" w:rsidRPr="009402B3" w:rsidRDefault="0075704A" w:rsidP="0075704A">
      <w:pPr>
        <w:pStyle w:val="HChG"/>
        <w:ind w:firstLine="0"/>
      </w:pPr>
      <w:r>
        <w:rPr>
          <w:bCs/>
          <w:lang w:val="fr-FR"/>
        </w:rPr>
        <w:t xml:space="preserve">« Procédure </w:t>
      </w:r>
      <w:r>
        <w:rPr>
          <w:bCs/>
          <w:strike/>
          <w:lang w:val="fr-FR"/>
        </w:rPr>
        <w:t>d’essai pour mesurer</w:t>
      </w:r>
      <w:r>
        <w:rPr>
          <w:bCs/>
          <w:lang w:val="fr-FR"/>
        </w:rPr>
        <w:t xml:space="preserve"> de détermination </w:t>
      </w:r>
      <w:r w:rsidR="00B1101A">
        <w:rPr>
          <w:bCs/>
          <w:lang w:val="fr-FR"/>
        </w:rPr>
        <w:br/>
      </w:r>
      <w:r>
        <w:rPr>
          <w:bCs/>
          <w:lang w:val="fr-FR"/>
        </w:rPr>
        <w:t>de l’adhérence sur sol mouillé des pneumatiques usés »</w:t>
      </w:r>
    </w:p>
    <w:p w14:paraId="05CA5DE8" w14:textId="77777777" w:rsidR="0075704A" w:rsidRDefault="0075704A" w:rsidP="0075704A">
      <w:pPr>
        <w:spacing w:after="120"/>
        <w:ind w:left="2268" w:right="1134" w:hanging="1134"/>
        <w:rPr>
          <w:lang w:val="fr-FR"/>
        </w:rPr>
      </w:pPr>
      <w:r>
        <w:rPr>
          <w:i/>
          <w:iCs/>
          <w:lang w:val="fr-FR"/>
        </w:rPr>
        <w:t>Paragraphe 2</w:t>
      </w:r>
      <w:r>
        <w:rPr>
          <w:lang w:val="fr-FR"/>
        </w:rPr>
        <w:t>, lire :</w:t>
      </w:r>
    </w:p>
    <w:p w14:paraId="3F813046" w14:textId="2196219F" w:rsidR="0075704A" w:rsidRPr="009402B3" w:rsidRDefault="0075704A" w:rsidP="0075704A">
      <w:pPr>
        <w:spacing w:after="120"/>
        <w:ind w:left="2268" w:right="1134" w:hanging="1134"/>
      </w:pPr>
      <w:r>
        <w:rPr>
          <w:lang w:val="fr-FR"/>
        </w:rPr>
        <w:t>« 2</w:t>
      </w:r>
      <w:r w:rsidR="00AF71B2" w:rsidRPr="00AF71B2">
        <w:rPr>
          <w:lang w:val="fr-FR"/>
        </w:rPr>
        <w:t>.</w:t>
      </w:r>
      <w:r>
        <w:rPr>
          <w:lang w:val="fr-FR"/>
        </w:rPr>
        <w:tab/>
      </w:r>
      <w:r w:rsidRPr="006540B3">
        <w:rPr>
          <w:b/>
          <w:bCs/>
          <w:lang w:val="fr-FR"/>
        </w:rPr>
        <w:t>Procédure d</w:t>
      </w:r>
      <w:r>
        <w:rPr>
          <w:b/>
          <w:bCs/>
          <w:lang w:val="fr-FR"/>
        </w:rPr>
        <w:t>’</w:t>
      </w:r>
      <w:r w:rsidRPr="006540B3">
        <w:rPr>
          <w:b/>
          <w:bCs/>
          <w:lang w:val="fr-FR"/>
        </w:rPr>
        <w:t>essai pour les pn</w:t>
      </w:r>
      <w:r>
        <w:rPr>
          <w:b/>
          <w:bCs/>
          <w:lang w:val="fr-FR"/>
        </w:rPr>
        <w:t>e</w:t>
      </w:r>
      <w:r w:rsidRPr="006540B3">
        <w:rPr>
          <w:b/>
          <w:bCs/>
          <w:lang w:val="fr-FR"/>
        </w:rPr>
        <w:t>umatiques</w:t>
      </w:r>
      <w:r>
        <w:rPr>
          <w:lang w:val="fr-FR"/>
        </w:rPr>
        <w:t xml:space="preserve"> </w:t>
      </w:r>
      <w:proofErr w:type="spellStart"/>
      <w:r w:rsidRPr="006540B3">
        <w:rPr>
          <w:strike/>
          <w:lang w:val="fr-FR"/>
        </w:rPr>
        <w:t>Pneumatiques</w:t>
      </w:r>
      <w:proofErr w:type="spellEnd"/>
      <w:r w:rsidRPr="00E22E63">
        <w:rPr>
          <w:lang w:val="fr-FR"/>
        </w:rPr>
        <w:t xml:space="preserve"> de la classe C1</w:t>
      </w:r>
    </w:p>
    <w:p w14:paraId="755A9F3F" w14:textId="749D90E0" w:rsidR="0075704A" w:rsidRPr="00596B91" w:rsidRDefault="0075704A" w:rsidP="0075704A">
      <w:pPr>
        <w:pStyle w:val="Paragraphedeliste"/>
        <w:spacing w:after="120"/>
        <w:ind w:left="2268" w:right="1134" w:hanging="1134"/>
        <w:contextualSpacing w:val="0"/>
        <w:rPr>
          <w:b/>
          <w:bCs/>
          <w:lang w:val="fr-FR"/>
        </w:rPr>
      </w:pPr>
      <w:r>
        <w:rPr>
          <w:lang w:val="fr-FR"/>
        </w:rPr>
        <w:t>[</w:t>
      </w:r>
      <w:r w:rsidR="00AF71B2" w:rsidRPr="00AF71B2">
        <w:rPr>
          <w:lang w:val="fr-FR"/>
        </w:rPr>
        <w:t>...</w:t>
      </w:r>
      <w:r>
        <w:rPr>
          <w:lang w:val="fr-FR"/>
        </w:rPr>
        <w:t>] »</w:t>
      </w:r>
      <w:r w:rsidR="00AF71B2" w:rsidRPr="00AF71B2">
        <w:rPr>
          <w:lang w:val="fr-FR"/>
        </w:rPr>
        <w:t>.</w:t>
      </w:r>
    </w:p>
    <w:p w14:paraId="309C22C8" w14:textId="4C8CBA18" w:rsidR="0075704A" w:rsidRPr="009402B3" w:rsidRDefault="0075704A" w:rsidP="0075704A">
      <w:pPr>
        <w:spacing w:after="120"/>
        <w:ind w:left="2268" w:right="1134" w:hanging="1134"/>
        <w:jc w:val="both"/>
      </w:pPr>
      <w:r>
        <w:rPr>
          <w:i/>
          <w:iCs/>
          <w:lang w:val="fr-FR"/>
        </w:rPr>
        <w:t>Paragraphe 2</w:t>
      </w:r>
      <w:r w:rsidR="00AF71B2" w:rsidRPr="00AF71B2">
        <w:rPr>
          <w:i/>
          <w:iCs/>
          <w:lang w:val="fr-FR"/>
        </w:rPr>
        <w:t>.</w:t>
      </w:r>
      <w:r>
        <w:rPr>
          <w:i/>
          <w:iCs/>
          <w:lang w:val="fr-FR"/>
        </w:rPr>
        <w:t>3</w:t>
      </w:r>
      <w:r w:rsidR="00AF71B2" w:rsidRPr="00AF71B2">
        <w:rPr>
          <w:i/>
          <w:iCs/>
          <w:lang w:val="fr-FR"/>
        </w:rPr>
        <w:t>.</w:t>
      </w:r>
      <w:r>
        <w:rPr>
          <w:i/>
          <w:iCs/>
          <w:lang w:val="fr-FR"/>
        </w:rPr>
        <w:t>3</w:t>
      </w:r>
      <w:r>
        <w:rPr>
          <w:lang w:val="fr-FR"/>
        </w:rPr>
        <w:t>, lire :</w:t>
      </w:r>
    </w:p>
    <w:p w14:paraId="70EF25E6" w14:textId="3174F2DB" w:rsidR="0075704A" w:rsidRPr="009402B3" w:rsidRDefault="0075704A" w:rsidP="0075704A">
      <w:pPr>
        <w:spacing w:after="120"/>
        <w:ind w:left="2268" w:right="1134" w:hanging="1134"/>
        <w:jc w:val="both"/>
      </w:pPr>
      <w:r>
        <w:rPr>
          <w:lang w:val="fr-FR"/>
        </w:rPr>
        <w:t>« 2</w:t>
      </w:r>
      <w:r w:rsidR="00AF71B2" w:rsidRPr="00AF71B2">
        <w:rPr>
          <w:lang w:val="fr-FR"/>
        </w:rPr>
        <w:t>.</w:t>
      </w:r>
      <w:r>
        <w:rPr>
          <w:lang w:val="fr-FR"/>
        </w:rPr>
        <w:t>3</w:t>
      </w:r>
      <w:r w:rsidR="00AF71B2" w:rsidRPr="00AF71B2">
        <w:rPr>
          <w:lang w:val="fr-FR"/>
        </w:rPr>
        <w:t>.</w:t>
      </w:r>
      <w:r>
        <w:rPr>
          <w:lang w:val="fr-FR"/>
        </w:rPr>
        <w:t>3</w:t>
      </w:r>
      <w:r>
        <w:rPr>
          <w:lang w:val="fr-FR"/>
        </w:rPr>
        <w:tab/>
        <w:t>Conditions atmosphériques</w:t>
      </w:r>
    </w:p>
    <w:p w14:paraId="218DE131" w14:textId="78E23AA2" w:rsidR="0075704A" w:rsidRPr="009402B3" w:rsidRDefault="0075704A" w:rsidP="0075704A">
      <w:pPr>
        <w:spacing w:after="120"/>
        <w:ind w:left="2268" w:right="1134" w:hanging="1134"/>
        <w:jc w:val="both"/>
      </w:pPr>
      <w:r>
        <w:rPr>
          <w:lang w:val="fr-FR"/>
        </w:rPr>
        <w:tab/>
        <w:t>Le vent ne doit pas perturber l’arrosage de la piste (les pare-vent sont autorisés)</w:t>
      </w:r>
      <w:r w:rsidR="00AF71B2" w:rsidRPr="00AF71B2">
        <w:rPr>
          <w:lang w:val="fr-FR"/>
        </w:rPr>
        <w:t>.</w:t>
      </w:r>
    </w:p>
    <w:p w14:paraId="5B04D95C" w14:textId="77777777" w:rsidR="0075704A" w:rsidRPr="009402B3" w:rsidRDefault="0075704A" w:rsidP="0075704A">
      <w:pPr>
        <w:spacing w:after="120"/>
        <w:ind w:left="2268" w:right="1134" w:hanging="1134"/>
        <w:jc w:val="both"/>
      </w:pPr>
      <w:r>
        <w:rPr>
          <w:lang w:val="fr-FR"/>
        </w:rPr>
        <w:tab/>
        <w:t>La température du revêtement mouillé et la température ambiante doivent être comprises entre les valeurs ci-dessous :</w:t>
      </w:r>
    </w:p>
    <w:tbl>
      <w:tblPr>
        <w:tblStyle w:val="Grilledutableau"/>
        <w:tblW w:w="0" w:type="auto"/>
        <w:tblInd w:w="2268" w:type="dxa"/>
        <w:tblLayout w:type="fixed"/>
        <w:tblLook w:val="04A0" w:firstRow="1" w:lastRow="0" w:firstColumn="1" w:lastColumn="0" w:noHBand="0" w:noVBand="1"/>
      </w:tblPr>
      <w:tblGrid>
        <w:gridCol w:w="988"/>
        <w:gridCol w:w="2268"/>
        <w:gridCol w:w="1701"/>
        <w:gridCol w:w="1701"/>
      </w:tblGrid>
      <w:tr w:rsidR="0075704A" w:rsidRPr="00B1101A" w14:paraId="177031CC" w14:textId="77777777" w:rsidTr="00B1101A">
        <w:tc>
          <w:tcPr>
            <w:tcW w:w="3256" w:type="dxa"/>
            <w:gridSpan w:val="2"/>
            <w:shd w:val="clear" w:color="auto" w:fill="auto"/>
            <w:vAlign w:val="center"/>
            <w:hideMark/>
          </w:tcPr>
          <w:p w14:paraId="64137FFA" w14:textId="77777777" w:rsidR="0075704A" w:rsidRPr="00B1101A" w:rsidRDefault="0075704A" w:rsidP="009759C1">
            <w:pPr>
              <w:spacing w:before="60" w:after="60" w:line="240" w:lineRule="auto"/>
              <w:ind w:left="113" w:right="113"/>
              <w:rPr>
                <w:i/>
                <w:iCs/>
                <w:sz w:val="16"/>
                <w:szCs w:val="16"/>
              </w:rPr>
            </w:pPr>
            <w:r w:rsidRPr="00B1101A">
              <w:rPr>
                <w:i/>
                <w:iCs/>
                <w:sz w:val="16"/>
                <w:szCs w:val="16"/>
                <w:lang w:val="fr-FR"/>
              </w:rPr>
              <w:t>Catégorie d’utilisation</w:t>
            </w:r>
          </w:p>
        </w:tc>
        <w:tc>
          <w:tcPr>
            <w:tcW w:w="1701" w:type="dxa"/>
            <w:vAlign w:val="center"/>
            <w:hideMark/>
          </w:tcPr>
          <w:p w14:paraId="5B2186B1" w14:textId="77777777" w:rsidR="0075704A" w:rsidRPr="00B1101A" w:rsidRDefault="0075704A" w:rsidP="009759C1">
            <w:pPr>
              <w:spacing w:before="60" w:after="60" w:line="240" w:lineRule="auto"/>
              <w:ind w:left="113" w:right="113"/>
              <w:jc w:val="center"/>
              <w:rPr>
                <w:i/>
                <w:iCs/>
                <w:sz w:val="16"/>
                <w:szCs w:val="16"/>
              </w:rPr>
            </w:pPr>
            <w:r w:rsidRPr="00B1101A">
              <w:rPr>
                <w:i/>
                <w:iCs/>
                <w:sz w:val="16"/>
                <w:szCs w:val="16"/>
                <w:lang w:val="fr-FR"/>
              </w:rPr>
              <w:t>Température du revêtement mouillé</w:t>
            </w:r>
          </w:p>
        </w:tc>
        <w:tc>
          <w:tcPr>
            <w:tcW w:w="1701" w:type="dxa"/>
            <w:vAlign w:val="center"/>
            <w:hideMark/>
          </w:tcPr>
          <w:p w14:paraId="30390B38" w14:textId="77777777" w:rsidR="0075704A" w:rsidRPr="00B1101A" w:rsidRDefault="0075704A" w:rsidP="009759C1">
            <w:pPr>
              <w:spacing w:before="60" w:after="60" w:line="240" w:lineRule="auto"/>
              <w:ind w:left="113" w:right="113"/>
              <w:jc w:val="center"/>
              <w:rPr>
                <w:i/>
                <w:iCs/>
                <w:sz w:val="16"/>
                <w:szCs w:val="16"/>
              </w:rPr>
            </w:pPr>
            <w:r w:rsidRPr="00B1101A">
              <w:rPr>
                <w:i/>
                <w:iCs/>
                <w:sz w:val="16"/>
                <w:szCs w:val="16"/>
                <w:lang w:val="fr-FR"/>
              </w:rPr>
              <w:t>Température ambiante</w:t>
            </w:r>
          </w:p>
        </w:tc>
      </w:tr>
      <w:tr w:rsidR="0075704A" w:rsidRPr="00A57265" w14:paraId="21744AFC" w14:textId="77777777" w:rsidTr="00B1101A">
        <w:tc>
          <w:tcPr>
            <w:tcW w:w="3256" w:type="dxa"/>
            <w:gridSpan w:val="2"/>
            <w:hideMark/>
          </w:tcPr>
          <w:p w14:paraId="46331967" w14:textId="77777777" w:rsidR="0075704A" w:rsidRPr="00A57265" w:rsidRDefault="0075704A" w:rsidP="009759C1">
            <w:pPr>
              <w:spacing w:before="60" w:after="60" w:line="240" w:lineRule="auto"/>
              <w:ind w:left="113" w:right="113"/>
              <w:jc w:val="both"/>
              <w:rPr>
                <w:sz w:val="18"/>
                <w:szCs w:val="18"/>
              </w:rPr>
            </w:pPr>
            <w:r w:rsidRPr="00A57265">
              <w:rPr>
                <w:lang w:val="fr-FR"/>
              </w:rPr>
              <w:t>Normale</w:t>
            </w:r>
          </w:p>
        </w:tc>
        <w:tc>
          <w:tcPr>
            <w:tcW w:w="1701" w:type="dxa"/>
            <w:vAlign w:val="center"/>
            <w:hideMark/>
          </w:tcPr>
          <w:p w14:paraId="31626A66" w14:textId="79F7165D" w:rsidR="0075704A" w:rsidRPr="00A57265" w:rsidRDefault="0075704A" w:rsidP="009759C1">
            <w:pPr>
              <w:spacing w:before="60" w:after="60" w:line="240" w:lineRule="auto"/>
              <w:ind w:left="113" w:right="282"/>
              <w:jc w:val="right"/>
              <w:rPr>
                <w:sz w:val="18"/>
                <w:szCs w:val="18"/>
              </w:rPr>
            </w:pPr>
            <w:r w:rsidRPr="00A57265">
              <w:rPr>
                <w:lang w:val="fr-FR"/>
              </w:rPr>
              <w:t>12 °C</w:t>
            </w:r>
            <w:r w:rsidR="00596B91">
              <w:rPr>
                <w:lang w:val="fr-FR"/>
              </w:rPr>
              <w:t>-</w:t>
            </w:r>
            <w:r w:rsidRPr="00A57265">
              <w:rPr>
                <w:lang w:val="fr-FR"/>
              </w:rPr>
              <w:t>35 °C</w:t>
            </w:r>
          </w:p>
        </w:tc>
        <w:tc>
          <w:tcPr>
            <w:tcW w:w="1701" w:type="dxa"/>
            <w:vAlign w:val="center"/>
            <w:hideMark/>
          </w:tcPr>
          <w:p w14:paraId="279886B3" w14:textId="032F1BE2" w:rsidR="0075704A" w:rsidRPr="00A57265" w:rsidRDefault="0075704A" w:rsidP="009759C1">
            <w:pPr>
              <w:spacing w:before="60" w:after="60" w:line="240" w:lineRule="auto"/>
              <w:ind w:left="113" w:right="284"/>
              <w:jc w:val="right"/>
              <w:rPr>
                <w:sz w:val="18"/>
                <w:szCs w:val="18"/>
              </w:rPr>
            </w:pPr>
            <w:r w:rsidRPr="00A57265">
              <w:rPr>
                <w:lang w:val="fr-FR"/>
              </w:rPr>
              <w:t>12 °C</w:t>
            </w:r>
            <w:r w:rsidR="00596B91">
              <w:rPr>
                <w:lang w:val="fr-FR"/>
              </w:rPr>
              <w:t>-</w:t>
            </w:r>
            <w:r w:rsidRPr="00A57265">
              <w:rPr>
                <w:lang w:val="fr-FR"/>
              </w:rPr>
              <w:t>40 °C</w:t>
            </w:r>
          </w:p>
        </w:tc>
      </w:tr>
      <w:tr w:rsidR="0075704A" w:rsidRPr="00A57265" w14:paraId="5E6F75B6" w14:textId="77777777" w:rsidTr="00B1101A">
        <w:tc>
          <w:tcPr>
            <w:tcW w:w="3256" w:type="dxa"/>
            <w:gridSpan w:val="2"/>
            <w:hideMark/>
          </w:tcPr>
          <w:p w14:paraId="056D63BE" w14:textId="77777777" w:rsidR="0075704A" w:rsidRPr="00A57265" w:rsidRDefault="0075704A" w:rsidP="009759C1">
            <w:pPr>
              <w:spacing w:before="60" w:after="60" w:line="240" w:lineRule="auto"/>
              <w:ind w:left="113" w:right="113"/>
              <w:jc w:val="both"/>
              <w:rPr>
                <w:sz w:val="18"/>
                <w:szCs w:val="18"/>
              </w:rPr>
            </w:pPr>
            <w:r w:rsidRPr="00A57265">
              <w:rPr>
                <w:lang w:val="fr-FR"/>
              </w:rPr>
              <w:t>Neige</w:t>
            </w:r>
          </w:p>
        </w:tc>
        <w:tc>
          <w:tcPr>
            <w:tcW w:w="1701" w:type="dxa"/>
            <w:vAlign w:val="center"/>
            <w:hideMark/>
          </w:tcPr>
          <w:p w14:paraId="50981A5B" w14:textId="16029BB9" w:rsidR="0075704A" w:rsidRPr="00A57265" w:rsidRDefault="0075704A" w:rsidP="009759C1">
            <w:pPr>
              <w:spacing w:before="60" w:after="60" w:line="240" w:lineRule="auto"/>
              <w:ind w:left="113" w:right="282"/>
              <w:jc w:val="right"/>
              <w:rPr>
                <w:sz w:val="18"/>
                <w:szCs w:val="18"/>
              </w:rPr>
            </w:pPr>
            <w:r w:rsidRPr="00A57265">
              <w:rPr>
                <w:lang w:val="fr-FR"/>
              </w:rPr>
              <w:t>5 °C</w:t>
            </w:r>
            <w:r w:rsidR="00596B91">
              <w:rPr>
                <w:lang w:val="fr-FR"/>
              </w:rPr>
              <w:t>-</w:t>
            </w:r>
            <w:r w:rsidRPr="00A57265">
              <w:rPr>
                <w:lang w:val="fr-FR"/>
              </w:rPr>
              <w:t>35 °C</w:t>
            </w:r>
          </w:p>
        </w:tc>
        <w:tc>
          <w:tcPr>
            <w:tcW w:w="1701" w:type="dxa"/>
            <w:vAlign w:val="center"/>
            <w:hideMark/>
          </w:tcPr>
          <w:p w14:paraId="763806F2" w14:textId="67618B10" w:rsidR="0075704A" w:rsidRPr="00A57265" w:rsidRDefault="0075704A" w:rsidP="009759C1">
            <w:pPr>
              <w:spacing w:before="60" w:after="60" w:line="240" w:lineRule="auto"/>
              <w:ind w:left="113" w:right="284"/>
              <w:jc w:val="right"/>
              <w:rPr>
                <w:sz w:val="18"/>
                <w:szCs w:val="18"/>
              </w:rPr>
            </w:pPr>
            <w:r w:rsidRPr="00A57265">
              <w:rPr>
                <w:lang w:val="fr-FR"/>
              </w:rPr>
              <w:t>5 °C</w:t>
            </w:r>
            <w:r w:rsidR="00596B91">
              <w:rPr>
                <w:lang w:val="fr-FR"/>
              </w:rPr>
              <w:t>-</w:t>
            </w:r>
            <w:r w:rsidRPr="00A57265">
              <w:rPr>
                <w:lang w:val="fr-FR"/>
              </w:rPr>
              <w:t>40 °C</w:t>
            </w:r>
          </w:p>
        </w:tc>
      </w:tr>
      <w:tr w:rsidR="0075704A" w:rsidRPr="00A57265" w14:paraId="4714D970" w14:textId="77777777" w:rsidTr="00B1101A">
        <w:tc>
          <w:tcPr>
            <w:tcW w:w="988" w:type="dxa"/>
          </w:tcPr>
          <w:p w14:paraId="7503B46F" w14:textId="77777777" w:rsidR="0075704A" w:rsidRPr="00A57265" w:rsidRDefault="0075704A" w:rsidP="009759C1">
            <w:pPr>
              <w:spacing w:before="60" w:after="60" w:line="240" w:lineRule="auto"/>
              <w:ind w:left="113" w:right="113"/>
              <w:jc w:val="center"/>
              <w:rPr>
                <w:sz w:val="18"/>
                <w:szCs w:val="18"/>
                <w:lang w:val="en-GB"/>
              </w:rPr>
            </w:pPr>
            <w:bookmarkStart w:id="3" w:name="_Hlk104910953"/>
          </w:p>
        </w:tc>
        <w:tc>
          <w:tcPr>
            <w:tcW w:w="2268" w:type="dxa"/>
            <w:hideMark/>
          </w:tcPr>
          <w:p w14:paraId="2A2E070D" w14:textId="77777777" w:rsidR="0075704A" w:rsidRPr="00A57265" w:rsidRDefault="0075704A" w:rsidP="009759C1">
            <w:pPr>
              <w:spacing w:before="60" w:after="60" w:line="240" w:lineRule="auto"/>
              <w:ind w:left="113" w:right="113"/>
              <w:rPr>
                <w:sz w:val="18"/>
                <w:szCs w:val="18"/>
              </w:rPr>
            </w:pPr>
            <w:r w:rsidRPr="00A57265">
              <w:rPr>
                <w:strike/>
                <w:lang w:val="fr-FR"/>
              </w:rPr>
              <w:t>Pneumatiques</w:t>
            </w:r>
            <w:r w:rsidRPr="00A57265">
              <w:rPr>
                <w:lang w:val="fr-FR"/>
              </w:rPr>
              <w:t xml:space="preserve"> </w:t>
            </w:r>
            <w:r w:rsidRPr="00A57265">
              <w:rPr>
                <w:b/>
                <w:bCs/>
                <w:lang w:val="fr-FR"/>
              </w:rPr>
              <w:t>Pneumatique</w:t>
            </w:r>
            <w:r w:rsidRPr="00A57265">
              <w:rPr>
                <w:lang w:val="fr-FR"/>
              </w:rPr>
              <w:t xml:space="preserve"> pour conditions de neige extrêmes</w:t>
            </w:r>
          </w:p>
        </w:tc>
        <w:tc>
          <w:tcPr>
            <w:tcW w:w="1701" w:type="dxa"/>
            <w:vAlign w:val="center"/>
            <w:hideMark/>
          </w:tcPr>
          <w:p w14:paraId="42D159F6" w14:textId="38D88E23" w:rsidR="0075704A" w:rsidRPr="00A57265" w:rsidRDefault="0075704A" w:rsidP="009759C1">
            <w:pPr>
              <w:spacing w:before="60" w:after="60" w:line="240" w:lineRule="auto"/>
              <w:ind w:left="113" w:right="282"/>
              <w:jc w:val="right"/>
              <w:rPr>
                <w:sz w:val="18"/>
                <w:szCs w:val="18"/>
              </w:rPr>
            </w:pPr>
            <w:r w:rsidRPr="00A57265">
              <w:rPr>
                <w:lang w:val="fr-FR"/>
              </w:rPr>
              <w:t>5 °C</w:t>
            </w:r>
            <w:r w:rsidR="00596B91">
              <w:rPr>
                <w:lang w:val="fr-FR"/>
              </w:rPr>
              <w:t>-</w:t>
            </w:r>
            <w:r w:rsidRPr="00A57265">
              <w:rPr>
                <w:lang w:val="fr-FR"/>
              </w:rPr>
              <w:t>20 °C</w:t>
            </w:r>
          </w:p>
        </w:tc>
        <w:tc>
          <w:tcPr>
            <w:tcW w:w="1701" w:type="dxa"/>
            <w:vAlign w:val="center"/>
            <w:hideMark/>
          </w:tcPr>
          <w:p w14:paraId="7474FCD8" w14:textId="3DD67E6B" w:rsidR="0075704A" w:rsidRPr="00A57265" w:rsidRDefault="0075704A" w:rsidP="009759C1">
            <w:pPr>
              <w:spacing w:before="60" w:after="60" w:line="240" w:lineRule="auto"/>
              <w:ind w:left="113" w:right="284"/>
              <w:jc w:val="right"/>
              <w:rPr>
                <w:sz w:val="18"/>
                <w:szCs w:val="18"/>
              </w:rPr>
            </w:pPr>
            <w:r w:rsidRPr="00A57265">
              <w:rPr>
                <w:lang w:val="fr-FR"/>
              </w:rPr>
              <w:t>5 °C</w:t>
            </w:r>
            <w:r w:rsidR="00596B91">
              <w:rPr>
                <w:lang w:val="fr-FR"/>
              </w:rPr>
              <w:t>-</w:t>
            </w:r>
            <w:r w:rsidRPr="00A57265">
              <w:rPr>
                <w:lang w:val="fr-FR"/>
              </w:rPr>
              <w:t>20 °C</w:t>
            </w:r>
          </w:p>
        </w:tc>
        <w:bookmarkEnd w:id="3"/>
      </w:tr>
      <w:tr w:rsidR="0075704A" w:rsidRPr="00A57265" w14:paraId="38EDBC77" w14:textId="77777777" w:rsidTr="00B1101A">
        <w:tc>
          <w:tcPr>
            <w:tcW w:w="3256" w:type="dxa"/>
            <w:gridSpan w:val="2"/>
            <w:hideMark/>
          </w:tcPr>
          <w:p w14:paraId="05E677FB" w14:textId="77777777" w:rsidR="0075704A" w:rsidRPr="00A57265" w:rsidRDefault="0075704A" w:rsidP="009759C1">
            <w:pPr>
              <w:spacing w:before="60" w:after="60" w:line="240" w:lineRule="auto"/>
              <w:ind w:left="113" w:right="113"/>
              <w:jc w:val="both"/>
              <w:rPr>
                <w:sz w:val="18"/>
                <w:szCs w:val="18"/>
              </w:rPr>
            </w:pPr>
            <w:r w:rsidRPr="00A57265">
              <w:rPr>
                <w:lang w:val="fr-FR"/>
              </w:rPr>
              <w:t>Spéciale</w:t>
            </w:r>
          </w:p>
        </w:tc>
        <w:tc>
          <w:tcPr>
            <w:tcW w:w="1701" w:type="dxa"/>
            <w:vAlign w:val="center"/>
            <w:hideMark/>
          </w:tcPr>
          <w:p w14:paraId="759586F0" w14:textId="77777777" w:rsidR="0075704A" w:rsidRPr="00A57265" w:rsidRDefault="0075704A" w:rsidP="009759C1">
            <w:pPr>
              <w:spacing w:before="60" w:after="60" w:line="240" w:lineRule="auto"/>
              <w:ind w:left="113" w:right="113"/>
              <w:jc w:val="center"/>
              <w:rPr>
                <w:strike/>
                <w:sz w:val="18"/>
                <w:szCs w:val="18"/>
              </w:rPr>
            </w:pPr>
            <w:r w:rsidRPr="00A57265">
              <w:rPr>
                <w:strike/>
                <w:lang w:val="fr-FR"/>
              </w:rPr>
              <w:t>sans objet</w:t>
            </w:r>
          </w:p>
          <w:p w14:paraId="04668C38" w14:textId="5AE14695" w:rsidR="0075704A" w:rsidRPr="006540B3" w:rsidRDefault="0075704A" w:rsidP="009759C1">
            <w:pPr>
              <w:spacing w:before="60" w:after="60" w:line="240" w:lineRule="auto"/>
              <w:ind w:left="113" w:right="113"/>
              <w:jc w:val="center"/>
              <w:rPr>
                <w:b/>
                <w:bCs/>
                <w:sz w:val="18"/>
                <w:szCs w:val="18"/>
              </w:rPr>
            </w:pPr>
            <w:r w:rsidRPr="006540B3">
              <w:rPr>
                <w:b/>
                <w:bCs/>
                <w:lang w:val="fr-FR"/>
              </w:rPr>
              <w:t>5 °C</w:t>
            </w:r>
            <w:r w:rsidR="00596B91">
              <w:rPr>
                <w:b/>
                <w:bCs/>
                <w:lang w:val="fr-FR"/>
              </w:rPr>
              <w:t>-</w:t>
            </w:r>
            <w:r w:rsidRPr="006540B3">
              <w:rPr>
                <w:b/>
                <w:bCs/>
                <w:lang w:val="fr-FR"/>
              </w:rPr>
              <w:t>35 °C</w:t>
            </w:r>
          </w:p>
        </w:tc>
        <w:tc>
          <w:tcPr>
            <w:tcW w:w="1701" w:type="dxa"/>
            <w:vAlign w:val="center"/>
            <w:hideMark/>
          </w:tcPr>
          <w:p w14:paraId="6D1DEA87" w14:textId="77777777" w:rsidR="0075704A" w:rsidRPr="00D50E89" w:rsidRDefault="0075704A" w:rsidP="009759C1">
            <w:pPr>
              <w:spacing w:before="60" w:after="60" w:line="240" w:lineRule="auto"/>
              <w:ind w:left="113" w:right="113"/>
              <w:jc w:val="center"/>
              <w:rPr>
                <w:strike/>
                <w:sz w:val="18"/>
                <w:szCs w:val="18"/>
              </w:rPr>
            </w:pPr>
            <w:r w:rsidRPr="00D50E89">
              <w:rPr>
                <w:strike/>
                <w:lang w:val="fr-FR"/>
              </w:rPr>
              <w:t>sans objet</w:t>
            </w:r>
          </w:p>
          <w:p w14:paraId="2FBB2100" w14:textId="1CF7E16B" w:rsidR="0075704A" w:rsidRPr="006540B3" w:rsidRDefault="0075704A" w:rsidP="009759C1">
            <w:pPr>
              <w:spacing w:before="60" w:after="60" w:line="240" w:lineRule="auto"/>
              <w:ind w:left="113" w:right="113"/>
              <w:jc w:val="center"/>
              <w:rPr>
                <w:b/>
                <w:bCs/>
                <w:sz w:val="18"/>
                <w:szCs w:val="18"/>
              </w:rPr>
            </w:pPr>
            <w:r w:rsidRPr="006540B3">
              <w:rPr>
                <w:b/>
                <w:bCs/>
                <w:lang w:val="fr-FR"/>
              </w:rPr>
              <w:t>5 °C</w:t>
            </w:r>
            <w:r w:rsidR="00596B91">
              <w:rPr>
                <w:b/>
                <w:bCs/>
                <w:lang w:val="fr-FR"/>
              </w:rPr>
              <w:t>-</w:t>
            </w:r>
            <w:r w:rsidRPr="006540B3">
              <w:rPr>
                <w:b/>
                <w:bCs/>
                <w:lang w:val="fr-FR"/>
              </w:rPr>
              <w:t>40 °C</w:t>
            </w:r>
          </w:p>
        </w:tc>
      </w:tr>
    </w:tbl>
    <w:p w14:paraId="1363F54E" w14:textId="32A6D614" w:rsidR="0075704A" w:rsidRPr="00A57265" w:rsidRDefault="0075704A" w:rsidP="00596B91">
      <w:pPr>
        <w:spacing w:before="240" w:after="120"/>
        <w:ind w:left="2268" w:right="1134" w:hanging="1134"/>
        <w:jc w:val="both"/>
      </w:pPr>
      <w:r w:rsidRPr="00A57265">
        <w:rPr>
          <w:lang w:val="fr-FR"/>
        </w:rPr>
        <w:tab/>
        <w:t>En outre, la température du revêtement mouillé ne doit pas varier de plus de 10 °C pendant l</w:t>
      </w:r>
      <w:r>
        <w:rPr>
          <w:lang w:val="fr-FR"/>
        </w:rPr>
        <w:t>’</w:t>
      </w:r>
      <w:r w:rsidRPr="00A57265">
        <w:rPr>
          <w:lang w:val="fr-FR"/>
        </w:rPr>
        <w:t>essai</w:t>
      </w:r>
      <w:r w:rsidR="00AF71B2" w:rsidRPr="00AF71B2">
        <w:rPr>
          <w:lang w:val="fr-FR"/>
        </w:rPr>
        <w:t>.</w:t>
      </w:r>
    </w:p>
    <w:p w14:paraId="7CC65D2A" w14:textId="59B4926D" w:rsidR="0075704A" w:rsidRPr="00A57265" w:rsidRDefault="0075704A" w:rsidP="0075704A">
      <w:pPr>
        <w:spacing w:after="120"/>
        <w:ind w:left="2268" w:right="1134" w:hanging="1134"/>
        <w:jc w:val="both"/>
        <w:rPr>
          <w:bCs/>
        </w:rPr>
      </w:pPr>
      <w:r w:rsidRPr="00A57265">
        <w:rPr>
          <w:lang w:val="fr-FR"/>
        </w:rPr>
        <w:tab/>
        <w:t>La température ambiante doit rester proche de la température du revêtement mouillé et l</w:t>
      </w:r>
      <w:r>
        <w:rPr>
          <w:lang w:val="fr-FR"/>
        </w:rPr>
        <w:t>’</w:t>
      </w:r>
      <w:r w:rsidRPr="00A57265">
        <w:rPr>
          <w:lang w:val="fr-FR"/>
        </w:rPr>
        <w:t>écart entre ces deux températures doit être inférieur à 10</w:t>
      </w:r>
      <w:r>
        <w:rPr>
          <w:lang w:val="fr-FR"/>
        </w:rPr>
        <w:t> </w:t>
      </w:r>
      <w:r w:rsidRPr="00A57265">
        <w:rPr>
          <w:lang w:val="fr-FR"/>
        </w:rPr>
        <w:t>°C</w:t>
      </w:r>
      <w:r w:rsidR="00AF71B2" w:rsidRPr="00AF71B2">
        <w:rPr>
          <w:lang w:val="fr-FR"/>
        </w:rPr>
        <w:t>.</w:t>
      </w:r>
      <w:r w:rsidRPr="00A57265">
        <w:rPr>
          <w:lang w:val="fr-FR"/>
        </w:rPr>
        <w:t> »</w:t>
      </w:r>
      <w:r w:rsidR="00AF71B2" w:rsidRPr="00AF71B2">
        <w:rPr>
          <w:lang w:val="fr-FR"/>
        </w:rPr>
        <w:t>.</w:t>
      </w:r>
      <w:r w:rsidRPr="00A57265">
        <w:rPr>
          <w:lang w:val="fr-FR"/>
        </w:rPr>
        <w:t xml:space="preserve"> </w:t>
      </w:r>
    </w:p>
    <w:p w14:paraId="60F11E6D" w14:textId="77777777" w:rsidR="0075704A" w:rsidRPr="00A57265" w:rsidRDefault="0075704A" w:rsidP="0075704A">
      <w:pPr>
        <w:spacing w:after="120"/>
        <w:ind w:left="2268" w:right="1134" w:hanging="1134"/>
        <w:jc w:val="both"/>
      </w:pPr>
      <w:bookmarkStart w:id="4" w:name="_Hlk104911965"/>
      <w:r w:rsidRPr="00A57265">
        <w:rPr>
          <w:i/>
          <w:iCs/>
          <w:lang w:val="fr-FR"/>
        </w:rPr>
        <w:t>Tableau 2</w:t>
      </w:r>
      <w:r w:rsidRPr="00A57265">
        <w:rPr>
          <w:lang w:val="fr-FR"/>
        </w:rPr>
        <w:t>, lire :</w:t>
      </w:r>
    </w:p>
    <w:bookmarkEnd w:id="4"/>
    <w:p w14:paraId="1D291357" w14:textId="77777777" w:rsidR="0075704A" w:rsidRPr="00A57265" w:rsidRDefault="0075704A" w:rsidP="0075704A">
      <w:pPr>
        <w:tabs>
          <w:tab w:val="left" w:pos="2268"/>
        </w:tabs>
        <w:spacing w:after="120"/>
        <w:ind w:left="2268" w:right="1134"/>
        <w:jc w:val="both"/>
      </w:pPr>
      <w:r w:rsidRPr="00A57265">
        <w:rPr>
          <w:lang w:val="fr-FR"/>
        </w:rPr>
        <w:t>« Tableau 2</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72"/>
        <w:gridCol w:w="574"/>
        <w:gridCol w:w="1077"/>
        <w:gridCol w:w="1133"/>
        <w:gridCol w:w="951"/>
        <w:gridCol w:w="952"/>
      </w:tblGrid>
      <w:tr w:rsidR="0075704A" w:rsidRPr="00596B91" w14:paraId="2BE29249" w14:textId="77777777" w:rsidTr="00B1101A">
        <w:trPr>
          <w:cantSplit/>
          <w:trHeight w:val="247"/>
          <w:tblHeader/>
        </w:trPr>
        <w:tc>
          <w:tcPr>
            <w:tcW w:w="2683" w:type="dxa"/>
            <w:gridSpan w:val="2"/>
            <w:shd w:val="clear" w:color="auto" w:fill="auto"/>
            <w:vAlign w:val="center"/>
            <w:hideMark/>
          </w:tcPr>
          <w:p w14:paraId="4BD7BEFB" w14:textId="77777777" w:rsidR="0075704A" w:rsidRPr="00596B91" w:rsidRDefault="0075704A" w:rsidP="009759C1">
            <w:pPr>
              <w:pStyle w:val="Tableheader"/>
              <w:autoSpaceDE w:val="0"/>
              <w:autoSpaceDN w:val="0"/>
              <w:adjustRightInd w:val="0"/>
              <w:spacing w:before="0" w:after="120" w:line="240" w:lineRule="atLeast"/>
              <w:rPr>
                <w:rFonts w:ascii="Times New Roman" w:hAnsi="Times New Roman"/>
                <w:i/>
                <w:iCs/>
                <w:sz w:val="16"/>
                <w:szCs w:val="16"/>
              </w:rPr>
            </w:pPr>
            <w:r w:rsidRPr="00596B91">
              <w:rPr>
                <w:rFonts w:ascii="Times New Roman" w:hAnsi="Times New Roman"/>
                <w:i/>
                <w:iCs/>
                <w:sz w:val="16"/>
                <w:szCs w:val="16"/>
              </w:rPr>
              <w:t>Catégorie d’utilisation</w:t>
            </w:r>
          </w:p>
        </w:tc>
        <w:tc>
          <w:tcPr>
            <w:tcW w:w="574" w:type="dxa"/>
            <w:vAlign w:val="center"/>
            <w:hideMark/>
          </w:tcPr>
          <w:p w14:paraId="2EC67CE0"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vertAlign w:val="subscript"/>
              </w:rPr>
            </w:pPr>
            <w:r w:rsidRPr="00596B91">
              <w:rPr>
                <w:rFonts w:ascii="Times New Roman" w:hAnsi="Times New Roman"/>
                <w:i/>
                <w:iCs/>
                <w:sz w:val="16"/>
                <w:szCs w:val="16"/>
              </w:rPr>
              <w:t>ϑ</w:t>
            </w:r>
            <w:r w:rsidRPr="00596B91">
              <w:rPr>
                <w:rFonts w:ascii="Times New Roman" w:hAnsi="Times New Roman"/>
                <w:i/>
                <w:iCs/>
                <w:sz w:val="16"/>
                <w:szCs w:val="16"/>
                <w:vertAlign w:val="subscript"/>
              </w:rPr>
              <w:t>0</w:t>
            </w:r>
          </w:p>
          <w:p w14:paraId="0FB1611D"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(°C)</w:t>
            </w:r>
          </w:p>
        </w:tc>
        <w:tc>
          <w:tcPr>
            <w:tcW w:w="1077" w:type="dxa"/>
            <w:vAlign w:val="center"/>
          </w:tcPr>
          <w:p w14:paraId="22E750CE"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a</w:t>
            </w:r>
          </w:p>
          <w:p w14:paraId="1F13BC50"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1133" w:type="dxa"/>
            <w:vAlign w:val="center"/>
            <w:hideMark/>
          </w:tcPr>
          <w:p w14:paraId="532C1BDB"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b</w:t>
            </w:r>
          </w:p>
          <w:p w14:paraId="5E3595BF"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(°C</w:t>
            </w:r>
            <w:r w:rsidRPr="00596B91">
              <w:rPr>
                <w:rFonts w:ascii="Times New Roman" w:hAnsi="Times New Roman"/>
                <w:i/>
                <w:iCs/>
                <w:sz w:val="16"/>
                <w:szCs w:val="16"/>
                <w:vertAlign w:val="superscript"/>
              </w:rPr>
              <w:t>−1</w:t>
            </w:r>
            <w:r w:rsidRPr="00596B91">
              <w:rPr>
                <w:rFonts w:ascii="Times New Roman" w:hAnsi="Times New Roman"/>
                <w:i/>
                <w:iCs/>
                <w:sz w:val="16"/>
                <w:szCs w:val="16"/>
              </w:rPr>
              <w:t>)</w:t>
            </w:r>
          </w:p>
        </w:tc>
        <w:tc>
          <w:tcPr>
            <w:tcW w:w="951" w:type="dxa"/>
            <w:vAlign w:val="center"/>
            <w:hideMark/>
          </w:tcPr>
          <w:p w14:paraId="48BE9D86"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c</w:t>
            </w:r>
          </w:p>
          <w:p w14:paraId="53ADEF0D"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(°C</w:t>
            </w:r>
            <w:r w:rsidRPr="00596B91">
              <w:rPr>
                <w:rFonts w:ascii="Times New Roman" w:hAnsi="Times New Roman"/>
                <w:i/>
                <w:iCs/>
                <w:sz w:val="16"/>
                <w:szCs w:val="16"/>
                <w:vertAlign w:val="superscript"/>
              </w:rPr>
              <w:t>−2</w:t>
            </w:r>
            <w:r w:rsidRPr="00596B91">
              <w:rPr>
                <w:rFonts w:ascii="Times New Roman" w:hAnsi="Times New Roman"/>
                <w:i/>
                <w:iCs/>
                <w:sz w:val="16"/>
                <w:szCs w:val="16"/>
              </w:rPr>
              <w:t>)</w:t>
            </w:r>
          </w:p>
        </w:tc>
        <w:tc>
          <w:tcPr>
            <w:tcW w:w="952" w:type="dxa"/>
            <w:vAlign w:val="center"/>
            <w:hideMark/>
          </w:tcPr>
          <w:p w14:paraId="52B8A99A"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d</w:t>
            </w:r>
          </w:p>
          <w:p w14:paraId="114F57A8" w14:textId="77777777" w:rsidR="0075704A" w:rsidRPr="00596B91" w:rsidRDefault="0075704A" w:rsidP="009759C1">
            <w:pPr>
              <w:pStyle w:val="Tableheader"/>
              <w:autoSpaceDE w:val="0"/>
              <w:autoSpaceDN w:val="0"/>
              <w:adjustRightInd w:val="0"/>
              <w:spacing w:before="0" w:after="120" w:line="240" w:lineRule="atLeast"/>
              <w:jc w:val="center"/>
              <w:rPr>
                <w:rFonts w:ascii="Times New Roman" w:hAnsi="Times New Roman"/>
                <w:i/>
                <w:iCs/>
                <w:sz w:val="16"/>
                <w:szCs w:val="16"/>
              </w:rPr>
            </w:pPr>
            <w:r w:rsidRPr="00596B91">
              <w:rPr>
                <w:rFonts w:ascii="Times New Roman" w:hAnsi="Times New Roman"/>
                <w:i/>
                <w:iCs/>
                <w:sz w:val="16"/>
                <w:szCs w:val="16"/>
              </w:rPr>
              <w:t>(mm</w:t>
            </w:r>
            <w:r w:rsidRPr="00596B91">
              <w:rPr>
                <w:rFonts w:ascii="Times New Roman" w:hAnsi="Times New Roman"/>
                <w:i/>
                <w:iCs/>
                <w:sz w:val="16"/>
                <w:szCs w:val="16"/>
                <w:vertAlign w:val="superscript"/>
              </w:rPr>
              <w:t>-1</w:t>
            </w:r>
            <w:r w:rsidRPr="00596B91">
              <w:rPr>
                <w:rFonts w:ascii="Times New Roman" w:hAnsi="Times New Roman"/>
                <w:i/>
                <w:iCs/>
                <w:sz w:val="16"/>
                <w:szCs w:val="16"/>
              </w:rPr>
              <w:t>)</w:t>
            </w:r>
          </w:p>
        </w:tc>
      </w:tr>
      <w:tr w:rsidR="0075704A" w:rsidRPr="00A57265" w14:paraId="7B852F95" w14:textId="77777777" w:rsidTr="00B1101A">
        <w:trPr>
          <w:cantSplit/>
          <w:trHeight w:val="133"/>
        </w:trPr>
        <w:tc>
          <w:tcPr>
            <w:tcW w:w="2683" w:type="dxa"/>
            <w:gridSpan w:val="2"/>
            <w:vAlign w:val="center"/>
            <w:hideMark/>
          </w:tcPr>
          <w:p w14:paraId="2E12D496" w14:textId="77777777" w:rsidR="0075704A" w:rsidRPr="007E4484" w:rsidRDefault="0075704A" w:rsidP="009759C1">
            <w:pPr>
              <w:pStyle w:val="Tablebody"/>
              <w:autoSpaceDE w:val="0"/>
              <w:autoSpaceDN w:val="0"/>
              <w:adjustRightInd w:val="0"/>
              <w:spacing w:before="0" w:after="120" w:line="240" w:lineRule="atLeast"/>
              <w:rPr>
                <w:rFonts w:ascii="Times New Roman" w:hAnsi="Times New Roman"/>
                <w:sz w:val="20"/>
                <w:szCs w:val="20"/>
              </w:rPr>
            </w:pPr>
            <w:r w:rsidRPr="007E4484">
              <w:rPr>
                <w:rFonts w:ascii="Times New Roman" w:hAnsi="Times New Roman"/>
                <w:sz w:val="20"/>
                <w:szCs w:val="20"/>
              </w:rPr>
              <w:t>Normale</w:t>
            </w:r>
          </w:p>
        </w:tc>
        <w:tc>
          <w:tcPr>
            <w:tcW w:w="574" w:type="dxa"/>
            <w:vAlign w:val="center"/>
            <w:hideMark/>
          </w:tcPr>
          <w:p w14:paraId="23723EB5"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20</w:t>
            </w:r>
          </w:p>
        </w:tc>
        <w:tc>
          <w:tcPr>
            <w:tcW w:w="1077" w:type="dxa"/>
            <w:vAlign w:val="center"/>
            <w:hideMark/>
          </w:tcPr>
          <w:p w14:paraId="70DC72C7"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+0,90996</w:t>
            </w:r>
          </w:p>
        </w:tc>
        <w:tc>
          <w:tcPr>
            <w:tcW w:w="1133" w:type="dxa"/>
            <w:vAlign w:val="center"/>
            <w:hideMark/>
          </w:tcPr>
          <w:p w14:paraId="542C3201"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-0,00179</w:t>
            </w:r>
          </w:p>
        </w:tc>
        <w:tc>
          <w:tcPr>
            <w:tcW w:w="951" w:type="dxa"/>
            <w:vAlign w:val="center"/>
            <w:hideMark/>
          </w:tcPr>
          <w:p w14:paraId="3E8737FD"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-0,00013</w:t>
            </w:r>
          </w:p>
        </w:tc>
        <w:tc>
          <w:tcPr>
            <w:tcW w:w="952" w:type="dxa"/>
            <w:vAlign w:val="center"/>
            <w:hideMark/>
          </w:tcPr>
          <w:p w14:paraId="647BC6C4"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-0,10313</w:t>
            </w:r>
          </w:p>
        </w:tc>
      </w:tr>
      <w:tr w:rsidR="0075704A" w:rsidRPr="00A57265" w14:paraId="36AD114E" w14:textId="77777777" w:rsidTr="00B1101A">
        <w:trPr>
          <w:cantSplit/>
          <w:trHeight w:val="130"/>
        </w:trPr>
        <w:tc>
          <w:tcPr>
            <w:tcW w:w="2683" w:type="dxa"/>
            <w:gridSpan w:val="2"/>
            <w:vAlign w:val="center"/>
            <w:hideMark/>
          </w:tcPr>
          <w:p w14:paraId="3F7F53ED" w14:textId="77777777" w:rsidR="0075704A" w:rsidRPr="007E4484" w:rsidRDefault="0075704A" w:rsidP="009759C1">
            <w:pPr>
              <w:pStyle w:val="Tablebody"/>
              <w:autoSpaceDE w:val="0"/>
              <w:autoSpaceDN w:val="0"/>
              <w:adjustRightInd w:val="0"/>
              <w:spacing w:before="0" w:after="120" w:line="240" w:lineRule="atLeast"/>
              <w:rPr>
                <w:rFonts w:ascii="Times New Roman" w:hAnsi="Times New Roman"/>
                <w:sz w:val="20"/>
                <w:szCs w:val="20"/>
              </w:rPr>
            </w:pPr>
            <w:r w:rsidRPr="007E4484">
              <w:rPr>
                <w:rFonts w:ascii="Times New Roman" w:hAnsi="Times New Roman"/>
                <w:sz w:val="20"/>
                <w:szCs w:val="20"/>
              </w:rPr>
              <w:t>Neige</w:t>
            </w:r>
          </w:p>
        </w:tc>
        <w:tc>
          <w:tcPr>
            <w:tcW w:w="574" w:type="dxa"/>
            <w:vAlign w:val="center"/>
            <w:hideMark/>
          </w:tcPr>
          <w:p w14:paraId="12C37B0D"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15</w:t>
            </w:r>
          </w:p>
        </w:tc>
        <w:tc>
          <w:tcPr>
            <w:tcW w:w="1077" w:type="dxa"/>
            <w:vAlign w:val="center"/>
            <w:hideMark/>
          </w:tcPr>
          <w:p w14:paraId="70544DED"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+0,81045</w:t>
            </w:r>
          </w:p>
        </w:tc>
        <w:tc>
          <w:tcPr>
            <w:tcW w:w="1133" w:type="dxa"/>
            <w:vAlign w:val="center"/>
            <w:hideMark/>
          </w:tcPr>
          <w:p w14:paraId="6D3E83BE"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-0,00004</w:t>
            </w:r>
          </w:p>
        </w:tc>
        <w:tc>
          <w:tcPr>
            <w:tcW w:w="951" w:type="dxa"/>
            <w:vAlign w:val="center"/>
            <w:hideMark/>
          </w:tcPr>
          <w:p w14:paraId="1250F99A"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-0,00019</w:t>
            </w:r>
          </w:p>
        </w:tc>
        <w:tc>
          <w:tcPr>
            <w:tcW w:w="952" w:type="dxa"/>
            <w:vAlign w:val="center"/>
            <w:hideMark/>
          </w:tcPr>
          <w:p w14:paraId="478439E0"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-0,05093</w:t>
            </w:r>
          </w:p>
        </w:tc>
      </w:tr>
      <w:tr w:rsidR="0075704A" w:rsidRPr="00A57265" w14:paraId="56A3A4C4" w14:textId="77777777" w:rsidTr="00B1101A">
        <w:trPr>
          <w:cantSplit/>
          <w:trHeight w:val="130"/>
        </w:trPr>
        <w:tc>
          <w:tcPr>
            <w:tcW w:w="711" w:type="dxa"/>
          </w:tcPr>
          <w:p w14:paraId="287DA964" w14:textId="77777777" w:rsidR="0075704A" w:rsidRPr="007E4484" w:rsidRDefault="0075704A" w:rsidP="009759C1">
            <w:pPr>
              <w:pStyle w:val="Tablebody"/>
              <w:autoSpaceDE w:val="0"/>
              <w:autoSpaceDN w:val="0"/>
              <w:adjustRightInd w:val="0"/>
              <w:spacing w:before="0" w:after="120" w:line="240" w:lineRule="atLeast"/>
              <w:jc w:val="both"/>
              <w:rPr>
                <w:rFonts w:ascii="Times New Roman" w:hAnsi="Times New Roman"/>
                <w:sz w:val="20"/>
                <w:szCs w:val="20"/>
                <w:lang w:val="en-GB"/>
              </w:rPr>
            </w:pPr>
          </w:p>
        </w:tc>
        <w:tc>
          <w:tcPr>
            <w:tcW w:w="1972" w:type="dxa"/>
            <w:vAlign w:val="center"/>
            <w:hideMark/>
          </w:tcPr>
          <w:p w14:paraId="77D822D0" w14:textId="77777777" w:rsidR="0075704A" w:rsidRPr="007E4484" w:rsidRDefault="0075704A" w:rsidP="00596B91">
            <w:pPr>
              <w:pStyle w:val="Tablebody"/>
              <w:autoSpaceDE w:val="0"/>
              <w:autoSpaceDN w:val="0"/>
              <w:adjustRightInd w:val="0"/>
              <w:spacing w:before="120" w:after="120" w:line="240" w:lineRule="atLeast"/>
              <w:rPr>
                <w:rFonts w:ascii="Times New Roman" w:hAnsi="Times New Roman"/>
                <w:sz w:val="20"/>
                <w:szCs w:val="20"/>
              </w:rPr>
            </w:pPr>
            <w:r w:rsidRPr="007E4484">
              <w:rPr>
                <w:rFonts w:ascii="Times New Roman" w:hAnsi="Times New Roman"/>
                <w:sz w:val="20"/>
                <w:szCs w:val="20"/>
              </w:rPr>
              <w:t>Pneumatiques pour conditions de neige extrêmes</w:t>
            </w:r>
          </w:p>
        </w:tc>
        <w:tc>
          <w:tcPr>
            <w:tcW w:w="574" w:type="dxa"/>
            <w:vAlign w:val="center"/>
            <w:hideMark/>
          </w:tcPr>
          <w:p w14:paraId="39BC7C53"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z w:val="20"/>
                <w:szCs w:val="20"/>
              </w:rPr>
            </w:pPr>
            <w:r w:rsidRPr="007E4484">
              <w:rPr>
                <w:rFonts w:ascii="Times New Roman" w:hAnsi="Times New Roman"/>
                <w:sz w:val="20"/>
                <w:szCs w:val="20"/>
              </w:rPr>
              <w:t>10</w:t>
            </w:r>
          </w:p>
        </w:tc>
        <w:tc>
          <w:tcPr>
            <w:tcW w:w="1077" w:type="dxa"/>
            <w:vAlign w:val="center"/>
            <w:hideMark/>
          </w:tcPr>
          <w:p w14:paraId="0EFA5240"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+0,71094</w:t>
            </w:r>
          </w:p>
        </w:tc>
        <w:tc>
          <w:tcPr>
            <w:tcW w:w="1133" w:type="dxa"/>
            <w:vAlign w:val="center"/>
            <w:hideMark/>
          </w:tcPr>
          <w:p w14:paraId="3432096A"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+0,00172</w:t>
            </w:r>
          </w:p>
        </w:tc>
        <w:tc>
          <w:tcPr>
            <w:tcW w:w="951" w:type="dxa"/>
            <w:vAlign w:val="center"/>
            <w:hideMark/>
          </w:tcPr>
          <w:p w14:paraId="7E9FE8C4"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-0,00025</w:t>
            </w:r>
          </w:p>
        </w:tc>
        <w:tc>
          <w:tcPr>
            <w:tcW w:w="952" w:type="dxa"/>
            <w:vAlign w:val="center"/>
            <w:hideMark/>
          </w:tcPr>
          <w:p w14:paraId="57B1AF6C"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z w:val="20"/>
                <w:szCs w:val="20"/>
              </w:rPr>
              <w:t>+0,00127</w:t>
            </w:r>
          </w:p>
        </w:tc>
      </w:tr>
      <w:tr w:rsidR="0075704A" w:rsidRPr="00A57265" w14:paraId="0A20331F" w14:textId="77777777" w:rsidTr="00B1101A">
        <w:trPr>
          <w:cantSplit/>
          <w:trHeight w:val="130"/>
        </w:trPr>
        <w:tc>
          <w:tcPr>
            <w:tcW w:w="2683" w:type="dxa"/>
            <w:gridSpan w:val="2"/>
            <w:hideMark/>
          </w:tcPr>
          <w:p w14:paraId="5EF4C792" w14:textId="77777777" w:rsidR="0075704A" w:rsidRPr="007E4484" w:rsidRDefault="0075704A" w:rsidP="009759C1">
            <w:pPr>
              <w:pStyle w:val="Tablebody"/>
              <w:autoSpaceDE w:val="0"/>
              <w:autoSpaceDN w:val="0"/>
              <w:adjustRightInd w:val="0"/>
              <w:spacing w:before="0" w:after="120" w:line="240" w:lineRule="atLeast"/>
              <w:rPr>
                <w:rFonts w:ascii="Times New Roman" w:hAnsi="Times New Roman"/>
                <w:b/>
                <w:bCs/>
                <w:sz w:val="20"/>
                <w:szCs w:val="20"/>
              </w:rPr>
            </w:pPr>
            <w:r w:rsidRPr="007E4484">
              <w:rPr>
                <w:rFonts w:ascii="Times New Roman" w:hAnsi="Times New Roman"/>
                <w:b/>
                <w:bCs/>
                <w:sz w:val="20"/>
                <w:szCs w:val="20"/>
              </w:rPr>
              <w:t>Spéciale</w:t>
            </w:r>
          </w:p>
        </w:tc>
        <w:tc>
          <w:tcPr>
            <w:tcW w:w="574" w:type="dxa"/>
            <w:vAlign w:val="center"/>
            <w:hideMark/>
          </w:tcPr>
          <w:p w14:paraId="6F991A1B"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b/>
                <w:bCs/>
                <w:sz w:val="20"/>
                <w:szCs w:val="20"/>
              </w:rPr>
            </w:pPr>
            <w:r w:rsidRPr="007E4484">
              <w:rPr>
                <w:rFonts w:ascii="Times New Roman" w:hAnsi="Times New Roman"/>
                <w:b/>
                <w:bCs/>
                <w:sz w:val="20"/>
                <w:szCs w:val="20"/>
              </w:rPr>
              <w:t>15</w:t>
            </w:r>
          </w:p>
        </w:tc>
        <w:tc>
          <w:tcPr>
            <w:tcW w:w="1077" w:type="dxa"/>
            <w:vAlign w:val="center"/>
            <w:hideMark/>
          </w:tcPr>
          <w:p w14:paraId="5F8B777E"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b/>
                <w:bCs/>
                <w:sz w:val="20"/>
                <w:szCs w:val="20"/>
              </w:rPr>
            </w:pPr>
            <w:r w:rsidRPr="007E4484">
              <w:rPr>
                <w:rFonts w:ascii="Times New Roman" w:hAnsi="Times New Roman"/>
                <w:b/>
                <w:bCs/>
                <w:sz w:val="20"/>
                <w:szCs w:val="20"/>
              </w:rPr>
              <w:t>+0,81045</w:t>
            </w:r>
          </w:p>
        </w:tc>
        <w:tc>
          <w:tcPr>
            <w:tcW w:w="1133" w:type="dxa"/>
            <w:vAlign w:val="center"/>
            <w:hideMark/>
          </w:tcPr>
          <w:p w14:paraId="0473F604"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b/>
                <w:bCs/>
                <w:sz w:val="20"/>
                <w:szCs w:val="20"/>
              </w:rPr>
            </w:pPr>
            <w:r w:rsidRPr="007E4484">
              <w:rPr>
                <w:rFonts w:ascii="Times New Roman" w:hAnsi="Times New Roman"/>
                <w:b/>
                <w:bCs/>
                <w:sz w:val="20"/>
                <w:szCs w:val="20"/>
              </w:rPr>
              <w:t>-0,00004</w:t>
            </w:r>
          </w:p>
        </w:tc>
        <w:tc>
          <w:tcPr>
            <w:tcW w:w="951" w:type="dxa"/>
            <w:vAlign w:val="center"/>
            <w:hideMark/>
          </w:tcPr>
          <w:p w14:paraId="6FB1B7BD"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b/>
                <w:bCs/>
                <w:sz w:val="20"/>
                <w:szCs w:val="20"/>
              </w:rPr>
            </w:pPr>
            <w:r w:rsidRPr="007E4484">
              <w:rPr>
                <w:rFonts w:ascii="Times New Roman" w:hAnsi="Times New Roman"/>
                <w:b/>
                <w:bCs/>
                <w:sz w:val="20"/>
                <w:szCs w:val="20"/>
              </w:rPr>
              <w:t>-0,00019</w:t>
            </w:r>
          </w:p>
        </w:tc>
        <w:tc>
          <w:tcPr>
            <w:tcW w:w="952" w:type="dxa"/>
            <w:vAlign w:val="center"/>
            <w:hideMark/>
          </w:tcPr>
          <w:p w14:paraId="0FE2C805"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b/>
                <w:bCs/>
                <w:sz w:val="20"/>
                <w:szCs w:val="20"/>
              </w:rPr>
            </w:pPr>
            <w:r w:rsidRPr="007E4484">
              <w:rPr>
                <w:rFonts w:ascii="Times New Roman" w:hAnsi="Times New Roman"/>
                <w:b/>
                <w:bCs/>
                <w:sz w:val="20"/>
                <w:szCs w:val="20"/>
              </w:rPr>
              <w:t>-0,05093</w:t>
            </w:r>
          </w:p>
        </w:tc>
      </w:tr>
      <w:tr w:rsidR="0075704A" w:rsidRPr="00A57265" w14:paraId="39BCFC8C" w14:textId="77777777" w:rsidTr="00B1101A">
        <w:trPr>
          <w:cantSplit/>
          <w:trHeight w:val="13"/>
        </w:trPr>
        <w:tc>
          <w:tcPr>
            <w:tcW w:w="2683" w:type="dxa"/>
            <w:gridSpan w:val="2"/>
            <w:hideMark/>
          </w:tcPr>
          <w:p w14:paraId="1055F4CC" w14:textId="77777777" w:rsidR="0075704A" w:rsidRPr="007E4484" w:rsidRDefault="0075704A" w:rsidP="009759C1">
            <w:pPr>
              <w:pStyle w:val="Tablebody"/>
              <w:autoSpaceDE w:val="0"/>
              <w:autoSpaceDN w:val="0"/>
              <w:adjustRightInd w:val="0"/>
              <w:spacing w:before="0" w:after="120" w:line="240" w:lineRule="atLeast"/>
              <w:rPr>
                <w:rFonts w:ascii="Times New Roman" w:hAnsi="Times New Roman"/>
                <w:strike/>
                <w:sz w:val="20"/>
                <w:szCs w:val="20"/>
              </w:rPr>
            </w:pPr>
            <w:r w:rsidRPr="007E4484">
              <w:rPr>
                <w:rFonts w:ascii="Times New Roman" w:hAnsi="Times New Roman"/>
                <w:strike/>
                <w:sz w:val="20"/>
                <w:szCs w:val="20"/>
              </w:rPr>
              <w:t>Spéciale</w:t>
            </w:r>
          </w:p>
        </w:tc>
        <w:tc>
          <w:tcPr>
            <w:tcW w:w="4687" w:type="dxa"/>
            <w:gridSpan w:val="5"/>
            <w:vAlign w:val="center"/>
            <w:hideMark/>
          </w:tcPr>
          <w:p w14:paraId="4C9CE2FE" w14:textId="77777777" w:rsidR="0075704A" w:rsidRPr="007E4484" w:rsidRDefault="0075704A" w:rsidP="009759C1">
            <w:pPr>
              <w:pStyle w:val="Tablebody"/>
              <w:autoSpaceDE w:val="0"/>
              <w:autoSpaceDN w:val="0"/>
              <w:adjustRightInd w:val="0"/>
              <w:spacing w:before="0" w:after="120" w:line="240" w:lineRule="atLeast"/>
              <w:jc w:val="center"/>
              <w:rPr>
                <w:rFonts w:ascii="Times New Roman" w:hAnsi="Times New Roman"/>
                <w:strike/>
                <w:sz w:val="20"/>
                <w:szCs w:val="20"/>
              </w:rPr>
            </w:pPr>
            <w:r w:rsidRPr="007E4484">
              <w:rPr>
                <w:rFonts w:ascii="Times New Roman" w:hAnsi="Times New Roman"/>
                <w:strike/>
                <w:sz w:val="20"/>
                <w:szCs w:val="20"/>
              </w:rPr>
              <w:t>Non défini</w:t>
            </w:r>
          </w:p>
        </w:tc>
      </w:tr>
    </w:tbl>
    <w:p w14:paraId="22314B45" w14:textId="77AF5EEF" w:rsidR="0075704A" w:rsidRPr="00A57265" w:rsidRDefault="0075704A" w:rsidP="00596B91">
      <w:pPr>
        <w:pStyle w:val="SingleTxtG"/>
        <w:spacing w:before="120" w:after="240"/>
        <w:ind w:right="0"/>
        <w:jc w:val="right"/>
        <w:rPr>
          <w:lang w:val="en-GB" w:eastAsia="da-DK"/>
        </w:rPr>
      </w:pPr>
      <w:r>
        <w:rPr>
          <w:lang w:val="en-GB" w:eastAsia="da-DK"/>
        </w:rPr>
        <w:t> </w:t>
      </w:r>
      <w:r w:rsidRPr="00A30557">
        <w:rPr>
          <w:lang w:val="en-GB" w:eastAsia="da-DK"/>
        </w:rPr>
        <w:t>»</w:t>
      </w:r>
      <w:r w:rsidR="00AF71B2" w:rsidRPr="00AF71B2">
        <w:rPr>
          <w:lang w:val="en-GB" w:eastAsia="da-DK"/>
        </w:rPr>
        <w:t>.</w:t>
      </w:r>
    </w:p>
    <w:p w14:paraId="582169AF" w14:textId="0F498E10" w:rsidR="0075704A" w:rsidRPr="00A57265" w:rsidRDefault="0075704A" w:rsidP="007E4484">
      <w:pPr>
        <w:keepNext/>
        <w:spacing w:after="120"/>
        <w:ind w:left="2268" w:right="1134" w:hanging="1134"/>
        <w:jc w:val="both"/>
      </w:pPr>
      <w:r w:rsidRPr="00A57265">
        <w:rPr>
          <w:i/>
          <w:iCs/>
          <w:lang w:val="fr-FR"/>
        </w:rPr>
        <w:lastRenderedPageBreak/>
        <w:t>Tableau 4</w:t>
      </w:r>
      <w:r w:rsidRPr="00A57265">
        <w:rPr>
          <w:lang w:val="fr-FR"/>
        </w:rPr>
        <w:t>, lire :</w:t>
      </w:r>
    </w:p>
    <w:p w14:paraId="14E053B1" w14:textId="5B6365E9" w:rsidR="0075704A" w:rsidRPr="00A57265" w:rsidRDefault="0075704A" w:rsidP="007E4484">
      <w:pPr>
        <w:keepNext/>
        <w:spacing w:before="120" w:after="120"/>
        <w:ind w:left="2268" w:right="1134"/>
        <w:jc w:val="both"/>
      </w:pPr>
      <w:r w:rsidRPr="00A57265">
        <w:rPr>
          <w:lang w:val="fr-FR"/>
        </w:rPr>
        <w:t>«</w:t>
      </w:r>
      <w:r w:rsidR="00596B91">
        <w:rPr>
          <w:lang w:val="fr-FR"/>
        </w:rPr>
        <w:t> </w:t>
      </w:r>
      <w:r w:rsidRPr="00A57265">
        <w:rPr>
          <w:lang w:val="fr-FR"/>
        </w:rPr>
        <w:t>Tableau 4</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58"/>
        <w:gridCol w:w="546"/>
        <w:gridCol w:w="1077"/>
        <w:gridCol w:w="1175"/>
        <w:gridCol w:w="951"/>
        <w:gridCol w:w="952"/>
      </w:tblGrid>
      <w:tr w:rsidR="0075704A" w:rsidRPr="00596B91" w14:paraId="74B360A1" w14:textId="77777777" w:rsidTr="00B1101A">
        <w:trPr>
          <w:cantSplit/>
          <w:trHeight w:val="247"/>
          <w:tblHeader/>
        </w:trPr>
        <w:tc>
          <w:tcPr>
            <w:tcW w:w="2669" w:type="dxa"/>
            <w:gridSpan w:val="2"/>
            <w:shd w:val="clear" w:color="auto" w:fill="auto"/>
            <w:vAlign w:val="center"/>
            <w:hideMark/>
          </w:tcPr>
          <w:p w14:paraId="7CF75D1A" w14:textId="77777777" w:rsidR="0075704A" w:rsidRPr="00596B91" w:rsidRDefault="0075704A" w:rsidP="009759C1">
            <w:pPr>
              <w:pStyle w:val="Tableheader"/>
              <w:autoSpaceDE w:val="0"/>
              <w:autoSpaceDN w:val="0"/>
              <w:adjustRightInd w:val="0"/>
              <w:rPr>
                <w:rFonts w:ascii="Times New Roman" w:hAnsi="Times New Roman"/>
                <w:i/>
                <w:iCs/>
                <w:sz w:val="16"/>
                <w:szCs w:val="16"/>
              </w:rPr>
            </w:pPr>
            <w:r w:rsidRPr="00596B91">
              <w:rPr>
                <w:rFonts w:ascii="Times New Roman" w:hAnsi="Times New Roman"/>
                <w:i/>
                <w:iCs/>
                <w:sz w:val="16"/>
                <w:szCs w:val="16"/>
              </w:rPr>
              <w:t>Catégorie d’utilisation</w:t>
            </w:r>
          </w:p>
        </w:tc>
        <w:tc>
          <w:tcPr>
            <w:tcW w:w="546" w:type="dxa"/>
            <w:vAlign w:val="center"/>
            <w:hideMark/>
          </w:tcPr>
          <w:p w14:paraId="38BBAA4D"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vertAlign w:val="subscript"/>
              </w:rPr>
            </w:pPr>
            <w:r w:rsidRPr="00596B91">
              <w:rPr>
                <w:rFonts w:ascii="Times New Roman" w:hAnsi="Times New Roman"/>
                <w:i/>
                <w:iCs/>
                <w:sz w:val="16"/>
                <w:szCs w:val="16"/>
              </w:rPr>
              <w:t>ϑ</w:t>
            </w:r>
            <w:r w:rsidRPr="00596B91">
              <w:rPr>
                <w:rFonts w:ascii="Times New Roman" w:hAnsi="Times New Roman"/>
                <w:i/>
                <w:iCs/>
                <w:sz w:val="16"/>
                <w:szCs w:val="16"/>
                <w:vertAlign w:val="subscript"/>
              </w:rPr>
              <w:t>0</w:t>
            </w:r>
          </w:p>
          <w:p w14:paraId="12812F8E"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(°C)</w:t>
            </w:r>
          </w:p>
        </w:tc>
        <w:tc>
          <w:tcPr>
            <w:tcW w:w="1077" w:type="dxa"/>
            <w:vAlign w:val="center"/>
          </w:tcPr>
          <w:p w14:paraId="010A1D6D"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a</w:t>
            </w:r>
          </w:p>
          <w:p w14:paraId="7C1792F8"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lang w:val="en-GB"/>
              </w:rPr>
            </w:pPr>
          </w:p>
        </w:tc>
        <w:tc>
          <w:tcPr>
            <w:tcW w:w="1175" w:type="dxa"/>
            <w:vAlign w:val="center"/>
            <w:hideMark/>
          </w:tcPr>
          <w:p w14:paraId="2F6E3306"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b</w:t>
            </w:r>
          </w:p>
          <w:p w14:paraId="31A84705"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(°C</w:t>
            </w:r>
            <w:r w:rsidRPr="00596B91">
              <w:rPr>
                <w:rFonts w:ascii="Times New Roman" w:hAnsi="Times New Roman"/>
                <w:i/>
                <w:iCs/>
                <w:sz w:val="16"/>
                <w:szCs w:val="16"/>
                <w:vertAlign w:val="superscript"/>
              </w:rPr>
              <w:t>−1</w:t>
            </w:r>
            <w:r w:rsidRPr="00596B91">
              <w:rPr>
                <w:rFonts w:ascii="Times New Roman" w:hAnsi="Times New Roman"/>
                <w:i/>
                <w:iCs/>
                <w:sz w:val="16"/>
                <w:szCs w:val="16"/>
              </w:rPr>
              <w:t>)</w:t>
            </w:r>
          </w:p>
        </w:tc>
        <w:tc>
          <w:tcPr>
            <w:tcW w:w="951" w:type="dxa"/>
            <w:vAlign w:val="center"/>
            <w:hideMark/>
          </w:tcPr>
          <w:p w14:paraId="1FB95C7E"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c</w:t>
            </w:r>
          </w:p>
          <w:p w14:paraId="251E00CD"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(°C</w:t>
            </w:r>
            <w:r w:rsidRPr="00596B91">
              <w:rPr>
                <w:rFonts w:ascii="Times New Roman" w:hAnsi="Times New Roman"/>
                <w:i/>
                <w:iCs/>
                <w:sz w:val="16"/>
                <w:szCs w:val="16"/>
                <w:vertAlign w:val="superscript"/>
              </w:rPr>
              <w:t>−2</w:t>
            </w:r>
            <w:r w:rsidRPr="00596B91">
              <w:rPr>
                <w:rFonts w:ascii="Times New Roman" w:hAnsi="Times New Roman"/>
                <w:i/>
                <w:iCs/>
                <w:sz w:val="16"/>
                <w:szCs w:val="16"/>
              </w:rPr>
              <w:t>)</w:t>
            </w:r>
          </w:p>
        </w:tc>
        <w:tc>
          <w:tcPr>
            <w:tcW w:w="952" w:type="dxa"/>
            <w:vAlign w:val="center"/>
            <w:hideMark/>
          </w:tcPr>
          <w:p w14:paraId="0B1186B4"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d</w:t>
            </w:r>
          </w:p>
          <w:p w14:paraId="3A694CC8" w14:textId="77777777" w:rsidR="0075704A" w:rsidRPr="00596B91" w:rsidRDefault="0075704A" w:rsidP="009759C1">
            <w:pPr>
              <w:pStyle w:val="Tableheader"/>
              <w:autoSpaceDE w:val="0"/>
              <w:autoSpaceDN w:val="0"/>
              <w:adjustRightInd w:val="0"/>
              <w:jc w:val="center"/>
              <w:rPr>
                <w:rFonts w:ascii="Times New Roman" w:hAnsi="Times New Roman"/>
                <w:i/>
                <w:iCs/>
                <w:sz w:val="16"/>
                <w:szCs w:val="16"/>
              </w:rPr>
            </w:pPr>
            <w:r w:rsidRPr="00596B91">
              <w:rPr>
                <w:rFonts w:ascii="Times New Roman" w:hAnsi="Times New Roman"/>
                <w:i/>
                <w:iCs/>
                <w:sz w:val="16"/>
                <w:szCs w:val="16"/>
              </w:rPr>
              <w:t>(mm</w:t>
            </w:r>
            <w:r w:rsidRPr="00596B91">
              <w:rPr>
                <w:rFonts w:ascii="Times New Roman" w:hAnsi="Times New Roman"/>
                <w:i/>
                <w:iCs/>
                <w:sz w:val="16"/>
                <w:szCs w:val="16"/>
                <w:vertAlign w:val="superscript"/>
              </w:rPr>
              <w:t>-1</w:t>
            </w:r>
            <w:r w:rsidRPr="00596B91">
              <w:rPr>
                <w:rFonts w:ascii="Times New Roman" w:hAnsi="Times New Roman"/>
                <w:i/>
                <w:iCs/>
                <w:sz w:val="16"/>
                <w:szCs w:val="16"/>
              </w:rPr>
              <w:t>)</w:t>
            </w:r>
          </w:p>
        </w:tc>
      </w:tr>
      <w:tr w:rsidR="0075704A" w:rsidRPr="007E4484" w14:paraId="5A9A24D8" w14:textId="77777777" w:rsidTr="00B1101A">
        <w:trPr>
          <w:cantSplit/>
          <w:trHeight w:val="133"/>
        </w:trPr>
        <w:tc>
          <w:tcPr>
            <w:tcW w:w="2669" w:type="dxa"/>
            <w:gridSpan w:val="2"/>
            <w:vAlign w:val="center"/>
            <w:hideMark/>
          </w:tcPr>
          <w:p w14:paraId="208F07BC" w14:textId="77777777" w:rsidR="0075704A" w:rsidRPr="007E4484" w:rsidRDefault="0075704A" w:rsidP="009759C1">
            <w:pPr>
              <w:pStyle w:val="Tablebody"/>
              <w:autoSpaceDE w:val="0"/>
              <w:autoSpaceDN w:val="0"/>
              <w:adjustRightInd w:val="0"/>
              <w:rPr>
                <w:rFonts w:ascii="Times New Roman" w:hAnsi="Times New Roman"/>
                <w:sz w:val="20"/>
                <w:szCs w:val="20"/>
              </w:rPr>
            </w:pPr>
            <w:r w:rsidRPr="007E4484">
              <w:rPr>
                <w:rFonts w:ascii="Times New Roman" w:hAnsi="Times New Roman"/>
                <w:sz w:val="20"/>
                <w:szCs w:val="20"/>
              </w:rPr>
              <w:t>Normale</w:t>
            </w:r>
          </w:p>
        </w:tc>
        <w:tc>
          <w:tcPr>
            <w:tcW w:w="546" w:type="dxa"/>
            <w:vAlign w:val="center"/>
            <w:hideMark/>
          </w:tcPr>
          <w:p w14:paraId="2A288BE4"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20</w:t>
            </w:r>
          </w:p>
        </w:tc>
        <w:tc>
          <w:tcPr>
            <w:tcW w:w="1077" w:type="dxa"/>
            <w:shd w:val="clear" w:color="auto" w:fill="FFFFFF"/>
            <w:vAlign w:val="center"/>
            <w:hideMark/>
          </w:tcPr>
          <w:p w14:paraId="708B8670"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+0,99655</w:t>
            </w:r>
          </w:p>
        </w:tc>
        <w:tc>
          <w:tcPr>
            <w:tcW w:w="1175" w:type="dxa"/>
            <w:shd w:val="clear" w:color="auto" w:fill="FFFFFF"/>
            <w:vAlign w:val="center"/>
            <w:hideMark/>
          </w:tcPr>
          <w:p w14:paraId="33B16402"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-0,00124</w:t>
            </w:r>
          </w:p>
        </w:tc>
        <w:tc>
          <w:tcPr>
            <w:tcW w:w="951" w:type="dxa"/>
            <w:shd w:val="clear" w:color="auto" w:fill="FFFFFF"/>
            <w:vAlign w:val="center"/>
            <w:hideMark/>
          </w:tcPr>
          <w:p w14:paraId="37567B2A"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+0,00041</w:t>
            </w:r>
          </w:p>
        </w:tc>
        <w:tc>
          <w:tcPr>
            <w:tcW w:w="952" w:type="dxa"/>
            <w:shd w:val="clear" w:color="auto" w:fill="FFFFFF"/>
            <w:vAlign w:val="center"/>
            <w:hideMark/>
          </w:tcPr>
          <w:p w14:paraId="0BBFDD51"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+0,06876</w:t>
            </w:r>
          </w:p>
        </w:tc>
      </w:tr>
      <w:tr w:rsidR="0075704A" w:rsidRPr="007E4484" w14:paraId="6999C67B" w14:textId="77777777" w:rsidTr="00B1101A">
        <w:trPr>
          <w:cantSplit/>
          <w:trHeight w:val="130"/>
        </w:trPr>
        <w:tc>
          <w:tcPr>
            <w:tcW w:w="2669" w:type="dxa"/>
            <w:gridSpan w:val="2"/>
            <w:vAlign w:val="center"/>
            <w:hideMark/>
          </w:tcPr>
          <w:p w14:paraId="66846A0D" w14:textId="77777777" w:rsidR="0075704A" w:rsidRPr="007E4484" w:rsidRDefault="0075704A" w:rsidP="009759C1">
            <w:pPr>
              <w:pStyle w:val="Tablebody"/>
              <w:autoSpaceDE w:val="0"/>
              <w:autoSpaceDN w:val="0"/>
              <w:adjustRightInd w:val="0"/>
              <w:rPr>
                <w:rFonts w:ascii="Times New Roman" w:hAnsi="Times New Roman"/>
                <w:sz w:val="20"/>
                <w:szCs w:val="20"/>
              </w:rPr>
            </w:pPr>
            <w:r w:rsidRPr="007E4484">
              <w:rPr>
                <w:rFonts w:ascii="Times New Roman" w:hAnsi="Times New Roman"/>
                <w:sz w:val="20"/>
                <w:szCs w:val="20"/>
              </w:rPr>
              <w:t>Neige</w:t>
            </w:r>
          </w:p>
        </w:tc>
        <w:tc>
          <w:tcPr>
            <w:tcW w:w="546" w:type="dxa"/>
            <w:vAlign w:val="center"/>
            <w:hideMark/>
          </w:tcPr>
          <w:p w14:paraId="00E57108"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15</w:t>
            </w:r>
          </w:p>
        </w:tc>
        <w:tc>
          <w:tcPr>
            <w:tcW w:w="1077" w:type="dxa"/>
            <w:shd w:val="clear" w:color="auto" w:fill="FFFFFF"/>
            <w:vAlign w:val="center"/>
            <w:hideMark/>
          </w:tcPr>
          <w:p w14:paraId="7D2E007E"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+0,94572</w:t>
            </w:r>
          </w:p>
        </w:tc>
        <w:tc>
          <w:tcPr>
            <w:tcW w:w="1175" w:type="dxa"/>
            <w:shd w:val="clear" w:color="auto" w:fill="FFFFFF"/>
            <w:vAlign w:val="center"/>
            <w:hideMark/>
          </w:tcPr>
          <w:p w14:paraId="68D5D1A4"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-0,00032</w:t>
            </w:r>
          </w:p>
        </w:tc>
        <w:tc>
          <w:tcPr>
            <w:tcW w:w="951" w:type="dxa"/>
            <w:shd w:val="clear" w:color="auto" w:fill="FFFFFF"/>
            <w:vAlign w:val="center"/>
            <w:hideMark/>
          </w:tcPr>
          <w:p w14:paraId="6DD86D4C"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-0,00020</w:t>
            </w:r>
          </w:p>
        </w:tc>
        <w:tc>
          <w:tcPr>
            <w:tcW w:w="952" w:type="dxa"/>
            <w:shd w:val="clear" w:color="auto" w:fill="FFFFFF"/>
            <w:vAlign w:val="center"/>
            <w:hideMark/>
          </w:tcPr>
          <w:p w14:paraId="22E5EBF4"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+0,08047</w:t>
            </w:r>
          </w:p>
        </w:tc>
      </w:tr>
      <w:tr w:rsidR="0075704A" w:rsidRPr="007E4484" w14:paraId="3C043ABD" w14:textId="77777777" w:rsidTr="00B1101A">
        <w:trPr>
          <w:cantSplit/>
          <w:trHeight w:val="130"/>
        </w:trPr>
        <w:tc>
          <w:tcPr>
            <w:tcW w:w="711" w:type="dxa"/>
          </w:tcPr>
          <w:p w14:paraId="4B604A87" w14:textId="77777777" w:rsidR="0075704A" w:rsidRPr="007E4484" w:rsidRDefault="0075704A" w:rsidP="009759C1">
            <w:pPr>
              <w:pStyle w:val="Tablebody"/>
              <w:autoSpaceDE w:val="0"/>
              <w:autoSpaceDN w:val="0"/>
              <w:adjustRightInd w:val="0"/>
              <w:jc w:val="both"/>
              <w:rPr>
                <w:rFonts w:ascii="Times New Roman" w:hAnsi="Times New Roman"/>
                <w:sz w:val="20"/>
                <w:szCs w:val="20"/>
                <w:lang w:val="en-GB"/>
              </w:rPr>
            </w:pPr>
          </w:p>
        </w:tc>
        <w:tc>
          <w:tcPr>
            <w:tcW w:w="1958" w:type="dxa"/>
            <w:vAlign w:val="center"/>
            <w:hideMark/>
          </w:tcPr>
          <w:p w14:paraId="481801D2" w14:textId="77777777" w:rsidR="0075704A" w:rsidRPr="007E4484" w:rsidRDefault="0075704A" w:rsidP="009759C1">
            <w:pPr>
              <w:pStyle w:val="Tablebody"/>
              <w:autoSpaceDE w:val="0"/>
              <w:autoSpaceDN w:val="0"/>
              <w:adjustRightInd w:val="0"/>
              <w:rPr>
                <w:rFonts w:ascii="Times New Roman" w:hAnsi="Times New Roman"/>
                <w:sz w:val="20"/>
                <w:szCs w:val="20"/>
              </w:rPr>
            </w:pPr>
            <w:r w:rsidRPr="007E4484">
              <w:rPr>
                <w:rFonts w:ascii="Times New Roman" w:hAnsi="Times New Roman"/>
                <w:sz w:val="20"/>
                <w:szCs w:val="20"/>
              </w:rPr>
              <w:t>Pneumatiques pour conditions de neige extrêmes</w:t>
            </w:r>
          </w:p>
        </w:tc>
        <w:tc>
          <w:tcPr>
            <w:tcW w:w="546" w:type="dxa"/>
            <w:vAlign w:val="center"/>
            <w:hideMark/>
          </w:tcPr>
          <w:p w14:paraId="5C0ABAE4"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10</w:t>
            </w:r>
          </w:p>
        </w:tc>
        <w:tc>
          <w:tcPr>
            <w:tcW w:w="1077" w:type="dxa"/>
            <w:shd w:val="clear" w:color="auto" w:fill="FFFFFF"/>
            <w:vAlign w:val="center"/>
            <w:hideMark/>
          </w:tcPr>
          <w:p w14:paraId="22B0A25C"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+0,89488</w:t>
            </w:r>
          </w:p>
        </w:tc>
        <w:tc>
          <w:tcPr>
            <w:tcW w:w="1175" w:type="dxa"/>
            <w:shd w:val="clear" w:color="auto" w:fill="FFFFFF"/>
            <w:vAlign w:val="center"/>
            <w:hideMark/>
          </w:tcPr>
          <w:p w14:paraId="6D515B9E"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+0,00061</w:t>
            </w:r>
          </w:p>
        </w:tc>
        <w:tc>
          <w:tcPr>
            <w:tcW w:w="951" w:type="dxa"/>
            <w:shd w:val="clear" w:color="auto" w:fill="FFFFFF"/>
            <w:vAlign w:val="center"/>
            <w:hideMark/>
          </w:tcPr>
          <w:p w14:paraId="65349F14" w14:textId="77777777" w:rsidR="0075704A" w:rsidRPr="007E4484" w:rsidRDefault="0075704A" w:rsidP="009759C1">
            <w:pPr>
              <w:pStyle w:val="Tablebody"/>
              <w:autoSpaceDE w:val="0"/>
              <w:autoSpaceDN w:val="0"/>
              <w:adjustRightInd w:val="0"/>
              <w:jc w:val="center"/>
              <w:rPr>
                <w:rFonts w:ascii="Times New Roman" w:hAnsi="Times New Roman"/>
                <w:strike/>
                <w:sz w:val="20"/>
                <w:szCs w:val="20"/>
              </w:rPr>
            </w:pPr>
            <w:r w:rsidRPr="007E4484">
              <w:rPr>
                <w:rFonts w:ascii="Times New Roman" w:hAnsi="Times New Roman"/>
                <w:sz w:val="20"/>
                <w:szCs w:val="20"/>
              </w:rPr>
              <w:t>-0,00080</w:t>
            </w:r>
          </w:p>
        </w:tc>
        <w:tc>
          <w:tcPr>
            <w:tcW w:w="952" w:type="dxa"/>
            <w:shd w:val="clear" w:color="auto" w:fill="FFFFFF"/>
            <w:vAlign w:val="center"/>
            <w:hideMark/>
          </w:tcPr>
          <w:p w14:paraId="2EC7A4A6" w14:textId="77777777" w:rsidR="0075704A" w:rsidRPr="007E4484" w:rsidRDefault="0075704A" w:rsidP="009759C1">
            <w:pPr>
              <w:pStyle w:val="Tablebody"/>
              <w:autoSpaceDE w:val="0"/>
              <w:autoSpaceDN w:val="0"/>
              <w:adjustRightInd w:val="0"/>
              <w:jc w:val="center"/>
              <w:rPr>
                <w:rFonts w:ascii="Times New Roman" w:hAnsi="Times New Roman"/>
                <w:sz w:val="20"/>
                <w:szCs w:val="20"/>
              </w:rPr>
            </w:pPr>
            <w:r w:rsidRPr="007E4484">
              <w:rPr>
                <w:rFonts w:ascii="Times New Roman" w:hAnsi="Times New Roman"/>
                <w:sz w:val="20"/>
                <w:szCs w:val="20"/>
              </w:rPr>
              <w:t>+0,09217</w:t>
            </w:r>
          </w:p>
        </w:tc>
      </w:tr>
      <w:tr w:rsidR="0075704A" w:rsidRPr="007E4484" w14:paraId="290EEE3B" w14:textId="77777777" w:rsidTr="00B1101A">
        <w:trPr>
          <w:cantSplit/>
          <w:trHeight w:val="130"/>
        </w:trPr>
        <w:tc>
          <w:tcPr>
            <w:tcW w:w="2669" w:type="dxa"/>
            <w:gridSpan w:val="2"/>
            <w:hideMark/>
          </w:tcPr>
          <w:p w14:paraId="094E349D" w14:textId="77777777" w:rsidR="0075704A" w:rsidRPr="007E4484" w:rsidRDefault="0075704A" w:rsidP="009759C1">
            <w:pPr>
              <w:pStyle w:val="Tablebody"/>
              <w:autoSpaceDE w:val="0"/>
              <w:autoSpaceDN w:val="0"/>
              <w:adjustRightInd w:val="0"/>
              <w:rPr>
                <w:rFonts w:ascii="Times New Roman" w:hAnsi="Times New Roman"/>
                <w:b/>
                <w:bCs/>
                <w:sz w:val="20"/>
                <w:szCs w:val="20"/>
              </w:rPr>
            </w:pPr>
            <w:r w:rsidRPr="007E4484">
              <w:rPr>
                <w:rFonts w:ascii="Times New Roman" w:hAnsi="Times New Roman"/>
                <w:b/>
                <w:bCs/>
                <w:sz w:val="20"/>
                <w:szCs w:val="20"/>
              </w:rPr>
              <w:t>Spéciale</w:t>
            </w:r>
          </w:p>
        </w:tc>
        <w:tc>
          <w:tcPr>
            <w:tcW w:w="546" w:type="dxa"/>
            <w:vAlign w:val="center"/>
            <w:hideMark/>
          </w:tcPr>
          <w:p w14:paraId="1845173F" w14:textId="77777777" w:rsidR="0075704A" w:rsidRPr="007E4484" w:rsidRDefault="0075704A" w:rsidP="009759C1">
            <w:pPr>
              <w:pStyle w:val="Tablebody"/>
              <w:autoSpaceDE w:val="0"/>
              <w:autoSpaceDN w:val="0"/>
              <w:adjustRightInd w:val="0"/>
              <w:jc w:val="center"/>
              <w:rPr>
                <w:rFonts w:ascii="Times New Roman" w:hAnsi="Times New Roman"/>
                <w:b/>
                <w:bCs/>
                <w:sz w:val="20"/>
                <w:szCs w:val="20"/>
              </w:rPr>
            </w:pPr>
            <w:r w:rsidRPr="007E4484">
              <w:rPr>
                <w:rFonts w:ascii="Times New Roman" w:hAnsi="Times New Roman"/>
                <w:b/>
                <w:bCs/>
                <w:sz w:val="20"/>
                <w:szCs w:val="20"/>
              </w:rPr>
              <w:t>15</w:t>
            </w:r>
          </w:p>
        </w:tc>
        <w:tc>
          <w:tcPr>
            <w:tcW w:w="1077" w:type="dxa"/>
            <w:shd w:val="clear" w:color="auto" w:fill="FFFFFF"/>
            <w:vAlign w:val="center"/>
            <w:hideMark/>
          </w:tcPr>
          <w:p w14:paraId="2D9985CF" w14:textId="77777777" w:rsidR="0075704A" w:rsidRPr="007E4484" w:rsidRDefault="0075704A" w:rsidP="009759C1">
            <w:pPr>
              <w:pStyle w:val="Tablebody"/>
              <w:autoSpaceDE w:val="0"/>
              <w:autoSpaceDN w:val="0"/>
              <w:adjustRightInd w:val="0"/>
              <w:jc w:val="center"/>
              <w:rPr>
                <w:rFonts w:ascii="Times New Roman" w:hAnsi="Times New Roman"/>
                <w:b/>
                <w:bCs/>
                <w:sz w:val="20"/>
                <w:szCs w:val="20"/>
              </w:rPr>
            </w:pPr>
            <w:r w:rsidRPr="007E4484">
              <w:rPr>
                <w:rFonts w:ascii="Times New Roman" w:hAnsi="Times New Roman"/>
                <w:b/>
                <w:bCs/>
                <w:sz w:val="20"/>
                <w:szCs w:val="20"/>
              </w:rPr>
              <w:t>+0,94572</w:t>
            </w:r>
          </w:p>
        </w:tc>
        <w:tc>
          <w:tcPr>
            <w:tcW w:w="1175" w:type="dxa"/>
            <w:shd w:val="clear" w:color="auto" w:fill="FFFFFF"/>
            <w:vAlign w:val="center"/>
            <w:hideMark/>
          </w:tcPr>
          <w:p w14:paraId="75AF1955" w14:textId="77777777" w:rsidR="0075704A" w:rsidRPr="007E4484" w:rsidRDefault="0075704A" w:rsidP="009759C1">
            <w:pPr>
              <w:pStyle w:val="Tablebody"/>
              <w:autoSpaceDE w:val="0"/>
              <w:autoSpaceDN w:val="0"/>
              <w:adjustRightInd w:val="0"/>
              <w:jc w:val="center"/>
              <w:rPr>
                <w:rFonts w:ascii="Times New Roman" w:hAnsi="Times New Roman"/>
                <w:b/>
                <w:bCs/>
                <w:sz w:val="20"/>
                <w:szCs w:val="20"/>
              </w:rPr>
            </w:pPr>
            <w:r w:rsidRPr="007E4484">
              <w:rPr>
                <w:rFonts w:ascii="Times New Roman" w:hAnsi="Times New Roman"/>
                <w:b/>
                <w:bCs/>
                <w:sz w:val="20"/>
                <w:szCs w:val="20"/>
              </w:rPr>
              <w:t>-0,00032</w:t>
            </w:r>
          </w:p>
        </w:tc>
        <w:tc>
          <w:tcPr>
            <w:tcW w:w="951" w:type="dxa"/>
            <w:shd w:val="clear" w:color="auto" w:fill="FFFFFF"/>
            <w:vAlign w:val="center"/>
            <w:hideMark/>
          </w:tcPr>
          <w:p w14:paraId="596BC87D" w14:textId="77777777" w:rsidR="0075704A" w:rsidRPr="007E4484" w:rsidRDefault="0075704A" w:rsidP="009759C1">
            <w:pPr>
              <w:pStyle w:val="Tablebody"/>
              <w:autoSpaceDE w:val="0"/>
              <w:autoSpaceDN w:val="0"/>
              <w:adjustRightInd w:val="0"/>
              <w:jc w:val="center"/>
              <w:rPr>
                <w:rFonts w:ascii="Times New Roman" w:hAnsi="Times New Roman"/>
                <w:b/>
                <w:bCs/>
                <w:sz w:val="20"/>
                <w:szCs w:val="20"/>
              </w:rPr>
            </w:pPr>
            <w:r w:rsidRPr="007E4484">
              <w:rPr>
                <w:rFonts w:ascii="Times New Roman" w:hAnsi="Times New Roman"/>
                <w:b/>
                <w:bCs/>
                <w:sz w:val="20"/>
                <w:szCs w:val="20"/>
              </w:rPr>
              <w:t>-0,00020</w:t>
            </w:r>
          </w:p>
        </w:tc>
        <w:tc>
          <w:tcPr>
            <w:tcW w:w="952" w:type="dxa"/>
            <w:shd w:val="clear" w:color="auto" w:fill="FFFFFF"/>
            <w:vAlign w:val="center"/>
            <w:hideMark/>
          </w:tcPr>
          <w:p w14:paraId="16F751EF" w14:textId="77777777" w:rsidR="0075704A" w:rsidRPr="007E4484" w:rsidRDefault="0075704A" w:rsidP="009759C1">
            <w:pPr>
              <w:pStyle w:val="Tablebody"/>
              <w:autoSpaceDE w:val="0"/>
              <w:autoSpaceDN w:val="0"/>
              <w:adjustRightInd w:val="0"/>
              <w:jc w:val="center"/>
              <w:rPr>
                <w:rFonts w:ascii="Times New Roman" w:hAnsi="Times New Roman"/>
                <w:b/>
                <w:bCs/>
                <w:sz w:val="20"/>
                <w:szCs w:val="20"/>
              </w:rPr>
            </w:pPr>
            <w:r w:rsidRPr="007E4484">
              <w:rPr>
                <w:rFonts w:ascii="Times New Roman" w:hAnsi="Times New Roman"/>
                <w:b/>
                <w:bCs/>
                <w:sz w:val="20"/>
                <w:szCs w:val="20"/>
              </w:rPr>
              <w:t>+0,08047</w:t>
            </w:r>
          </w:p>
        </w:tc>
      </w:tr>
      <w:tr w:rsidR="0075704A" w:rsidRPr="007E4484" w14:paraId="473A41CA" w14:textId="77777777" w:rsidTr="00B1101A">
        <w:trPr>
          <w:cantSplit/>
          <w:trHeight w:val="13"/>
        </w:trPr>
        <w:tc>
          <w:tcPr>
            <w:tcW w:w="2669" w:type="dxa"/>
            <w:gridSpan w:val="2"/>
            <w:hideMark/>
          </w:tcPr>
          <w:p w14:paraId="3CD60DF3" w14:textId="77777777" w:rsidR="0075704A" w:rsidRPr="007E4484" w:rsidRDefault="0075704A" w:rsidP="009759C1">
            <w:pPr>
              <w:pStyle w:val="Tablebody"/>
              <w:autoSpaceDE w:val="0"/>
              <w:autoSpaceDN w:val="0"/>
              <w:adjustRightInd w:val="0"/>
              <w:rPr>
                <w:rFonts w:ascii="Times New Roman" w:hAnsi="Times New Roman"/>
                <w:strike/>
                <w:sz w:val="20"/>
                <w:szCs w:val="20"/>
              </w:rPr>
            </w:pPr>
            <w:r w:rsidRPr="007E4484">
              <w:rPr>
                <w:rFonts w:ascii="Times New Roman" w:hAnsi="Times New Roman"/>
                <w:strike/>
                <w:sz w:val="20"/>
                <w:szCs w:val="20"/>
              </w:rPr>
              <w:t>Spéciale</w:t>
            </w:r>
          </w:p>
        </w:tc>
        <w:tc>
          <w:tcPr>
            <w:tcW w:w="4701" w:type="dxa"/>
            <w:gridSpan w:val="5"/>
            <w:vAlign w:val="center"/>
            <w:hideMark/>
          </w:tcPr>
          <w:p w14:paraId="7AE1E5CF" w14:textId="77777777" w:rsidR="0075704A" w:rsidRPr="007E4484" w:rsidRDefault="0075704A" w:rsidP="009759C1">
            <w:pPr>
              <w:pStyle w:val="Tablebody"/>
              <w:autoSpaceDE w:val="0"/>
              <w:autoSpaceDN w:val="0"/>
              <w:adjustRightInd w:val="0"/>
              <w:jc w:val="center"/>
              <w:rPr>
                <w:rFonts w:ascii="Times New Roman" w:hAnsi="Times New Roman"/>
                <w:strike/>
                <w:sz w:val="20"/>
                <w:szCs w:val="20"/>
              </w:rPr>
            </w:pPr>
            <w:r w:rsidRPr="007E4484">
              <w:rPr>
                <w:rFonts w:ascii="Times New Roman" w:hAnsi="Times New Roman"/>
                <w:strike/>
                <w:sz w:val="20"/>
                <w:szCs w:val="20"/>
              </w:rPr>
              <w:t>Non défini</w:t>
            </w:r>
          </w:p>
        </w:tc>
      </w:tr>
    </w:tbl>
    <w:p w14:paraId="20FACB82" w14:textId="4A26847C" w:rsidR="0075704A" w:rsidRPr="00A21343" w:rsidRDefault="0075704A" w:rsidP="00596B91">
      <w:pPr>
        <w:suppressAutoHyphens w:val="0"/>
        <w:spacing w:before="120" w:after="120" w:line="240" w:lineRule="auto"/>
        <w:ind w:left="2268"/>
        <w:jc w:val="right"/>
        <w:rPr>
          <w:lang w:val="en-GB"/>
        </w:rPr>
      </w:pPr>
      <w:r>
        <w:rPr>
          <w:lang w:val="en-GB"/>
        </w:rPr>
        <w:t> </w:t>
      </w:r>
      <w:r w:rsidRPr="00A30557">
        <w:rPr>
          <w:lang w:val="en-GB"/>
        </w:rPr>
        <w:t>»</w:t>
      </w:r>
      <w:r w:rsidR="00AF71B2" w:rsidRPr="00AF71B2">
        <w:rPr>
          <w:lang w:val="en-GB"/>
        </w:rPr>
        <w:t>.</w:t>
      </w:r>
    </w:p>
    <w:p w14:paraId="505E0DFF" w14:textId="77777777" w:rsidR="0075704A" w:rsidRPr="00A21343" w:rsidRDefault="0075704A" w:rsidP="0075704A">
      <w:pPr>
        <w:spacing w:after="120"/>
        <w:ind w:left="2268" w:right="1134" w:hanging="1128"/>
      </w:pPr>
      <w:r w:rsidRPr="00596B91">
        <w:rPr>
          <w:i/>
          <w:iCs/>
          <w:lang w:val="fr-FR"/>
        </w:rPr>
        <w:t>Ajouter le nouveau paragraphe 3</w:t>
      </w:r>
      <w:r>
        <w:rPr>
          <w:lang w:val="fr-FR"/>
        </w:rPr>
        <w:t>, libellé comme suit :</w:t>
      </w:r>
    </w:p>
    <w:p w14:paraId="434BCC53" w14:textId="43E74CE7" w:rsidR="0075704A" w:rsidRPr="009402B3" w:rsidRDefault="0075704A" w:rsidP="0075704A">
      <w:pPr>
        <w:spacing w:after="120"/>
        <w:ind w:left="2268" w:right="1134" w:hanging="1128"/>
        <w:rPr>
          <w:b/>
          <w:bCs/>
        </w:rPr>
      </w:pPr>
      <w:r>
        <w:rPr>
          <w:lang w:val="fr-FR"/>
        </w:rPr>
        <w:t>« </w:t>
      </w:r>
      <w:r>
        <w:rPr>
          <w:b/>
          <w:bCs/>
          <w:lang w:val="fr-FR"/>
        </w:rPr>
        <w:t>3</w:t>
      </w:r>
      <w:r w:rsidR="00AF71B2" w:rsidRPr="00AF71B2">
        <w:rPr>
          <w:b/>
          <w:bCs/>
          <w:lang w:val="fr-FR"/>
        </w:rPr>
        <w:t>.</w:t>
      </w:r>
      <w:r>
        <w:rPr>
          <w:lang w:val="fr-FR"/>
        </w:rPr>
        <w:tab/>
      </w:r>
      <w:r>
        <w:rPr>
          <w:b/>
          <w:bCs/>
          <w:lang w:val="fr-FR"/>
        </w:rPr>
        <w:t>Évaluation de l’adhérence des pneumatiques des classes C2 et C3</w:t>
      </w:r>
      <w:r>
        <w:rPr>
          <w:lang w:val="fr-FR"/>
        </w:rPr>
        <w:t xml:space="preserve"> </w:t>
      </w:r>
    </w:p>
    <w:p w14:paraId="4DEA5A14" w14:textId="77777777" w:rsidR="0075704A" w:rsidRPr="00A57265" w:rsidRDefault="0075704A" w:rsidP="0075704A">
      <w:pPr>
        <w:pStyle w:val="Paragraphedeliste"/>
        <w:spacing w:after="120"/>
        <w:ind w:left="2274" w:hanging="6"/>
        <w:contextualSpacing w:val="0"/>
        <w:rPr>
          <w:b/>
          <w:bCs/>
          <w:lang w:val="fr-FR"/>
        </w:rPr>
      </w:pPr>
      <w:r>
        <w:rPr>
          <w:b/>
          <w:bCs/>
          <w:lang w:val="fr-FR"/>
        </w:rPr>
        <w:t>Évaluation de l’indice d’adhérence sur sol mouillé du pneumatique usé</w:t>
      </w:r>
      <w:r>
        <w:rPr>
          <w:lang w:val="fr-FR"/>
        </w:rPr>
        <w:t xml:space="preserve"> </w:t>
      </w:r>
    </w:p>
    <w:p w14:paraId="328E8782" w14:textId="77777777" w:rsidR="0075704A" w:rsidRPr="009402B3" w:rsidRDefault="0075704A" w:rsidP="0075704A">
      <w:pPr>
        <w:spacing w:after="120"/>
        <w:ind w:left="2268" w:right="1134" w:hanging="6"/>
        <w:jc w:val="both"/>
        <w:rPr>
          <w:b/>
          <w:bCs/>
        </w:rPr>
      </w:pPr>
      <w:r>
        <w:rPr>
          <w:b/>
          <w:bCs/>
          <w:lang w:val="fr-FR"/>
        </w:rPr>
        <w:t>Principe</w:t>
      </w:r>
    </w:p>
    <w:p w14:paraId="20F162B1" w14:textId="77777777" w:rsidR="0075704A" w:rsidRPr="009402B3" w:rsidRDefault="0075704A" w:rsidP="0075704A">
      <w:pPr>
        <w:spacing w:after="120"/>
        <w:ind w:left="2268" w:right="1134" w:hanging="6"/>
        <w:jc w:val="both"/>
        <w:rPr>
          <w:b/>
          <w:bCs/>
        </w:rPr>
      </w:pPr>
      <w:r>
        <w:rPr>
          <w:b/>
          <w:bCs/>
          <w:lang w:val="fr-FR"/>
        </w:rPr>
        <w:t>Deux étapes :</w:t>
      </w:r>
    </w:p>
    <w:p w14:paraId="6763D952" w14:textId="5086571A" w:rsidR="0075704A" w:rsidRPr="00596B91" w:rsidRDefault="0075704A" w:rsidP="00596B91">
      <w:pPr>
        <w:pStyle w:val="SingleTxtG"/>
        <w:ind w:left="2835" w:hanging="567"/>
        <w:rPr>
          <w:b/>
          <w:bCs/>
          <w:lang w:val="fr-FR"/>
        </w:rPr>
      </w:pPr>
      <w:r w:rsidRPr="00596B91">
        <w:rPr>
          <w:b/>
          <w:bCs/>
          <w:lang w:val="fr-FR"/>
        </w:rPr>
        <w:t>a)</w:t>
      </w:r>
      <w:r w:rsidRPr="00596B91">
        <w:rPr>
          <w:b/>
          <w:bCs/>
          <w:lang w:val="fr-FR"/>
        </w:rPr>
        <w:tab/>
      </w:r>
      <w:r w:rsidRPr="00596B91">
        <w:rPr>
          <w:b/>
          <w:bCs/>
          <w:lang w:val="fr-FR"/>
        </w:rPr>
        <w:t xml:space="preserve">L’indice d’adhérence sur sol mouillé </w:t>
      </w:r>
      <w:r w:rsidRPr="00596B91">
        <w:rPr>
          <w:b/>
          <w:bCs/>
          <w:i/>
          <w:iCs/>
          <w:lang w:val="fr-FR"/>
        </w:rPr>
        <w:t>G</w:t>
      </w:r>
      <w:r w:rsidRPr="00596B91">
        <w:rPr>
          <w:b/>
          <w:bCs/>
          <w:lang w:val="fr-FR"/>
        </w:rPr>
        <w:t xml:space="preserve"> du pneumatique neuf est évalué selon les dispositions énoncées dans la partie B) de l’annexe</w:t>
      </w:r>
      <w:r w:rsidR="00596B91">
        <w:rPr>
          <w:b/>
          <w:bCs/>
          <w:lang w:val="fr-FR"/>
        </w:rPr>
        <w:t> </w:t>
      </w:r>
      <w:r w:rsidRPr="00596B91">
        <w:rPr>
          <w:b/>
          <w:bCs/>
          <w:lang w:val="fr-FR"/>
        </w:rPr>
        <w:t>5, « Pneumatiques des classes C2 et C3 », et ses sous</w:t>
      </w:r>
      <w:r w:rsidR="00FC4E96">
        <w:rPr>
          <w:b/>
          <w:bCs/>
          <w:lang w:val="fr-FR"/>
        </w:rPr>
        <w:noBreakHyphen/>
      </w:r>
      <w:r w:rsidRPr="00596B91">
        <w:rPr>
          <w:b/>
          <w:bCs/>
          <w:lang w:val="fr-FR"/>
        </w:rPr>
        <w:t>paragraphes</w:t>
      </w:r>
      <w:r w:rsidR="00AF71B2" w:rsidRPr="00AF71B2">
        <w:rPr>
          <w:b/>
          <w:bCs/>
          <w:lang w:val="fr-FR"/>
        </w:rPr>
        <w:t>.</w:t>
      </w:r>
    </w:p>
    <w:p w14:paraId="7B635B07" w14:textId="4DB395F9" w:rsidR="0075704A" w:rsidRPr="00A57265" w:rsidRDefault="0075704A" w:rsidP="00596B91">
      <w:pPr>
        <w:pStyle w:val="SingleTxtG"/>
        <w:ind w:left="2835" w:hanging="567"/>
        <w:rPr>
          <w:b/>
          <w:bCs/>
          <w:lang w:val="fr-FR"/>
        </w:rPr>
      </w:pPr>
      <w:r w:rsidRPr="00A57265">
        <w:rPr>
          <w:b/>
          <w:bCs/>
          <w:lang w:val="fr-FR"/>
        </w:rPr>
        <w:t>b)</w:t>
      </w:r>
      <w:r w:rsidRPr="00A57265">
        <w:rPr>
          <w:b/>
          <w:bCs/>
          <w:lang w:val="fr-FR"/>
        </w:rPr>
        <w:tab/>
      </w:r>
      <w:r>
        <w:rPr>
          <w:b/>
          <w:bCs/>
          <w:lang w:val="fr-FR"/>
        </w:rPr>
        <w:t>L’indice d’adhérence sur sol mouillé G</w:t>
      </w:r>
      <w:r>
        <w:rPr>
          <w:b/>
          <w:bCs/>
          <w:i/>
          <w:iCs/>
          <w:vertAlign w:val="subscript"/>
          <w:lang w:val="fr-FR"/>
        </w:rPr>
        <w:t>B</w:t>
      </w:r>
      <w:r>
        <w:rPr>
          <w:b/>
          <w:bCs/>
          <w:lang w:val="fr-FR"/>
        </w:rPr>
        <w:t xml:space="preserve"> des pneumatiques usés des classes C2 et C3 est évalué au moyen des formules suivantes :</w:t>
      </w:r>
    </w:p>
    <w:p w14:paraId="2DA80591" w14:textId="77777777" w:rsidR="0075704A" w:rsidRPr="009402B3" w:rsidRDefault="0075704A" w:rsidP="0075704A">
      <w:pPr>
        <w:pStyle w:val="Paragraphedeliste"/>
        <w:autoSpaceDE w:val="0"/>
        <w:autoSpaceDN w:val="0"/>
        <w:adjustRightInd w:val="0"/>
        <w:spacing w:before="120" w:after="120"/>
        <w:ind w:left="2625" w:right="1134"/>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C2</m:t>
              </m:r>
            </m:e>
          </m:d>
        </m:oMath>
      </m:oMathPara>
    </w:p>
    <w:p w14:paraId="21EA666B" w14:textId="77777777" w:rsidR="0075704A" w:rsidRPr="009402B3" w:rsidRDefault="0075704A" w:rsidP="0075704A">
      <w:pPr>
        <w:pStyle w:val="Paragraphedeliste"/>
        <w:autoSpaceDE w:val="0"/>
        <w:autoSpaceDN w:val="0"/>
        <w:adjustRightInd w:val="0"/>
        <w:spacing w:after="120"/>
        <w:ind w:left="2628" w:right="1134" w:hanging="6"/>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C3</m:t>
              </m:r>
            </m:e>
          </m:d>
        </m:oMath>
      </m:oMathPara>
    </w:p>
    <w:p w14:paraId="3867C913" w14:textId="77777777" w:rsidR="0075704A" w:rsidRPr="00A57265" w:rsidRDefault="0075704A" w:rsidP="0075704A">
      <w:pPr>
        <w:pStyle w:val="Paragraphedeliste"/>
        <w:autoSpaceDE w:val="0"/>
        <w:autoSpaceDN w:val="0"/>
        <w:adjustRightInd w:val="0"/>
        <w:spacing w:after="120"/>
        <w:ind w:left="2628" w:right="1134" w:hanging="6"/>
        <w:contextualSpacing w:val="0"/>
        <w:jc w:val="both"/>
        <w:rPr>
          <w:b/>
          <w:bCs/>
          <w:lang w:val="fr-FR"/>
        </w:rPr>
      </w:pPr>
      <w:proofErr w:type="spellStart"/>
      <w:r>
        <w:rPr>
          <w:b/>
          <w:bCs/>
          <w:lang w:val="fr-FR"/>
        </w:rPr>
        <w:t>K</w:t>
      </w:r>
      <w:r>
        <w:rPr>
          <w:b/>
          <w:bCs/>
          <w:vertAlign w:val="subscript"/>
          <w:lang w:val="fr-FR"/>
        </w:rPr>
        <w:t>worn</w:t>
      </w:r>
      <w:proofErr w:type="spellEnd"/>
      <w:r>
        <w:rPr>
          <w:b/>
          <w:bCs/>
          <w:lang w:val="fr-FR"/>
        </w:rPr>
        <w:t xml:space="preserve"> étant le facteur de perte de performance entre l’adhérence sur sol mouillé du pneumatique neuf et celle du pneumatique usé :</w:t>
      </w:r>
    </w:p>
    <w:p w14:paraId="0099AC35" w14:textId="77777777" w:rsidR="0075704A" w:rsidRPr="009402B3" w:rsidRDefault="0075704A" w:rsidP="0075704A">
      <w:pPr>
        <w:pStyle w:val="Paragraphedeliste"/>
        <w:autoSpaceDE w:val="0"/>
        <w:autoSpaceDN w:val="0"/>
        <w:adjustRightInd w:val="0"/>
        <w:spacing w:after="120"/>
        <w:ind w:left="2628" w:right="1134" w:hanging="6"/>
        <w:contextualSpacing w:val="0"/>
        <w:jc w:val="both"/>
        <w:rPr>
          <w:b/>
          <w:bCs/>
        </w:rPr>
      </w:pPr>
      <w:proofErr w:type="spellStart"/>
      <w:r w:rsidRPr="00A57265">
        <w:rPr>
          <w:b/>
          <w:bCs/>
          <w:lang w:val="en-US"/>
        </w:rPr>
        <w:t>K</w:t>
      </w:r>
      <w:r w:rsidRPr="00A57265">
        <w:rPr>
          <w:b/>
          <w:bCs/>
          <w:vertAlign w:val="subscript"/>
          <w:lang w:val="en-US"/>
        </w:rPr>
        <w:t>worn</w:t>
      </w:r>
      <w:proofErr w:type="spellEnd"/>
      <w:r w:rsidRPr="00A57265">
        <w:rPr>
          <w:b/>
          <w:bCs/>
          <w:lang w:val="en-US"/>
        </w:rPr>
        <w:t xml:space="preserve"> (C2) = 0,87</w:t>
      </w:r>
    </w:p>
    <w:p w14:paraId="2270199D" w14:textId="6D5D3A1A" w:rsidR="0075704A" w:rsidRPr="00596B91" w:rsidRDefault="0075704A" w:rsidP="0075704A">
      <w:pPr>
        <w:pStyle w:val="Paragraphedeliste"/>
        <w:autoSpaceDE w:val="0"/>
        <w:autoSpaceDN w:val="0"/>
        <w:adjustRightInd w:val="0"/>
        <w:spacing w:after="120"/>
        <w:ind w:left="2628" w:right="1134" w:hanging="6"/>
        <w:contextualSpacing w:val="0"/>
        <w:jc w:val="both"/>
        <w:rPr>
          <w:lang w:val="fr-CH"/>
        </w:rPr>
      </w:pPr>
      <w:proofErr w:type="spellStart"/>
      <w:r w:rsidRPr="00596B91">
        <w:rPr>
          <w:b/>
          <w:bCs/>
          <w:lang w:val="fr-CH"/>
        </w:rPr>
        <w:t>K</w:t>
      </w:r>
      <w:r w:rsidRPr="00596B91">
        <w:rPr>
          <w:b/>
          <w:bCs/>
          <w:vertAlign w:val="subscript"/>
          <w:lang w:val="fr-CH"/>
        </w:rPr>
        <w:t>worn</w:t>
      </w:r>
      <w:proofErr w:type="spellEnd"/>
      <w:r w:rsidRPr="00596B91">
        <w:rPr>
          <w:b/>
          <w:bCs/>
          <w:vertAlign w:val="subscript"/>
          <w:lang w:val="fr-CH"/>
        </w:rPr>
        <w:t xml:space="preserve"> </w:t>
      </w:r>
      <w:r w:rsidRPr="00596B91">
        <w:rPr>
          <w:b/>
          <w:bCs/>
          <w:lang w:val="fr-CH"/>
        </w:rPr>
        <w:t>(C3) = 0,83</w:t>
      </w:r>
      <w:r w:rsidR="00AF71B2" w:rsidRPr="00AF71B2">
        <w:rPr>
          <w:b/>
          <w:bCs/>
          <w:lang w:val="fr-CH"/>
        </w:rPr>
        <w:t>.</w:t>
      </w:r>
      <w:r w:rsidRPr="00596B91">
        <w:rPr>
          <w:b/>
          <w:bCs/>
          <w:lang w:val="fr-CH"/>
        </w:rPr>
        <w:t> »</w:t>
      </w:r>
      <w:r w:rsidR="00AF71B2" w:rsidRPr="00AF71B2">
        <w:rPr>
          <w:b/>
          <w:bCs/>
          <w:lang w:val="fr-CH"/>
        </w:rPr>
        <w:t>.</w:t>
      </w:r>
    </w:p>
    <w:p w14:paraId="12BE3DC8" w14:textId="77777777" w:rsidR="00596B91" w:rsidRPr="00596B91" w:rsidRDefault="00596B91">
      <w:pPr>
        <w:suppressAutoHyphens w:val="0"/>
        <w:kinsoku/>
        <w:overflowPunct/>
        <w:autoSpaceDE/>
        <w:autoSpaceDN/>
        <w:adjustRightInd/>
        <w:snapToGrid/>
        <w:spacing w:after="200" w:line="276" w:lineRule="auto"/>
        <w:rPr>
          <w:b/>
          <w:sz w:val="28"/>
        </w:rPr>
      </w:pPr>
      <w:r w:rsidRPr="00596B91">
        <w:br w:type="page"/>
      </w:r>
    </w:p>
    <w:p w14:paraId="419363E5" w14:textId="68DE5D66" w:rsidR="0075704A" w:rsidRPr="00596B91" w:rsidRDefault="0075704A" w:rsidP="00596B91">
      <w:pPr>
        <w:pStyle w:val="HChG"/>
        <w:rPr>
          <w:szCs w:val="28"/>
        </w:rPr>
      </w:pPr>
      <w:r w:rsidRPr="00596B91">
        <w:lastRenderedPageBreak/>
        <w:tab/>
        <w:t>II</w:t>
      </w:r>
      <w:r w:rsidR="00AF71B2" w:rsidRPr="00AF71B2">
        <w:t>.</w:t>
      </w:r>
      <w:r w:rsidRPr="00596B91">
        <w:tab/>
        <w:t>Justification</w:t>
      </w:r>
    </w:p>
    <w:p w14:paraId="4E6C0E96" w14:textId="1C5EBBF6" w:rsidR="0075704A" w:rsidRPr="00A57265" w:rsidRDefault="0075704A" w:rsidP="00596B91">
      <w:pPr>
        <w:pStyle w:val="SingleTxtG"/>
        <w:rPr>
          <w:lang w:val="fr-FR"/>
        </w:rPr>
      </w:pPr>
      <w:r w:rsidRPr="00A57265">
        <w:rPr>
          <w:lang w:val="fr-FR"/>
        </w:rPr>
        <w:t>1</w:t>
      </w:r>
      <w:r w:rsidR="00AF71B2" w:rsidRPr="00AF71B2">
        <w:rPr>
          <w:lang w:val="fr-FR"/>
        </w:rPr>
        <w:t>.</w:t>
      </w:r>
      <w:r w:rsidRPr="00A57265">
        <w:rPr>
          <w:lang w:val="fr-FR"/>
        </w:rPr>
        <w:tab/>
      </w:r>
      <w:r>
        <w:rPr>
          <w:lang w:val="fr-FR"/>
        </w:rPr>
        <w:t>Pour les pneumatiques de la classe C1 dont le rapport nominal d’aspect est inférieur ou égal à 40, dont la grosseur de boudin est égale ou supérieure à 235 mm et qui conviennent à des vitesses égales ou supérieures à 300 km/h, généralement conçus pour équiper des voitures à haute performance, l’indice d’adhérence sur sol mouillé (</w:t>
      </w:r>
      <w:r>
        <w:rPr>
          <w:i/>
          <w:iCs/>
          <w:lang w:val="fr-FR"/>
        </w:rPr>
        <w:t>G</w:t>
      </w:r>
      <w:r>
        <w:rPr>
          <w:i/>
          <w:iCs/>
          <w:vertAlign w:val="subscript"/>
          <w:lang w:val="fr-FR"/>
        </w:rPr>
        <w:t>B</w:t>
      </w:r>
      <w:r>
        <w:rPr>
          <w:lang w:val="fr-FR"/>
        </w:rPr>
        <w:t>) doit être de 0,80 au minimum</w:t>
      </w:r>
      <w:r w:rsidR="00AF71B2" w:rsidRPr="00AF71B2">
        <w:rPr>
          <w:lang w:val="fr-FR"/>
        </w:rPr>
        <w:t>.</w:t>
      </w:r>
      <w:r>
        <w:rPr>
          <w:lang w:val="fr-FR"/>
        </w:rPr>
        <w:t xml:space="preserve"> Sur ces voitures, il faut envisager une monte décalée (taille de pneu différente à l’avant et à l’arrière), l’effet d’aquaplanage étant plus prononcé sur des pneumatiques larges que sur des pneumatiques normaux</w:t>
      </w:r>
      <w:r w:rsidR="00AF71B2" w:rsidRPr="00AF71B2">
        <w:rPr>
          <w:lang w:val="fr-FR"/>
        </w:rPr>
        <w:t>.</w:t>
      </w:r>
      <w:r>
        <w:rPr>
          <w:lang w:val="fr-FR"/>
        </w:rPr>
        <w:t xml:space="preserve"> Le niveau proposé d’adhérence sur sol mouillé pour les pneumatiques usés est basé sur une approche comparable à celle utilisée pour déterminer ce niveau pour les pneumatiques normaux, compte tenu de ces caractéristiques</w:t>
      </w:r>
      <w:r w:rsidR="00AF71B2" w:rsidRPr="00AF71B2">
        <w:rPr>
          <w:lang w:val="fr-FR"/>
        </w:rPr>
        <w:t>.</w:t>
      </w:r>
      <w:r>
        <w:rPr>
          <w:lang w:val="fr-FR"/>
        </w:rPr>
        <w:t xml:space="preserve"> Il importe d’acquérir de l’expérience sur la méthode d’essai et les améliorations qui lui seront apportées à l’avenir (moulage SRTT, programme d’essai du groupe WGWT pour 2023)</w:t>
      </w:r>
      <w:r w:rsidR="00AF71B2" w:rsidRPr="00AF71B2">
        <w:rPr>
          <w:lang w:val="fr-FR"/>
        </w:rPr>
        <w:t>.</w:t>
      </w:r>
    </w:p>
    <w:p w14:paraId="2278701A" w14:textId="256B9DD7" w:rsidR="0075704A" w:rsidRPr="00A57265" w:rsidRDefault="0075704A" w:rsidP="0075704A">
      <w:pPr>
        <w:pStyle w:val="Paragraphedeliste"/>
        <w:spacing w:after="120"/>
        <w:ind w:left="1134" w:right="1134"/>
        <w:contextualSpacing w:val="0"/>
        <w:jc w:val="both"/>
        <w:rPr>
          <w:lang w:val="fr-FR"/>
        </w:rPr>
      </w:pPr>
      <w:r w:rsidRPr="00A57265">
        <w:rPr>
          <w:lang w:val="fr-FR"/>
        </w:rPr>
        <w:t>2</w:t>
      </w:r>
      <w:r w:rsidR="00AF71B2" w:rsidRPr="00AF71B2">
        <w:rPr>
          <w:lang w:val="fr-FR"/>
        </w:rPr>
        <w:t>.</w:t>
      </w:r>
      <w:r w:rsidRPr="00A57265">
        <w:rPr>
          <w:lang w:val="fr-FR"/>
        </w:rPr>
        <w:tab/>
      </w:r>
      <w:r>
        <w:rPr>
          <w:lang w:val="fr-FR"/>
        </w:rPr>
        <w:t>Pour les pneumatiques tout-terrain de la classe C1 qui sont également utilisés sur des surfaces plus agressives et abrasives que les routes classiques et qui nécessitent à ce titre des sculptures et un mélange de caoutchouc particuliers susceptibles de moins bien adhérer sur sol mouillé, l’indice d’adhérence minimal sur sol mouillé (</w:t>
      </w:r>
      <w:r>
        <w:rPr>
          <w:i/>
          <w:iCs/>
          <w:lang w:val="fr-FR"/>
        </w:rPr>
        <w:t>G</w:t>
      </w:r>
      <w:r>
        <w:rPr>
          <w:i/>
          <w:iCs/>
          <w:vertAlign w:val="subscript"/>
          <w:lang w:val="fr-FR"/>
        </w:rPr>
        <w:t>B</w:t>
      </w:r>
      <w:r>
        <w:rPr>
          <w:lang w:val="fr-FR"/>
        </w:rPr>
        <w:t>) est fixé à 0,80</w:t>
      </w:r>
      <w:r w:rsidR="00AF71B2" w:rsidRPr="00AF71B2">
        <w:rPr>
          <w:lang w:val="fr-FR"/>
        </w:rPr>
        <w:t>.</w:t>
      </w:r>
      <w:r>
        <w:rPr>
          <w:lang w:val="fr-FR"/>
        </w:rPr>
        <w:t xml:space="preserve"> La sous</w:t>
      </w:r>
      <w:r w:rsidR="00CF3C10">
        <w:rPr>
          <w:lang w:val="fr-FR"/>
        </w:rPr>
        <w:noBreakHyphen/>
      </w:r>
      <w:r>
        <w:rPr>
          <w:lang w:val="fr-FR"/>
        </w:rPr>
        <w:t>catégorie des tout-terrain présentée à la diapositive 6 du document informel GRBP</w:t>
      </w:r>
      <w:r w:rsidR="00CF3C10">
        <w:rPr>
          <w:lang w:val="fr-FR"/>
        </w:rPr>
        <w:noBreakHyphen/>
      </w:r>
      <w:r>
        <w:rPr>
          <w:lang w:val="fr-FR"/>
        </w:rPr>
        <w:t>75</w:t>
      </w:r>
      <w:r w:rsidR="00CF3C10">
        <w:rPr>
          <w:lang w:val="fr-FR"/>
        </w:rPr>
        <w:noBreakHyphen/>
      </w:r>
      <w:r>
        <w:rPr>
          <w:lang w:val="fr-FR"/>
        </w:rPr>
        <w:t>27 relève désormais des pneumatiques à usage spécial</w:t>
      </w:r>
      <w:r w:rsidRPr="006540B3">
        <w:rPr>
          <w:lang w:val="fr-CH"/>
        </w:rPr>
        <w:t xml:space="preserve"> </w:t>
      </w:r>
      <w:r w:rsidRPr="00FB7F0D">
        <w:rPr>
          <w:lang w:val="fr-FR"/>
        </w:rPr>
        <w:t>de la catégorie C1</w:t>
      </w:r>
      <w:r>
        <w:rPr>
          <w:lang w:val="fr-FR"/>
        </w:rPr>
        <w:t>, visés au paragraphe</w:t>
      </w:r>
      <w:r w:rsidR="00596B91">
        <w:rPr>
          <w:lang w:val="fr-FR"/>
        </w:rPr>
        <w:t> </w:t>
      </w:r>
      <w:r>
        <w:rPr>
          <w:lang w:val="fr-FR"/>
        </w:rPr>
        <w:t>6</w:t>
      </w:r>
      <w:r w:rsidR="00AF71B2" w:rsidRPr="00AF71B2">
        <w:rPr>
          <w:lang w:val="fr-FR"/>
        </w:rPr>
        <w:t>.</w:t>
      </w:r>
      <w:r>
        <w:rPr>
          <w:lang w:val="fr-FR"/>
        </w:rPr>
        <w:t>7, grâce à l’application des coefficients pertinents dans les tableaux de l’annexe</w:t>
      </w:r>
      <w:r w:rsidR="00CF3C10">
        <w:rPr>
          <w:lang w:val="fr-FR"/>
        </w:rPr>
        <w:t> </w:t>
      </w:r>
      <w:r>
        <w:rPr>
          <w:lang w:val="fr-FR"/>
        </w:rPr>
        <w:t>9</w:t>
      </w:r>
      <w:r w:rsidR="00AF71B2" w:rsidRPr="00AF71B2">
        <w:rPr>
          <w:lang w:val="fr-FR"/>
        </w:rPr>
        <w:t>.</w:t>
      </w:r>
      <w:r>
        <w:rPr>
          <w:lang w:val="fr-FR"/>
        </w:rPr>
        <w:t xml:space="preserve"> C’est pourquoi les prescriptions relatives à l’adhérence sur sol mouillé des pneumatiques usés sont également applicables aux pneumatiques à usage spécial, l’indice d’adhérence minimal sur sol mouillé (</w:t>
      </w:r>
      <w:r>
        <w:rPr>
          <w:i/>
          <w:iCs/>
          <w:lang w:val="fr-FR"/>
        </w:rPr>
        <w:t>G</w:t>
      </w:r>
      <w:r>
        <w:rPr>
          <w:i/>
          <w:iCs/>
          <w:vertAlign w:val="subscript"/>
          <w:lang w:val="fr-FR"/>
        </w:rPr>
        <w:t>B</w:t>
      </w:r>
      <w:r>
        <w:rPr>
          <w:lang w:val="fr-FR"/>
        </w:rPr>
        <w:t>) étant fixé à 0,80</w:t>
      </w:r>
      <w:r w:rsidR="00AF71B2" w:rsidRPr="00AF71B2">
        <w:rPr>
          <w:lang w:val="fr-FR"/>
        </w:rPr>
        <w:t>.</w:t>
      </w:r>
    </w:p>
    <w:p w14:paraId="439638AC" w14:textId="670328DE" w:rsidR="00F9573C" w:rsidRDefault="00596B91" w:rsidP="00596B91">
      <w:pPr>
        <w:pStyle w:val="SingleTxtG"/>
        <w:rPr>
          <w:lang w:val="fr-FR"/>
        </w:rPr>
      </w:pPr>
      <w:r>
        <w:rPr>
          <w:lang w:val="fr-FR"/>
        </w:rPr>
        <w:t>3</w:t>
      </w:r>
      <w:r w:rsidR="00AF71B2" w:rsidRPr="00AF71B2">
        <w:rPr>
          <w:lang w:val="fr-FR"/>
        </w:rPr>
        <w:t>.</w:t>
      </w:r>
      <w:r>
        <w:rPr>
          <w:lang w:val="fr-FR"/>
        </w:rPr>
        <w:tab/>
      </w:r>
      <w:r w:rsidR="0075704A">
        <w:rPr>
          <w:lang w:val="fr-FR"/>
        </w:rPr>
        <w:t>Pour les pneumatiques des classes C2 et C3, la méthode présentée dans le document informel GRBP-75-26-Rev</w:t>
      </w:r>
      <w:r w:rsidR="00AF71B2" w:rsidRPr="00AF71B2">
        <w:rPr>
          <w:lang w:val="fr-FR"/>
        </w:rPr>
        <w:t>.</w:t>
      </w:r>
      <w:r w:rsidR="0075704A">
        <w:rPr>
          <w:lang w:val="fr-FR"/>
        </w:rPr>
        <w:t>1 a été transposée dans le nouveau paragraphe 3 de l’annexe 9</w:t>
      </w:r>
      <w:r w:rsidR="00AF71B2" w:rsidRPr="00AF71B2">
        <w:rPr>
          <w:lang w:val="fr-FR"/>
        </w:rPr>
        <w:t>.</w:t>
      </w:r>
      <w:r w:rsidR="0075704A">
        <w:rPr>
          <w:lang w:val="fr-FR"/>
        </w:rPr>
        <w:t xml:space="preserve"> Le facteur </w:t>
      </w:r>
      <w:proofErr w:type="spellStart"/>
      <w:r w:rsidR="0075704A">
        <w:rPr>
          <w:lang w:val="fr-FR"/>
        </w:rPr>
        <w:t>K</w:t>
      </w:r>
      <w:r w:rsidR="0075704A">
        <w:rPr>
          <w:vertAlign w:val="subscript"/>
          <w:lang w:val="fr-FR"/>
        </w:rPr>
        <w:t>worn</w:t>
      </w:r>
      <w:proofErr w:type="spellEnd"/>
      <w:r w:rsidR="0075704A">
        <w:rPr>
          <w:lang w:val="fr-FR"/>
        </w:rPr>
        <w:t xml:space="preserve"> a été introduit pour traduire la perte d’adhérence sur sol mouillé entre des pneumatiques neufs et des pneumatiques usés</w:t>
      </w:r>
      <w:r w:rsidR="00AF71B2" w:rsidRPr="00AF71B2">
        <w:rPr>
          <w:lang w:val="fr-FR"/>
        </w:rPr>
        <w:t>.</w:t>
      </w:r>
      <w:r w:rsidR="0075704A">
        <w:rPr>
          <w:lang w:val="fr-FR"/>
        </w:rPr>
        <w:t xml:space="preserve"> Les valeurs limites de l’indice d’adhérence sur sol mouillé G</w:t>
      </w:r>
      <w:r w:rsidR="0075704A">
        <w:rPr>
          <w:vertAlign w:val="subscript"/>
          <w:lang w:val="fr-FR"/>
        </w:rPr>
        <w:t>B</w:t>
      </w:r>
      <w:r w:rsidR="0075704A">
        <w:rPr>
          <w:lang w:val="fr-FR"/>
        </w:rPr>
        <w:t xml:space="preserve"> sont fixées sur la base des valeurs limites actuellement en vigueur pour l’adhérence sur sol mouillé à l’état neuf</w:t>
      </w:r>
      <w:r w:rsidR="00AF71B2" w:rsidRPr="00AF71B2">
        <w:rPr>
          <w:lang w:val="fr-FR"/>
        </w:rPr>
        <w:t>.</w:t>
      </w:r>
    </w:p>
    <w:p w14:paraId="2FFDC9C0" w14:textId="2D925716" w:rsidR="00596B91" w:rsidRPr="00596B91" w:rsidRDefault="00596B91" w:rsidP="00596B91">
      <w:pPr>
        <w:pStyle w:val="SingleTxtG"/>
        <w:spacing w:before="240" w:after="0"/>
        <w:jc w:val="center"/>
        <w:rPr>
          <w:u w:val="single"/>
        </w:rPr>
      </w:pPr>
      <w:r>
        <w:tab/>
      </w:r>
      <w:r>
        <w:rPr>
          <w:u w:val="single"/>
        </w:rPr>
        <w:tab/>
      </w:r>
      <w:r>
        <w:rPr>
          <w:u w:val="single"/>
        </w:rPr>
        <w:tab/>
      </w:r>
      <w:r>
        <w:rPr>
          <w:u w:val="single"/>
        </w:rPr>
        <w:tab/>
      </w:r>
    </w:p>
    <w:sectPr w:rsidR="00596B91" w:rsidRPr="00596B91" w:rsidSect="004A77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20EE" w14:textId="77777777" w:rsidR="008724B3" w:rsidRDefault="008724B3" w:rsidP="00F95C08">
      <w:pPr>
        <w:spacing w:line="240" w:lineRule="auto"/>
      </w:pPr>
    </w:p>
  </w:endnote>
  <w:endnote w:type="continuationSeparator" w:id="0">
    <w:p w14:paraId="5B912A28" w14:textId="77777777" w:rsidR="008724B3" w:rsidRPr="00AC3823" w:rsidRDefault="008724B3" w:rsidP="00AC3823">
      <w:pPr>
        <w:pStyle w:val="Pieddepage"/>
      </w:pPr>
    </w:p>
  </w:endnote>
  <w:endnote w:type="continuationNotice" w:id="1">
    <w:p w14:paraId="2410BF69" w14:textId="77777777" w:rsidR="008724B3" w:rsidRDefault="00872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86B" w14:textId="7F67D61F" w:rsidR="004A77DD" w:rsidRPr="004A77DD" w:rsidRDefault="004A77DD" w:rsidP="004A77DD">
    <w:pPr>
      <w:pStyle w:val="Pieddepage"/>
      <w:tabs>
        <w:tab w:val="right" w:pos="9638"/>
      </w:tabs>
    </w:pPr>
    <w:r w:rsidRPr="004A77DD">
      <w:rPr>
        <w:b/>
        <w:sz w:val="18"/>
      </w:rPr>
      <w:fldChar w:fldCharType="begin"/>
    </w:r>
    <w:r w:rsidRPr="004A77DD">
      <w:rPr>
        <w:b/>
        <w:sz w:val="18"/>
      </w:rPr>
      <w:instrText xml:space="preserve"> PAGE  \* MERGEFORMAT </w:instrText>
    </w:r>
    <w:r w:rsidRPr="004A77DD">
      <w:rPr>
        <w:b/>
        <w:sz w:val="18"/>
      </w:rPr>
      <w:fldChar w:fldCharType="separate"/>
    </w:r>
    <w:r w:rsidRPr="004A77DD">
      <w:rPr>
        <w:b/>
        <w:noProof/>
        <w:sz w:val="18"/>
      </w:rPr>
      <w:t>2</w:t>
    </w:r>
    <w:r w:rsidRPr="004A77DD">
      <w:rPr>
        <w:b/>
        <w:sz w:val="18"/>
      </w:rPr>
      <w:fldChar w:fldCharType="end"/>
    </w:r>
    <w:r>
      <w:rPr>
        <w:b/>
        <w:sz w:val="18"/>
      </w:rPr>
      <w:tab/>
    </w:r>
    <w:r>
      <w:t>GE</w:t>
    </w:r>
    <w:r w:rsidR="00AF71B2" w:rsidRPr="00AF71B2">
      <w:t>.</w:t>
    </w:r>
    <w:r>
      <w:t>22-09407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40B2" w14:textId="6BD24F3B" w:rsidR="004A77DD" w:rsidRPr="004A77DD" w:rsidRDefault="004A77DD" w:rsidP="004A77DD">
    <w:pPr>
      <w:pStyle w:val="Pieddepage"/>
      <w:tabs>
        <w:tab w:val="right" w:pos="9638"/>
      </w:tabs>
      <w:rPr>
        <w:b/>
        <w:sz w:val="18"/>
      </w:rPr>
    </w:pPr>
    <w:r>
      <w:t>GE</w:t>
    </w:r>
    <w:r w:rsidR="00AF71B2" w:rsidRPr="00AF71B2">
      <w:t>.</w:t>
    </w:r>
    <w:r>
      <w:t>22-09407</w:t>
    </w:r>
    <w:r>
      <w:tab/>
    </w:r>
    <w:r w:rsidRPr="004A77DD">
      <w:rPr>
        <w:b/>
        <w:sz w:val="18"/>
      </w:rPr>
      <w:fldChar w:fldCharType="begin"/>
    </w:r>
    <w:r w:rsidRPr="004A77DD">
      <w:rPr>
        <w:b/>
        <w:sz w:val="18"/>
      </w:rPr>
      <w:instrText xml:space="preserve"> PAGE  \* MERGEFORMAT </w:instrText>
    </w:r>
    <w:r w:rsidRPr="004A77DD">
      <w:rPr>
        <w:b/>
        <w:sz w:val="18"/>
      </w:rPr>
      <w:fldChar w:fldCharType="separate"/>
    </w:r>
    <w:r w:rsidRPr="004A77DD">
      <w:rPr>
        <w:b/>
        <w:noProof/>
        <w:sz w:val="18"/>
      </w:rPr>
      <w:t>3</w:t>
    </w:r>
    <w:r w:rsidRPr="004A77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D8AC" w14:textId="0D0145EF" w:rsidR="007F20FA" w:rsidRPr="004A77DD" w:rsidRDefault="004A77DD" w:rsidP="004A77DD">
    <w:pPr>
      <w:pStyle w:val="Pieddepage"/>
      <w:spacing w:before="120"/>
      <w:rPr>
        <w:sz w:val="20"/>
      </w:rPr>
    </w:pPr>
    <w:r>
      <w:rPr>
        <w:sz w:val="20"/>
      </w:rPr>
      <w:t>GE</w:t>
    </w:r>
    <w:r w:rsidR="00AF71B2" w:rsidRPr="00AF71B2">
      <w:rPr>
        <w:sz w:val="20"/>
      </w:rPr>
      <w:t>.</w:t>
    </w:r>
    <w:r w:rsidR="007F20FA">
      <w:rPr>
        <w:noProof/>
        <w:lang w:eastAsia="fr-CH"/>
      </w:rPr>
      <w:drawing>
        <wp:anchor distT="0" distB="0" distL="114300" distR="114300" simplePos="0" relativeHeight="251659264" behindDoc="0" locked="0" layoutInCell="1" allowOverlap="0" wp14:anchorId="6F2D4C72" wp14:editId="0890EE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22-09407  (F)</w:t>
    </w:r>
    <w:r>
      <w:rPr>
        <w:noProof/>
        <w:sz w:val="20"/>
      </w:rPr>
      <w:drawing>
        <wp:anchor distT="0" distB="0" distL="114300" distR="114300" simplePos="0" relativeHeight="251660288" behindDoc="0" locked="0" layoutInCell="1" allowOverlap="1" wp14:anchorId="329DFF29" wp14:editId="7F14C4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190722    200722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7579" w14:textId="77777777" w:rsidR="008724B3" w:rsidRPr="00AC3823" w:rsidRDefault="008724B3" w:rsidP="00AC3823">
      <w:pPr>
        <w:pStyle w:val="Pieddepage"/>
        <w:tabs>
          <w:tab w:val="right" w:pos="2155"/>
        </w:tabs>
        <w:spacing w:after="80" w:line="240" w:lineRule="atLeast"/>
        <w:ind w:left="680"/>
        <w:rPr>
          <w:u w:val="single"/>
        </w:rPr>
      </w:pPr>
      <w:r>
        <w:rPr>
          <w:u w:val="single"/>
        </w:rPr>
        <w:tab/>
      </w:r>
    </w:p>
  </w:footnote>
  <w:footnote w:type="continuationSeparator" w:id="0">
    <w:p w14:paraId="292BC71F" w14:textId="77777777" w:rsidR="008724B3" w:rsidRPr="00AC3823" w:rsidRDefault="008724B3" w:rsidP="00AC3823">
      <w:pPr>
        <w:pStyle w:val="Pieddepage"/>
        <w:tabs>
          <w:tab w:val="right" w:pos="2155"/>
        </w:tabs>
        <w:spacing w:after="80" w:line="240" w:lineRule="atLeast"/>
        <w:ind w:left="680"/>
        <w:rPr>
          <w:u w:val="single"/>
        </w:rPr>
      </w:pPr>
      <w:r>
        <w:rPr>
          <w:u w:val="single"/>
        </w:rPr>
        <w:tab/>
      </w:r>
    </w:p>
  </w:footnote>
  <w:footnote w:type="continuationNotice" w:id="1">
    <w:p w14:paraId="26D54186" w14:textId="77777777" w:rsidR="008724B3" w:rsidRPr="00AC3823" w:rsidRDefault="008724B3">
      <w:pPr>
        <w:spacing w:line="240" w:lineRule="auto"/>
        <w:rPr>
          <w:sz w:val="2"/>
          <w:szCs w:val="2"/>
        </w:rPr>
      </w:pPr>
    </w:p>
  </w:footnote>
  <w:footnote w:id="2">
    <w:p w14:paraId="7679A431" w14:textId="2487D9AE" w:rsidR="0075704A" w:rsidRDefault="0075704A" w:rsidP="0075704A">
      <w:pPr>
        <w:pStyle w:val="Notedebasdepage"/>
      </w:pPr>
      <w:r w:rsidRPr="006540B3">
        <w:rPr>
          <w:sz w:val="20"/>
          <w:lang w:val="fr-FR"/>
        </w:rPr>
        <w:tab/>
        <w:t>*</w:t>
      </w:r>
      <w:r w:rsidRPr="006540B3">
        <w:rPr>
          <w:sz w:val="20"/>
          <w:lang w:val="fr-FR"/>
        </w:rPr>
        <w:tab/>
      </w:r>
      <w:r>
        <w:rPr>
          <w:lang w:val="fr-FR"/>
        </w:rPr>
        <w:t>Conformément au programme de travail du Comité des transports intérieurs pour 2022 tel qu’il figure dans le projet de budget-programme pour 2022 (A/76/6 (Sect</w:t>
      </w:r>
      <w:r w:rsidR="00AF71B2" w:rsidRPr="00AF71B2">
        <w:rPr>
          <w:lang w:val="fr-FR"/>
        </w:rPr>
        <w:t>.</w:t>
      </w:r>
      <w:r>
        <w:rPr>
          <w:lang w:val="fr-FR"/>
        </w:rPr>
        <w:t> </w:t>
      </w:r>
      <w:r>
        <w:rPr>
          <w:lang w:val="fr-FR"/>
        </w:rPr>
        <w:t>20), par</w:t>
      </w:r>
      <w:r w:rsidR="00AF71B2" w:rsidRPr="00AF71B2">
        <w:rPr>
          <w:lang w:val="fr-FR"/>
        </w:rPr>
        <w:t>.</w:t>
      </w:r>
      <w:r>
        <w:rPr>
          <w:lang w:val="fr-FR"/>
        </w:rPr>
        <w:t xml:space="preserve"> 20</w:t>
      </w:r>
      <w:r w:rsidR="00AF71B2" w:rsidRPr="00AF71B2">
        <w:rPr>
          <w:lang w:val="fr-FR"/>
        </w:rPr>
        <w:t>.</w:t>
      </w:r>
      <w:r>
        <w:rPr>
          <w:lang w:val="fr-FR"/>
        </w:rPr>
        <w:t>76), le Forum mondial a pour mission d’élaborer, d’harmoniser et de mettre à jour les Règlements ONU en vue d’améliorer les caractéristiques fonctionnelles des véhicules</w:t>
      </w:r>
      <w:r w:rsidR="00AF71B2" w:rsidRPr="00AF71B2">
        <w:rPr>
          <w:lang w:val="fr-FR"/>
        </w:rPr>
        <w:t>.</w:t>
      </w:r>
      <w:r>
        <w:rPr>
          <w:lang w:val="fr-FR"/>
        </w:rPr>
        <w:t xml:space="preserve"> Le présent document est soumis en vertu de ce mandat</w:t>
      </w:r>
      <w:r w:rsidR="00AF71B2" w:rsidRPr="00AF71B2">
        <w:rPr>
          <w:lang w:val="fr-FR"/>
        </w:rPr>
        <w:t>.</w:t>
      </w:r>
      <w:r>
        <w:rPr>
          <w:lang w:val="fr-FR"/>
        </w:rPr>
        <w:t xml:space="preserve"> </w:t>
      </w:r>
    </w:p>
    <w:p w14:paraId="339CD6E0" w14:textId="77777777" w:rsidR="0075704A" w:rsidRPr="00A57265" w:rsidRDefault="0075704A" w:rsidP="0075704A">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1EC4" w14:textId="5E6E757F" w:rsidR="004A77DD" w:rsidRPr="004A77DD" w:rsidRDefault="004A77DD">
    <w:pPr>
      <w:pStyle w:val="En-tte"/>
    </w:pPr>
    <w:fldSimple w:instr=" TITLE  \* MERGEFORMAT ">
      <w:r w:rsidR="00E4358E">
        <w:t>ECE/TRANS/WP.29/GRBP/2022/23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AFCF" w14:textId="2FF6E396" w:rsidR="004A77DD" w:rsidRPr="004A77DD" w:rsidRDefault="004A77DD" w:rsidP="004A77DD">
    <w:pPr>
      <w:pStyle w:val="En-tte"/>
      <w:jc w:val="right"/>
    </w:pPr>
    <w:fldSimple w:instr=" TITLE  \* MERGEFORMAT ">
      <w:r w:rsidR="00E4358E">
        <w:t>ECE/TRANS/WP.29/GRBP/2022/23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 w15:restartNumberingAfterBreak="0">
    <w:nsid w:val="2D901D59"/>
    <w:multiLevelType w:val="hybridMultilevel"/>
    <w:tmpl w:val="F22415CE"/>
    <w:lvl w:ilvl="0" w:tplc="04090013">
      <w:start w:val="1"/>
      <w:numFmt w:val="upperRoman"/>
      <w:lvlText w:val="%1."/>
      <w:lvlJc w:val="right"/>
      <w:pPr>
        <w:ind w:left="4347" w:hanging="360"/>
      </w:pPr>
    </w:lvl>
    <w:lvl w:ilvl="1" w:tplc="04090019">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B105DCF"/>
    <w:multiLevelType w:val="hybridMultilevel"/>
    <w:tmpl w:val="4D682048"/>
    <w:lvl w:ilvl="0" w:tplc="BEE8785E">
      <w:start w:val="1"/>
      <w:numFmt w:val="low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2"/>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B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77DD"/>
    <w:rsid w:val="004E2EED"/>
    <w:rsid w:val="004E468C"/>
    <w:rsid w:val="005505B7"/>
    <w:rsid w:val="00573BE5"/>
    <w:rsid w:val="00586ED3"/>
    <w:rsid w:val="00596AA9"/>
    <w:rsid w:val="00596B91"/>
    <w:rsid w:val="0071601D"/>
    <w:rsid w:val="0075704A"/>
    <w:rsid w:val="00761749"/>
    <w:rsid w:val="007A62E6"/>
    <w:rsid w:val="007E4484"/>
    <w:rsid w:val="007E5D9C"/>
    <w:rsid w:val="007F20FA"/>
    <w:rsid w:val="0080684C"/>
    <w:rsid w:val="00871C75"/>
    <w:rsid w:val="008724B3"/>
    <w:rsid w:val="008776DC"/>
    <w:rsid w:val="008D5EF9"/>
    <w:rsid w:val="008F2D2D"/>
    <w:rsid w:val="009446C0"/>
    <w:rsid w:val="009705C8"/>
    <w:rsid w:val="009C1CF4"/>
    <w:rsid w:val="009F6B74"/>
    <w:rsid w:val="00A3029F"/>
    <w:rsid w:val="00A30353"/>
    <w:rsid w:val="00AC3823"/>
    <w:rsid w:val="00AE323C"/>
    <w:rsid w:val="00AF0CB5"/>
    <w:rsid w:val="00AF71B2"/>
    <w:rsid w:val="00B00181"/>
    <w:rsid w:val="00B00B0D"/>
    <w:rsid w:val="00B1101A"/>
    <w:rsid w:val="00B45F2E"/>
    <w:rsid w:val="00B765F7"/>
    <w:rsid w:val="00B77993"/>
    <w:rsid w:val="00BA0CA9"/>
    <w:rsid w:val="00C02897"/>
    <w:rsid w:val="00C97039"/>
    <w:rsid w:val="00CF3C10"/>
    <w:rsid w:val="00D3439C"/>
    <w:rsid w:val="00D7622E"/>
    <w:rsid w:val="00DB1831"/>
    <w:rsid w:val="00DD3BFD"/>
    <w:rsid w:val="00DF6678"/>
    <w:rsid w:val="00E0299A"/>
    <w:rsid w:val="00E4358E"/>
    <w:rsid w:val="00E85C74"/>
    <w:rsid w:val="00EA3FE4"/>
    <w:rsid w:val="00EA6547"/>
    <w:rsid w:val="00ED7237"/>
    <w:rsid w:val="00EF2E22"/>
    <w:rsid w:val="00F35BAF"/>
    <w:rsid w:val="00F660DF"/>
    <w:rsid w:val="00F94664"/>
    <w:rsid w:val="00F9573C"/>
    <w:rsid w:val="00F95C08"/>
    <w:rsid w:val="00FC4E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427A7"/>
  <w15:docId w15:val="{5450D75D-CBD8-45A8-81B3-3E8289D9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Default">
    <w:name w:val="Default"/>
    <w:rsid w:val="0075704A"/>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character" w:customStyle="1" w:styleId="SingleTxtGChar">
    <w:name w:val="_ Single Txt_G Char"/>
    <w:link w:val="SingleTxtG"/>
    <w:qFormat/>
    <w:rsid w:val="0075704A"/>
    <w:rPr>
      <w:rFonts w:ascii="Times New Roman" w:eastAsiaTheme="minorHAnsi" w:hAnsi="Times New Roman" w:cs="Times New Roman"/>
      <w:sz w:val="20"/>
      <w:szCs w:val="20"/>
      <w:lang w:eastAsia="en-US"/>
    </w:rPr>
  </w:style>
  <w:style w:type="character" w:customStyle="1" w:styleId="HChGChar">
    <w:name w:val="_ H _Ch_G Char"/>
    <w:link w:val="HChG"/>
    <w:rsid w:val="0075704A"/>
    <w:rPr>
      <w:rFonts w:ascii="Times New Roman" w:eastAsiaTheme="minorHAnsi" w:hAnsi="Times New Roman" w:cs="Times New Roman"/>
      <w:b/>
      <w:sz w:val="28"/>
      <w:szCs w:val="20"/>
      <w:lang w:eastAsia="en-US"/>
    </w:rPr>
  </w:style>
  <w:style w:type="character" w:customStyle="1" w:styleId="H1GChar">
    <w:name w:val="_ H_1_G Char"/>
    <w:link w:val="H1G"/>
    <w:rsid w:val="0075704A"/>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75704A"/>
    <w:pPr>
      <w:kinsoku/>
      <w:overflowPunct/>
      <w:autoSpaceDE/>
      <w:autoSpaceDN/>
      <w:adjustRightInd/>
      <w:snapToGrid/>
      <w:ind w:left="720"/>
      <w:contextualSpacing/>
    </w:pPr>
    <w:rPr>
      <w:rFonts w:eastAsia="Times New Roman"/>
      <w:lang w:val="en-GB"/>
    </w:rPr>
  </w:style>
  <w:style w:type="character" w:customStyle="1" w:styleId="TablebodyChar">
    <w:name w:val="Table body Char"/>
    <w:link w:val="Tablebody"/>
    <w:locked/>
    <w:rsid w:val="0075704A"/>
    <w:rPr>
      <w:rFonts w:ascii="Cambria" w:eastAsia="Calibri" w:hAnsi="Cambria"/>
      <w:lang w:eastAsia="en-US"/>
    </w:rPr>
  </w:style>
  <w:style w:type="paragraph" w:customStyle="1" w:styleId="Tablebody">
    <w:name w:val="Table body"/>
    <w:basedOn w:val="Normal"/>
    <w:link w:val="TablebodyChar"/>
    <w:rsid w:val="0075704A"/>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cstheme="minorBidi"/>
      <w:sz w:val="22"/>
      <w:szCs w:val="22"/>
    </w:rPr>
  </w:style>
  <w:style w:type="paragraph" w:customStyle="1" w:styleId="Tableheader">
    <w:name w:val="Table header"/>
    <w:basedOn w:val="Tablebody"/>
    <w:rsid w:val="0075704A"/>
  </w:style>
  <w:style w:type="paragraph" w:customStyle="1" w:styleId="Tiret2">
    <w:name w:val="Tiret 2"/>
    <w:basedOn w:val="Normal"/>
    <w:rsid w:val="0075704A"/>
    <w:pPr>
      <w:numPr>
        <w:numId w:val="18"/>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styleId="TM1">
    <w:name w:val="toc 1"/>
    <w:basedOn w:val="Normal"/>
    <w:next w:val="Normal"/>
    <w:uiPriority w:val="39"/>
    <w:rsid w:val="0075704A"/>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1701</Words>
  <Characters>11909</Characters>
  <Application>Microsoft Office Word</Application>
  <DocSecurity>0</DocSecurity>
  <Lines>992</Lines>
  <Paragraphs>544</Paragraphs>
  <ScaleCrop>false</ScaleCrop>
  <HeadingPairs>
    <vt:vector size="2" baseType="variant">
      <vt:variant>
        <vt:lpstr>Titre</vt:lpstr>
      </vt:variant>
      <vt:variant>
        <vt:i4>1</vt:i4>
      </vt:variant>
    </vt:vector>
  </HeadingPairs>
  <TitlesOfParts>
    <vt:vector size="1" baseType="lpstr">
      <vt:lpstr>ECE/TRANS/WP.29/GRBP/2022/23</vt:lpstr>
    </vt:vector>
  </TitlesOfParts>
  <Company>DCM</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ECE/TRANS/WP.29/GRBP/2022/23</dc:title>
  <dc:subject/>
  <dc:creator>Maud DARICHE</dc:creator>
  <cp:keywords/>
  <cp:lastModifiedBy>Maud Dariche</cp:lastModifiedBy>
  <cp:revision>3</cp:revision>
  <cp:lastPrinted>2022-07-20T11:53:00Z</cp:lastPrinted>
  <dcterms:created xsi:type="dcterms:W3CDTF">2022-07-20T11:53:00Z</dcterms:created>
  <dcterms:modified xsi:type="dcterms:W3CDTF">2022-07-20T11:53:00Z</dcterms:modified>
</cp:coreProperties>
</file>