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EC4AC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83FBE69" w14:textId="77777777" w:rsidR="00F35BAF" w:rsidRPr="00DB58B5" w:rsidRDefault="00F35BAF" w:rsidP="001E0DD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78946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E29148" w14:textId="6AC8D153" w:rsidR="00F35BAF" w:rsidRPr="00DB58B5" w:rsidRDefault="001E0DD5" w:rsidP="001E0DD5">
            <w:pPr>
              <w:jc w:val="right"/>
            </w:pPr>
            <w:r w:rsidRPr="001E0DD5">
              <w:rPr>
                <w:sz w:val="40"/>
              </w:rPr>
              <w:t>ECE</w:t>
            </w:r>
            <w:r>
              <w:t>/TRANS/WP</w:t>
            </w:r>
            <w:r w:rsidR="00C66869" w:rsidRPr="00C66869">
              <w:t>.</w:t>
            </w:r>
            <w:r>
              <w:t>29/GRBP/2022/16</w:t>
            </w:r>
          </w:p>
        </w:tc>
      </w:tr>
      <w:tr w:rsidR="00F35BAF" w:rsidRPr="00DB58B5" w14:paraId="2113344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FD830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8F1B50" wp14:editId="3117D1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99132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1A24A2" w14:textId="3E20155D" w:rsidR="00F35BAF" w:rsidRDefault="001E0DD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C66869" w:rsidRPr="00C66869">
              <w:t>.</w:t>
            </w:r>
            <w:r>
              <w:t xml:space="preserve"> générale</w:t>
            </w:r>
          </w:p>
          <w:p w14:paraId="384E3A81" w14:textId="77777777" w:rsidR="001E0DD5" w:rsidRDefault="001E0DD5" w:rsidP="001E0DD5">
            <w:pPr>
              <w:spacing w:line="240" w:lineRule="exact"/>
            </w:pPr>
            <w:r>
              <w:t>15 juin 2022</w:t>
            </w:r>
          </w:p>
          <w:p w14:paraId="0F3F2959" w14:textId="77777777" w:rsidR="001E0DD5" w:rsidRDefault="001E0DD5" w:rsidP="001E0DD5">
            <w:pPr>
              <w:spacing w:line="240" w:lineRule="exact"/>
            </w:pPr>
            <w:r>
              <w:t>Français</w:t>
            </w:r>
          </w:p>
          <w:p w14:paraId="708107C0" w14:textId="02FE3F6D" w:rsidR="001E0DD5" w:rsidRPr="00DB58B5" w:rsidRDefault="001E0DD5" w:rsidP="001E0DD5">
            <w:pPr>
              <w:spacing w:line="240" w:lineRule="exact"/>
            </w:pPr>
            <w:r>
              <w:t>Original : anglais</w:t>
            </w:r>
          </w:p>
        </w:tc>
      </w:tr>
    </w:tbl>
    <w:p w14:paraId="78C883D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F76D45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416CC2" w14:textId="16958E94" w:rsidR="00FF6BFA" w:rsidRPr="00124FE7" w:rsidRDefault="00FF6BFA" w:rsidP="00FF6BFA">
      <w:pPr>
        <w:spacing w:before="120"/>
        <w:rPr>
          <w:sz w:val="24"/>
          <w:szCs w:val="24"/>
        </w:rPr>
      </w:pPr>
      <w:r w:rsidRPr="00124FE7">
        <w:rPr>
          <w:b/>
          <w:bCs/>
          <w:sz w:val="24"/>
          <w:szCs w:val="24"/>
          <w:lang w:val="fr-FR"/>
        </w:rPr>
        <w:t xml:space="preserve">Forum mondial de l’harmonisation </w:t>
      </w:r>
      <w:r w:rsidR="00124FE7">
        <w:rPr>
          <w:b/>
          <w:bCs/>
          <w:sz w:val="24"/>
          <w:szCs w:val="24"/>
          <w:lang w:val="fr-FR"/>
        </w:rPr>
        <w:br/>
      </w:r>
      <w:r w:rsidRPr="00124FE7">
        <w:rPr>
          <w:b/>
          <w:bCs/>
          <w:sz w:val="24"/>
          <w:szCs w:val="24"/>
          <w:lang w:val="fr-FR"/>
        </w:rPr>
        <w:t>des Règlements concernant les véhicules</w:t>
      </w:r>
      <w:r w:rsidRPr="00124FE7">
        <w:rPr>
          <w:sz w:val="24"/>
          <w:szCs w:val="24"/>
          <w:lang w:val="fr-FR"/>
        </w:rPr>
        <w:t xml:space="preserve"> </w:t>
      </w:r>
    </w:p>
    <w:p w14:paraId="01F64DDC" w14:textId="538B33A2" w:rsidR="00FF6BFA" w:rsidRPr="00DC3460" w:rsidRDefault="00FF6BFA" w:rsidP="00FF6BFA">
      <w:pPr>
        <w:tabs>
          <w:tab w:val="left" w:pos="7256"/>
        </w:tabs>
        <w:spacing w:before="120" w:after="120"/>
        <w:rPr>
          <w:b/>
          <w:bCs/>
        </w:rPr>
      </w:pPr>
      <w:r>
        <w:rPr>
          <w:b/>
          <w:bCs/>
          <w:lang w:val="fr-FR"/>
        </w:rPr>
        <w:t>Groupe de travail du bruit et des pneumatiques</w:t>
      </w:r>
    </w:p>
    <w:p w14:paraId="61159C4E" w14:textId="77777777" w:rsidR="00FF6BFA" w:rsidRPr="00DC3460" w:rsidRDefault="00FF6BFA" w:rsidP="00FF6BFA">
      <w:pPr>
        <w:rPr>
          <w:b/>
        </w:rPr>
      </w:pPr>
      <w:r>
        <w:rPr>
          <w:b/>
          <w:bCs/>
          <w:lang w:val="fr-FR"/>
        </w:rPr>
        <w:t>Soixante-seizième session</w:t>
      </w:r>
      <w:r>
        <w:rPr>
          <w:lang w:val="fr-FR"/>
        </w:rPr>
        <w:t xml:space="preserve"> </w:t>
      </w:r>
    </w:p>
    <w:p w14:paraId="151A3CB3" w14:textId="77777777" w:rsidR="00FF6BFA" w:rsidRPr="00DC3460" w:rsidRDefault="00FF6BFA" w:rsidP="00FF6BFA">
      <w:pPr>
        <w:rPr>
          <w:bCs/>
        </w:rPr>
      </w:pPr>
      <w:r>
        <w:rPr>
          <w:lang w:val="fr-FR"/>
        </w:rPr>
        <w:t>Genève, 5-7 septembre 2022</w:t>
      </w:r>
    </w:p>
    <w:p w14:paraId="2A9759C6" w14:textId="77777777" w:rsidR="00FF6BFA" w:rsidRPr="00DC3460" w:rsidRDefault="00FF6BFA" w:rsidP="00FF6BFA">
      <w:pPr>
        <w:rPr>
          <w:bCs/>
        </w:rPr>
      </w:pPr>
      <w:r>
        <w:rPr>
          <w:lang w:val="fr-FR"/>
        </w:rPr>
        <w:t>Point 2 de l’ordre du jour provisoire</w:t>
      </w:r>
    </w:p>
    <w:p w14:paraId="0B5BC3FE" w14:textId="77777777" w:rsidR="00FF6BFA" w:rsidRPr="00DC3460" w:rsidRDefault="00FF6BFA" w:rsidP="00FF6BFA">
      <w:pPr>
        <w:rPr>
          <w:b/>
          <w:bCs/>
        </w:rPr>
      </w:pPr>
      <w:r>
        <w:rPr>
          <w:b/>
          <w:bCs/>
          <w:lang w:val="fr-FR"/>
        </w:rPr>
        <w:t xml:space="preserve">Règlement ONU </w:t>
      </w:r>
      <w:r w:rsidRPr="00E25FF7">
        <w:rPr>
          <w:b/>
          <w:bCs/>
          <w:lang w:val="fr-FR"/>
        </w:rPr>
        <w:t>n</w:t>
      </w:r>
      <w:r w:rsidRPr="00E25FF7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51 (Bruit des véhicules des catégories M et N)</w:t>
      </w:r>
    </w:p>
    <w:p w14:paraId="5A7AB08D" w14:textId="1FFF4319" w:rsidR="00FF6BFA" w:rsidRPr="00103BD0" w:rsidRDefault="00FF6BFA" w:rsidP="00FF6BFA">
      <w:pPr>
        <w:pStyle w:val="HCh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8 à la série 03 d’amendements </w:t>
      </w:r>
      <w:r>
        <w:rPr>
          <w:lang w:val="fr-FR"/>
        </w:rPr>
        <w:br/>
      </w:r>
      <w:r>
        <w:rPr>
          <w:lang w:val="fr-FR"/>
        </w:rPr>
        <w:t xml:space="preserve">au Règlement ONU </w:t>
      </w:r>
      <w:r w:rsidRPr="00E25FF7">
        <w:rPr>
          <w:lang w:val="fr-FR"/>
        </w:rPr>
        <w:t>n</w:t>
      </w:r>
      <w:r w:rsidRPr="00E25FF7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51</w:t>
      </w:r>
    </w:p>
    <w:p w14:paraId="2FD403CA" w14:textId="391D24D9" w:rsidR="00FF6BFA" w:rsidRPr="00103BD0" w:rsidRDefault="00FF6BFA" w:rsidP="00FF6BF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informel de l’incertitude </w:t>
      </w:r>
      <w:r>
        <w:rPr>
          <w:lang w:val="fr-FR"/>
        </w:rPr>
        <w:br/>
      </w:r>
      <w:r>
        <w:rPr>
          <w:lang w:val="fr-FR"/>
        </w:rPr>
        <w:t>de mesure</w:t>
      </w:r>
      <w:r w:rsidRPr="00FF6BFA">
        <w:rPr>
          <w:b w:val="0"/>
          <w:bCs/>
          <w:sz w:val="20"/>
          <w:lang w:val="fr-FR"/>
        </w:rPr>
        <w:footnoteReference w:customMarkFollows="1" w:id="2"/>
        <w:t>*</w:t>
      </w:r>
    </w:p>
    <w:p w14:paraId="6B5F1774" w14:textId="0198A600" w:rsidR="00F9573C" w:rsidRDefault="00FF6BFA" w:rsidP="00FF6BFA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 a été établi par les experts du groupe de travail informel de l’incertitude de mesure afin d’introduire des dispositions visant à réduire la variabilité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Les modifications qu’il est proposé d’apporter au texte actuel du Règlement ONU figurent en caractères gras pour les ajouts et biffés pour les suppressions</w:t>
      </w:r>
      <w:r w:rsidR="00C66869" w:rsidRPr="00C66869">
        <w:rPr>
          <w:lang w:val="fr-FR"/>
        </w:rPr>
        <w:t>.</w:t>
      </w:r>
    </w:p>
    <w:p w14:paraId="19EBC41E" w14:textId="04CF76DD" w:rsidR="00FF6BFA" w:rsidRDefault="00FF6BF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3FB7D59" w14:textId="1F06F360" w:rsidR="00FF6BFA" w:rsidRPr="00DD4D1A" w:rsidRDefault="00FF6BFA" w:rsidP="00FF6BFA">
      <w:pPr>
        <w:pStyle w:val="HChG"/>
        <w:rPr>
          <w:szCs w:val="28"/>
        </w:rPr>
      </w:pPr>
      <w:r>
        <w:rPr>
          <w:szCs w:val="28"/>
        </w:rPr>
        <w:lastRenderedPageBreak/>
        <w:tab/>
      </w:r>
      <w:r w:rsidRPr="00DD4D1A">
        <w:rPr>
          <w:szCs w:val="28"/>
        </w:rPr>
        <w:t>I</w:t>
      </w:r>
      <w:r w:rsidR="00C66869" w:rsidRPr="00C66869">
        <w:rPr>
          <w:szCs w:val="28"/>
        </w:rPr>
        <w:t>.</w:t>
      </w:r>
      <w:r w:rsidRPr="00DD4D1A">
        <w:rPr>
          <w:szCs w:val="28"/>
        </w:rPr>
        <w:tab/>
      </w:r>
      <w:r>
        <w:rPr>
          <w:lang w:val="fr-FR"/>
        </w:rPr>
        <w:t>Proposition</w:t>
      </w:r>
    </w:p>
    <w:p w14:paraId="02048492" w14:textId="77777777" w:rsidR="00FF6BFA" w:rsidRDefault="00FF6BFA" w:rsidP="00FF6BF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</w:rPr>
      </w:pPr>
      <w:r>
        <w:rPr>
          <w:i/>
          <w:iCs/>
          <w:lang w:val="fr-FR"/>
        </w:rPr>
        <w:t>Annexe 3</w:t>
      </w:r>
      <w:r>
        <w:rPr>
          <w:lang w:val="fr-FR"/>
        </w:rPr>
        <w:t xml:space="preserve"> </w:t>
      </w:r>
    </w:p>
    <w:p w14:paraId="025E823A" w14:textId="528383FF" w:rsidR="00FF6BFA" w:rsidRPr="0047112E" w:rsidRDefault="00FF6BFA" w:rsidP="00FF6BF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</w:rPr>
      </w:pPr>
      <w:r w:rsidRPr="00E25FF7">
        <w:rPr>
          <w:i/>
          <w:iCs/>
          <w:lang w:val="fr-FR"/>
        </w:rPr>
        <w:t>Paragraphe 3</w:t>
      </w:r>
      <w:r w:rsidR="00C66869" w:rsidRPr="00C66869">
        <w:rPr>
          <w:i/>
          <w:iCs/>
          <w:lang w:val="fr-FR"/>
        </w:rPr>
        <w:t>.</w:t>
      </w:r>
      <w:r w:rsidRPr="00E25FF7"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 w:rsidRPr="00E25FF7">
        <w:rPr>
          <w:i/>
          <w:iCs/>
          <w:lang w:val="fr-FR"/>
        </w:rPr>
        <w:t>2</w:t>
      </w:r>
      <w:r w:rsidR="00C66869" w:rsidRPr="00C66869">
        <w:rPr>
          <w:i/>
          <w:iCs/>
          <w:lang w:val="fr-FR"/>
        </w:rPr>
        <w:t>.</w:t>
      </w:r>
      <w:r w:rsidRPr="00E25FF7"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 w:rsidRPr="00E25FF7">
        <w:rPr>
          <w:i/>
          <w:iCs/>
          <w:lang w:val="fr-FR"/>
        </w:rPr>
        <w:t>1</w:t>
      </w:r>
      <w:r>
        <w:rPr>
          <w:lang w:val="fr-FR"/>
        </w:rPr>
        <w:t xml:space="preserve">, lire : </w:t>
      </w:r>
    </w:p>
    <w:p w14:paraId="7EB68C7D" w14:textId="551A81A4" w:rsidR="00FF6BFA" w:rsidRPr="00BC3CC4" w:rsidRDefault="00FF6BFA" w:rsidP="00FF6BFA">
      <w:pPr>
        <w:pStyle w:val="Paragraphedeliste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</w:rPr>
      </w:pPr>
      <w:r>
        <w:rPr>
          <w:lang w:val="fr-FR"/>
        </w:rPr>
        <w:t>« 3</w:t>
      </w:r>
      <w:r w:rsidR="00C66869" w:rsidRPr="00C66869">
        <w:rPr>
          <w:lang w:val="fr-FR"/>
        </w:rPr>
        <w:t>.</w:t>
      </w:r>
      <w:r>
        <w:rPr>
          <w:lang w:val="fr-FR"/>
        </w:rPr>
        <w:t>1</w:t>
      </w:r>
      <w:r w:rsidR="00C66869" w:rsidRPr="00C66869">
        <w:rPr>
          <w:lang w:val="fr-FR"/>
        </w:rPr>
        <w:t>.</w:t>
      </w:r>
      <w:r>
        <w:rPr>
          <w:lang w:val="fr-FR"/>
        </w:rPr>
        <w:t>2</w:t>
      </w:r>
      <w:r w:rsidR="00C66869" w:rsidRPr="00C66869">
        <w:rPr>
          <w:lang w:val="fr-FR"/>
        </w:rPr>
        <w:t>.</w:t>
      </w:r>
      <w:r>
        <w:rPr>
          <w:lang w:val="fr-FR"/>
        </w:rPr>
        <w:t>1</w:t>
      </w:r>
      <w:r w:rsidR="00C66869" w:rsidRPr="00C66869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Rapport puissance/masse (RPM)</w:t>
      </w:r>
    </w:p>
    <w:p w14:paraId="3C3888B3" w14:textId="77777777" w:rsidR="00FF6BFA" w:rsidRPr="00BC3CC4" w:rsidRDefault="00FF6BFA" w:rsidP="00FF6BFA">
      <w:pPr>
        <w:pStyle w:val="Paragraphedeliste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</w:rPr>
      </w:pPr>
      <w:r>
        <w:rPr>
          <w:lang w:val="fr-FR"/>
        </w:rPr>
        <w:tab/>
        <w:t>Le RPM se définit comme suit :</w:t>
      </w:r>
    </w:p>
    <w:p w14:paraId="5FE0FF96" w14:textId="090AF6FD" w:rsidR="00FF6BFA" w:rsidRPr="00AC1CD6" w:rsidRDefault="00FF6BFA" w:rsidP="00FF6BFA">
      <w:pPr>
        <w:suppressAutoHyphens w:val="0"/>
        <w:spacing w:after="120"/>
        <w:ind w:left="2268" w:right="1134" w:hanging="1134"/>
        <w:jc w:val="both"/>
        <w:rPr>
          <w:snapToGrid w:val="0"/>
        </w:rPr>
      </w:pPr>
      <w:r>
        <w:rPr>
          <w:lang w:val="fr-FR"/>
        </w:rPr>
        <w:tab/>
        <w:t>RPM = (</w:t>
      </w:r>
      <w:proofErr w:type="spellStart"/>
      <w:r>
        <w:rPr>
          <w:lang w:val="fr-FR"/>
        </w:rPr>
        <w:t>P</w:t>
      </w:r>
      <w:r w:rsidRPr="00501F7B">
        <w:rPr>
          <w:vertAlign w:val="subscript"/>
          <w:lang w:val="fr-FR"/>
        </w:rPr>
        <w:t>n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m</w:t>
      </w:r>
      <w:r w:rsidRPr="00903E20">
        <w:rPr>
          <w:vertAlign w:val="subscript"/>
          <w:lang w:val="fr-FR"/>
        </w:rPr>
        <w:t>ro</w:t>
      </w:r>
      <w:proofErr w:type="spellEnd"/>
      <w:r>
        <w:rPr>
          <w:lang w:val="fr-FR"/>
        </w:rPr>
        <w:t xml:space="preserve">) × 1 000 kg/kW, où </w:t>
      </w:r>
      <w:proofErr w:type="spellStart"/>
      <w:r>
        <w:rPr>
          <w:lang w:val="fr-FR"/>
        </w:rPr>
        <w:t>P</w:t>
      </w:r>
      <w:r w:rsidRPr="00903E20">
        <w:rPr>
          <w:vertAlign w:val="subscript"/>
          <w:lang w:val="fr-FR"/>
        </w:rPr>
        <w:t>n</w:t>
      </w:r>
      <w:proofErr w:type="spellEnd"/>
      <w:r>
        <w:rPr>
          <w:lang w:val="fr-FR"/>
        </w:rPr>
        <w:t xml:space="preserve"> est mesuré en kW </w:t>
      </w:r>
      <w:r w:rsidRPr="00903E20">
        <w:rPr>
          <w:b/>
          <w:bCs/>
          <w:lang w:val="fr-FR"/>
        </w:rPr>
        <w:t>et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défini conformément au paragraphe 2</w:t>
      </w:r>
      <w:r w:rsidR="00C66869" w:rsidRPr="00C66869">
        <w:rPr>
          <w:b/>
          <w:bCs/>
          <w:lang w:val="fr-FR"/>
        </w:rPr>
        <w:t>.</w:t>
      </w:r>
      <w:r>
        <w:rPr>
          <w:b/>
          <w:bCs/>
          <w:lang w:val="fr-FR"/>
        </w:rPr>
        <w:t>8 du corps du document,</w:t>
      </w:r>
      <w:r>
        <w:rPr>
          <w:lang w:val="fr-FR"/>
        </w:rPr>
        <w:t xml:space="preserve"> et </w:t>
      </w:r>
      <w:proofErr w:type="spellStart"/>
      <w:r>
        <w:rPr>
          <w:lang w:val="fr-FR"/>
        </w:rPr>
        <w:t>m</w:t>
      </w:r>
      <w:r w:rsidRPr="00903E20">
        <w:rPr>
          <w:vertAlign w:val="subscript"/>
          <w:lang w:val="fr-FR"/>
        </w:rPr>
        <w:t>ro</w:t>
      </w:r>
      <w:proofErr w:type="spellEnd"/>
      <w:r>
        <w:rPr>
          <w:lang w:val="fr-FR"/>
        </w:rPr>
        <w:t xml:space="preserve"> est mesuré en kg et défini conformément au paragraphe 2</w:t>
      </w:r>
      <w:r w:rsidR="00C66869" w:rsidRPr="00C66869">
        <w:rPr>
          <w:lang w:val="fr-FR"/>
        </w:rPr>
        <w:t>.</w:t>
      </w:r>
      <w:r>
        <w:rPr>
          <w:lang w:val="fr-FR"/>
        </w:rPr>
        <w:t>4 du corps du document</w:t>
      </w:r>
      <w:r w:rsidR="00C66869" w:rsidRPr="00C66869">
        <w:rPr>
          <w:lang w:val="fr-FR"/>
        </w:rPr>
        <w:t>.</w:t>
      </w:r>
    </w:p>
    <w:p w14:paraId="55B9FF0C" w14:textId="22ACED38" w:rsidR="00FF6BFA" w:rsidRDefault="00FF6BFA" w:rsidP="00FF6BF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</w:rPr>
      </w:pPr>
      <w:r>
        <w:rPr>
          <w:lang w:val="fr-FR"/>
        </w:rPr>
        <w:tab/>
      </w:r>
      <w:r>
        <w:rPr>
          <w:strike/>
          <w:lang w:val="fr-FR"/>
        </w:rPr>
        <w:t>Si deux ou plusieurs sources de propulsion fonctionnent dans les conditions d’essai définies au paragraphe 3</w:t>
      </w:r>
      <w:r w:rsidR="00C66869" w:rsidRPr="00C66869">
        <w:rPr>
          <w:strike/>
          <w:lang w:val="fr-FR"/>
        </w:rPr>
        <w:t>.</w:t>
      </w:r>
      <w:r>
        <w:rPr>
          <w:strike/>
          <w:lang w:val="fr-FR"/>
        </w:rPr>
        <w:t>1</w:t>
      </w:r>
      <w:r w:rsidR="00C66869" w:rsidRPr="00C66869">
        <w:rPr>
          <w:strike/>
          <w:lang w:val="fr-FR"/>
        </w:rPr>
        <w:t>.</w:t>
      </w:r>
      <w:r>
        <w:rPr>
          <w:strike/>
          <w:lang w:val="fr-FR"/>
        </w:rPr>
        <w:t>2</w:t>
      </w:r>
      <w:r w:rsidR="00C66869" w:rsidRPr="00C66869">
        <w:rPr>
          <w:strike/>
          <w:lang w:val="fr-FR"/>
        </w:rPr>
        <w:t>.</w:t>
      </w:r>
      <w:r>
        <w:rPr>
          <w:strike/>
          <w:lang w:val="fr-FR"/>
        </w:rPr>
        <w:t xml:space="preserve">1 de l’annexe 3 du présent Règlement, la puissance nette totale du moteur, </w:t>
      </w:r>
      <w:proofErr w:type="spellStart"/>
      <w:r>
        <w:rPr>
          <w:strike/>
          <w:lang w:val="fr-FR"/>
        </w:rPr>
        <w:t>P</w:t>
      </w:r>
      <w:r w:rsidRPr="00903E20">
        <w:rPr>
          <w:strike/>
          <w:vertAlign w:val="subscript"/>
          <w:lang w:val="fr-FR"/>
        </w:rPr>
        <w:t>n</w:t>
      </w:r>
      <w:proofErr w:type="spellEnd"/>
      <w:r>
        <w:rPr>
          <w:strike/>
          <w:lang w:val="fr-FR"/>
        </w:rPr>
        <w:t>, doit être la somme arithmétique de tous les propulseurs parallèles du véhicule</w:t>
      </w:r>
      <w:r w:rsidR="00C66869" w:rsidRPr="00C66869">
        <w:rPr>
          <w:strike/>
          <w:lang w:val="fr-FR"/>
        </w:rPr>
        <w:t>.</w:t>
      </w:r>
      <w:r>
        <w:rPr>
          <w:lang w:val="fr-FR"/>
        </w:rPr>
        <w:t xml:space="preserve"> </w:t>
      </w:r>
    </w:p>
    <w:p w14:paraId="5B7A5C3B" w14:textId="4F47BD2F" w:rsidR="00FF6BFA" w:rsidRPr="005622BF" w:rsidRDefault="00FF6BFA" w:rsidP="00FF6BF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strike/>
        </w:rPr>
      </w:pPr>
      <w:r>
        <w:rPr>
          <w:lang w:val="fr-FR"/>
        </w:rPr>
        <w:tab/>
      </w:r>
      <w:r>
        <w:rPr>
          <w:strike/>
          <w:lang w:val="fr-FR"/>
        </w:rPr>
        <w:t>Il s’agit des sources de puissance motrice qui assurent conjointement le déplacement du véhicule dans les conditions d’essai définies au paragraphe 3</w:t>
      </w:r>
      <w:r w:rsidR="00C66869" w:rsidRPr="00C66869">
        <w:rPr>
          <w:strike/>
          <w:lang w:val="fr-FR"/>
        </w:rPr>
        <w:t>.</w:t>
      </w:r>
      <w:r>
        <w:rPr>
          <w:strike/>
          <w:lang w:val="fr-FR"/>
        </w:rPr>
        <w:t>1</w:t>
      </w:r>
      <w:r w:rsidR="00C66869" w:rsidRPr="00C66869">
        <w:rPr>
          <w:strike/>
          <w:lang w:val="fr-FR"/>
        </w:rPr>
        <w:t>.</w:t>
      </w:r>
      <w:r>
        <w:rPr>
          <w:strike/>
          <w:lang w:val="fr-FR"/>
        </w:rPr>
        <w:t>2</w:t>
      </w:r>
      <w:r w:rsidR="00C66869" w:rsidRPr="00C66869">
        <w:rPr>
          <w:strike/>
          <w:lang w:val="fr-FR"/>
        </w:rPr>
        <w:t>.</w:t>
      </w:r>
      <w:r>
        <w:rPr>
          <w:strike/>
          <w:lang w:val="fr-FR"/>
        </w:rPr>
        <w:t>1 de l’annexe 3 du présent Règlement</w:t>
      </w:r>
      <w:r w:rsidR="00C66869" w:rsidRPr="00C66869">
        <w:rPr>
          <w:strike/>
          <w:lang w:val="fr-FR"/>
        </w:rPr>
        <w:t>.</w:t>
      </w:r>
      <w:r>
        <w:rPr>
          <w:lang w:val="fr-FR"/>
        </w:rPr>
        <w:t xml:space="preserve"> </w:t>
      </w:r>
      <w:r>
        <w:rPr>
          <w:strike/>
          <w:lang w:val="fr-FR"/>
        </w:rPr>
        <w:t>La puissance définie pour les moteurs qui ne sont pas à combustion doit être celle qui est déclarée par le constructeur</w:t>
      </w:r>
      <w:r w:rsidR="00C66869" w:rsidRPr="00C66869">
        <w:rPr>
          <w:strike/>
          <w:lang w:val="fr-FR"/>
        </w:rPr>
        <w:t>.</w:t>
      </w:r>
    </w:p>
    <w:p w14:paraId="00311A5B" w14:textId="2065CF83" w:rsidR="00FF6BFA" w:rsidRDefault="00FF6BFA" w:rsidP="00FF6BFA">
      <w:pPr>
        <w:pStyle w:val="SingleTxtG"/>
        <w:tabs>
          <w:tab w:val="left" w:pos="2268"/>
        </w:tabs>
        <w:ind w:left="2268" w:hanging="1134"/>
        <w:rPr>
          <w:b/>
          <w:bCs/>
          <w:i/>
          <w:iCs/>
        </w:rPr>
      </w:pPr>
      <w:r>
        <w:rPr>
          <w:lang w:val="fr-FR"/>
        </w:rPr>
        <w:tab/>
        <w:t>Le rapport puissance/masse (RPM) est un facteur sans dimension utilisé pour calculer l’accélération</w:t>
      </w:r>
      <w:r w:rsidR="00C66869" w:rsidRPr="00C66869">
        <w:rPr>
          <w:lang w:val="fr-FR"/>
        </w:rPr>
        <w:t>.</w:t>
      </w:r>
      <w:r>
        <w:rPr>
          <w:lang w:val="fr-FR"/>
        </w:rPr>
        <w:t> »</w:t>
      </w:r>
      <w:r w:rsidR="00C66869" w:rsidRPr="00C66869">
        <w:rPr>
          <w:lang w:val="fr-FR"/>
        </w:rPr>
        <w:t>.</w:t>
      </w:r>
    </w:p>
    <w:p w14:paraId="76CCBD24" w14:textId="2D8959DE" w:rsidR="00FF6BFA" w:rsidRPr="00E25FF7" w:rsidRDefault="00FF6BFA" w:rsidP="00FF6BFA">
      <w:pPr>
        <w:pStyle w:val="SingleTxtG"/>
        <w:rPr>
          <w:b/>
        </w:rPr>
      </w:pPr>
      <w:r w:rsidRPr="00FF6BFA">
        <w:rPr>
          <w:i/>
          <w:iCs/>
          <w:lang w:val="fr-FR"/>
        </w:rPr>
        <w:t>Paragraphe 3</w:t>
      </w:r>
      <w:r w:rsidR="00C66869" w:rsidRPr="00C66869">
        <w:rPr>
          <w:i/>
          <w:iCs/>
          <w:lang w:val="fr-FR"/>
        </w:rPr>
        <w:t>.</w:t>
      </w:r>
      <w:r w:rsidRPr="00FF6BFA"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 w:rsidRPr="00FF6BFA">
        <w:rPr>
          <w:i/>
          <w:iCs/>
          <w:lang w:val="fr-FR"/>
        </w:rPr>
        <w:t>3</w:t>
      </w:r>
      <w:r w:rsidR="00C66869" w:rsidRPr="00C66869">
        <w:rPr>
          <w:i/>
          <w:iCs/>
          <w:lang w:val="fr-FR"/>
        </w:rPr>
        <w:t>.</w:t>
      </w:r>
      <w:r w:rsidRPr="00FF6BFA">
        <w:rPr>
          <w:i/>
          <w:iCs/>
          <w:lang w:val="fr-FR"/>
        </w:rPr>
        <w:t>4</w:t>
      </w:r>
      <w:r w:rsidR="00C66869" w:rsidRPr="00C66869">
        <w:rPr>
          <w:i/>
          <w:iCs/>
          <w:lang w:val="fr-FR"/>
        </w:rPr>
        <w:t>.</w:t>
      </w:r>
      <w:r w:rsidRPr="00FF6BFA"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 w:rsidRPr="00FF6BFA">
        <w:rPr>
          <w:i/>
          <w:iCs/>
          <w:lang w:val="fr-FR"/>
        </w:rPr>
        <w:t>2</w:t>
      </w:r>
      <w:r w:rsidRPr="00E25FF7">
        <w:rPr>
          <w:lang w:val="fr-FR"/>
        </w:rPr>
        <w:t>, lire :</w:t>
      </w:r>
      <w:bookmarkStart w:id="0" w:name="_Hlk103763750"/>
      <w:bookmarkEnd w:id="0"/>
    </w:p>
    <w:p w14:paraId="2781151A" w14:textId="02D048E2" w:rsidR="00FF6BFA" w:rsidRDefault="00FF6BFA" w:rsidP="00FF6BFA">
      <w:pPr>
        <w:suppressAutoHyphens w:val="0"/>
        <w:spacing w:after="120"/>
        <w:ind w:left="2268" w:right="1134" w:hanging="1134"/>
        <w:jc w:val="both"/>
        <w:rPr>
          <w:bCs/>
          <w:snapToGrid w:val="0"/>
        </w:rPr>
      </w:pPr>
      <w:r>
        <w:rPr>
          <w:lang w:val="fr-FR"/>
        </w:rPr>
        <w:t>« 3</w:t>
      </w:r>
      <w:r w:rsidR="00C66869" w:rsidRPr="00C66869">
        <w:rPr>
          <w:lang w:val="fr-FR"/>
        </w:rPr>
        <w:t>.</w:t>
      </w:r>
      <w:r>
        <w:rPr>
          <w:lang w:val="fr-FR"/>
        </w:rPr>
        <w:t>1</w:t>
      </w:r>
      <w:r w:rsidR="00C66869" w:rsidRPr="00C66869">
        <w:rPr>
          <w:lang w:val="fr-FR"/>
        </w:rPr>
        <w:t>.</w:t>
      </w:r>
      <w:r>
        <w:rPr>
          <w:lang w:val="fr-FR"/>
        </w:rPr>
        <w:t>3</w:t>
      </w:r>
      <w:r w:rsidR="00C66869" w:rsidRPr="00C66869">
        <w:rPr>
          <w:lang w:val="fr-FR"/>
        </w:rPr>
        <w:t>.</w:t>
      </w:r>
      <w:r>
        <w:rPr>
          <w:lang w:val="fr-FR"/>
        </w:rPr>
        <w:t>4</w:t>
      </w:r>
      <w:r w:rsidR="00C66869" w:rsidRPr="00C66869">
        <w:rPr>
          <w:lang w:val="fr-FR"/>
        </w:rPr>
        <w:t>.</w:t>
      </w:r>
      <w:r>
        <w:rPr>
          <w:lang w:val="fr-FR"/>
        </w:rPr>
        <w:t>1</w:t>
      </w:r>
      <w:r w:rsidR="00C66869" w:rsidRPr="00C66869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[</w:t>
      </w:r>
      <w:r w:rsidR="00C66869" w:rsidRPr="00C66869">
        <w:rPr>
          <w:lang w:val="fr-FR"/>
        </w:rPr>
        <w:t>...</w:t>
      </w:r>
      <w:r>
        <w:rPr>
          <w:lang w:val="fr-FR"/>
        </w:rPr>
        <w:t>]</w:t>
      </w:r>
    </w:p>
    <w:p w14:paraId="1E135473" w14:textId="77777777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rPr>
          <w:lang w:val="fr-FR"/>
        </w:rPr>
        <w:tab/>
        <w:t xml:space="preserve">Le résultat final est obtenu par combinaison de </w:t>
      </w:r>
      <w:proofErr w:type="spellStart"/>
      <w:r>
        <w:rPr>
          <w:lang w:val="fr-FR"/>
        </w:rPr>
        <w:t>L</w:t>
      </w:r>
      <w:r w:rsidRPr="00961EF3">
        <w:rPr>
          <w:vertAlign w:val="subscript"/>
          <w:lang w:val="fr-FR"/>
        </w:rPr>
        <w:t>wot</w:t>
      </w:r>
      <w:proofErr w:type="spellEnd"/>
      <w:r w:rsidRPr="00961EF3">
        <w:rPr>
          <w:vertAlign w:val="subscript"/>
          <w:lang w:val="fr-FR"/>
        </w:rPr>
        <w:t xml:space="preserve"> rep </w:t>
      </w:r>
      <w:r>
        <w:rPr>
          <w:lang w:val="fr-FR"/>
        </w:rPr>
        <w:t xml:space="preserve">et </w:t>
      </w:r>
      <w:proofErr w:type="spellStart"/>
      <w:r>
        <w:rPr>
          <w:lang w:val="fr-FR"/>
        </w:rPr>
        <w:t>L</w:t>
      </w:r>
      <w:r w:rsidRPr="00961EF3">
        <w:rPr>
          <w:vertAlign w:val="subscript"/>
          <w:lang w:val="fr-FR"/>
        </w:rPr>
        <w:t>crs</w:t>
      </w:r>
      <w:proofErr w:type="spellEnd"/>
      <w:r w:rsidRPr="00961EF3">
        <w:rPr>
          <w:vertAlign w:val="subscript"/>
          <w:lang w:val="fr-FR"/>
        </w:rPr>
        <w:t xml:space="preserve"> rep </w:t>
      </w:r>
      <w:r>
        <w:rPr>
          <w:lang w:val="fr-FR"/>
        </w:rPr>
        <w:t xml:space="preserve">comme suit : </w:t>
      </w:r>
    </w:p>
    <w:p w14:paraId="669B769F" w14:textId="77777777" w:rsidR="00FF6BFA" w:rsidRPr="00E25FF7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US"/>
        </w:rPr>
      </w:pPr>
      <w:r>
        <w:rPr>
          <w:lang w:val="fr-FR"/>
        </w:rPr>
        <w:tab/>
      </w:r>
      <w:proofErr w:type="spellStart"/>
      <w:r w:rsidRPr="00E25FF7">
        <w:rPr>
          <w:lang w:val="en-US"/>
        </w:rPr>
        <w:t>L</w:t>
      </w:r>
      <w:r w:rsidRPr="00E25FF7">
        <w:rPr>
          <w:vertAlign w:val="subscript"/>
          <w:lang w:val="en-US"/>
        </w:rPr>
        <w:t>urban</w:t>
      </w:r>
      <w:proofErr w:type="spellEnd"/>
      <w:r w:rsidRPr="00E25FF7">
        <w:rPr>
          <w:lang w:val="en-US"/>
        </w:rPr>
        <w:t xml:space="preserve"> = </w:t>
      </w:r>
      <w:proofErr w:type="spellStart"/>
      <w:r w:rsidRPr="00E25FF7">
        <w:rPr>
          <w:lang w:val="en-US"/>
        </w:rPr>
        <w:t>L</w:t>
      </w:r>
      <w:r w:rsidRPr="00E25FF7">
        <w:rPr>
          <w:vertAlign w:val="subscript"/>
          <w:lang w:val="en-US"/>
        </w:rPr>
        <w:t>wot</w:t>
      </w:r>
      <w:proofErr w:type="spellEnd"/>
      <w:r w:rsidRPr="00E25FF7">
        <w:rPr>
          <w:vertAlign w:val="subscript"/>
          <w:lang w:val="en-US"/>
        </w:rPr>
        <w:t xml:space="preserve"> rep </w:t>
      </w:r>
      <w:r w:rsidRPr="00E25FF7">
        <w:rPr>
          <w:lang w:val="en-US"/>
        </w:rPr>
        <w:t xml:space="preserve">− </w:t>
      </w:r>
      <w:proofErr w:type="spellStart"/>
      <w:r w:rsidRPr="00E25FF7">
        <w:rPr>
          <w:lang w:val="en-US"/>
        </w:rPr>
        <w:t>k</w:t>
      </w:r>
      <w:r w:rsidRPr="00E25FF7">
        <w:rPr>
          <w:vertAlign w:val="subscript"/>
          <w:lang w:val="en-US"/>
        </w:rPr>
        <w:t>P</w:t>
      </w:r>
      <w:proofErr w:type="spellEnd"/>
      <w:r w:rsidRPr="00E25FF7">
        <w:rPr>
          <w:lang w:val="en-US"/>
        </w:rPr>
        <w:t xml:space="preserve"> × (</w:t>
      </w:r>
      <w:proofErr w:type="spellStart"/>
      <w:r w:rsidRPr="00E25FF7">
        <w:rPr>
          <w:lang w:val="en-US"/>
        </w:rPr>
        <w:t>L</w:t>
      </w:r>
      <w:r w:rsidRPr="00E25FF7">
        <w:rPr>
          <w:vertAlign w:val="subscript"/>
          <w:lang w:val="en-US"/>
        </w:rPr>
        <w:t>wot</w:t>
      </w:r>
      <w:proofErr w:type="spellEnd"/>
      <w:r w:rsidRPr="00E25FF7">
        <w:rPr>
          <w:vertAlign w:val="subscript"/>
          <w:lang w:val="en-US"/>
        </w:rPr>
        <w:t xml:space="preserve"> rep </w:t>
      </w:r>
      <w:r w:rsidRPr="00E25FF7">
        <w:rPr>
          <w:lang w:val="en-US"/>
        </w:rPr>
        <w:t xml:space="preserve">− </w:t>
      </w:r>
      <w:proofErr w:type="spellStart"/>
      <w:r w:rsidRPr="00E25FF7">
        <w:rPr>
          <w:lang w:val="en-US"/>
        </w:rPr>
        <w:t>L</w:t>
      </w:r>
      <w:r w:rsidRPr="00E25FF7">
        <w:rPr>
          <w:vertAlign w:val="subscript"/>
          <w:lang w:val="en-US"/>
        </w:rPr>
        <w:t>crs</w:t>
      </w:r>
      <w:proofErr w:type="spellEnd"/>
      <w:r w:rsidRPr="00E25FF7">
        <w:rPr>
          <w:vertAlign w:val="subscript"/>
          <w:lang w:val="en-US"/>
        </w:rPr>
        <w:t xml:space="preserve"> rep</w:t>
      </w:r>
      <w:r w:rsidRPr="00E25FF7">
        <w:rPr>
          <w:lang w:val="en-US"/>
        </w:rPr>
        <w:t>)</w:t>
      </w:r>
      <w:bookmarkStart w:id="1" w:name="_Hlk100038761"/>
      <w:bookmarkEnd w:id="1"/>
    </w:p>
    <w:p w14:paraId="7522B076" w14:textId="176992C3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E25FF7">
        <w:rPr>
          <w:lang w:val="en-US"/>
        </w:rPr>
        <w:tab/>
      </w:r>
      <w:r>
        <w:rPr>
          <w:lang w:val="fr-FR"/>
        </w:rPr>
        <w:t xml:space="preserve">Le facteur de pondération </w:t>
      </w:r>
      <w:proofErr w:type="spellStart"/>
      <w:r>
        <w:rPr>
          <w:lang w:val="fr-FR"/>
        </w:rPr>
        <w:t>k</w:t>
      </w:r>
      <w:r w:rsidRPr="00E25FF7">
        <w:rPr>
          <w:vertAlign w:val="subscript"/>
          <w:lang w:val="fr-FR"/>
        </w:rPr>
        <w:t>P</w:t>
      </w:r>
      <w:proofErr w:type="spellEnd"/>
      <w:r>
        <w:rPr>
          <w:lang w:val="fr-FR"/>
        </w:rPr>
        <w:t xml:space="preserve"> donne le facteur de puissance partielle en conduite urbaine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Si l’essai n’est pas effectué sur un seul rapport, le facteur </w:t>
      </w:r>
      <w:proofErr w:type="spellStart"/>
      <w:r>
        <w:rPr>
          <w:lang w:val="fr-FR"/>
        </w:rPr>
        <w:t>k</w:t>
      </w:r>
      <w:r w:rsidRPr="00E25FF7">
        <w:rPr>
          <w:vertAlign w:val="subscript"/>
          <w:lang w:val="fr-FR"/>
        </w:rPr>
        <w:t>P</w:t>
      </w:r>
      <w:proofErr w:type="spellEnd"/>
      <w:r>
        <w:rPr>
          <w:lang w:val="fr-FR"/>
        </w:rPr>
        <w:t xml:space="preserve"> se calcule comme suit:</w:t>
      </w:r>
    </w:p>
    <w:p w14:paraId="4ED8A4FD" w14:textId="77777777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rPr>
          <w:lang w:val="fr-FR"/>
        </w:rPr>
        <w:tab/>
      </w:r>
      <w:proofErr w:type="spellStart"/>
      <w:r>
        <w:rPr>
          <w:lang w:val="fr-FR"/>
        </w:rPr>
        <w:t>k</w:t>
      </w:r>
      <w:r w:rsidRPr="00E25FF7">
        <w:rPr>
          <w:vertAlign w:val="subscript"/>
          <w:lang w:val="fr-FR"/>
        </w:rPr>
        <w:t>P</w:t>
      </w:r>
      <w:proofErr w:type="spellEnd"/>
      <w:r>
        <w:rPr>
          <w:lang w:val="fr-FR"/>
        </w:rPr>
        <w:t xml:space="preserve"> = 1 − (</w:t>
      </w:r>
      <w:proofErr w:type="spellStart"/>
      <w:r>
        <w:rPr>
          <w:lang w:val="fr-FR"/>
        </w:rPr>
        <w:t>a</w:t>
      </w:r>
      <w:r w:rsidRPr="00E25FF7">
        <w:rPr>
          <w:vertAlign w:val="subscript"/>
          <w:lang w:val="fr-FR"/>
        </w:rPr>
        <w:t>urban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a</w:t>
      </w:r>
      <w:r w:rsidRPr="00E25FF7">
        <w:rPr>
          <w:vertAlign w:val="subscript"/>
          <w:lang w:val="fr-FR"/>
        </w:rPr>
        <w:t>wot</w:t>
      </w:r>
      <w:proofErr w:type="spellEnd"/>
      <w:r w:rsidRPr="00E25FF7">
        <w:rPr>
          <w:vertAlign w:val="subscript"/>
          <w:lang w:val="fr-FR"/>
        </w:rPr>
        <w:t xml:space="preserve"> </w:t>
      </w:r>
      <w:proofErr w:type="spellStart"/>
      <w:r w:rsidRPr="00E25FF7">
        <w:rPr>
          <w:vertAlign w:val="subscript"/>
          <w:lang w:val="fr-FR"/>
        </w:rPr>
        <w:t>ref</w:t>
      </w:r>
      <w:proofErr w:type="spellEnd"/>
      <w:r>
        <w:rPr>
          <w:lang w:val="fr-FR"/>
        </w:rPr>
        <w:t>)</w:t>
      </w:r>
    </w:p>
    <w:p w14:paraId="683E5D24" w14:textId="459C83C5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rPr>
          <w:lang w:val="fr-FR"/>
        </w:rPr>
        <w:tab/>
        <w:t xml:space="preserve">Si l’essai est effectué sur un seul rapport, le facteur </w:t>
      </w:r>
      <w:proofErr w:type="spellStart"/>
      <w:r>
        <w:rPr>
          <w:lang w:val="fr-FR"/>
        </w:rPr>
        <w:t>k</w:t>
      </w:r>
      <w:r w:rsidRPr="00E25FF7">
        <w:rPr>
          <w:vertAlign w:val="subscript"/>
          <w:lang w:val="fr-FR"/>
        </w:rPr>
        <w:t>P</w:t>
      </w:r>
      <w:proofErr w:type="spellEnd"/>
      <w:r>
        <w:rPr>
          <w:lang w:val="fr-FR"/>
        </w:rPr>
        <w:t xml:space="preserve"> se calcule comme suit</w:t>
      </w:r>
      <w:r w:rsidR="00C66869">
        <w:rPr>
          <w:lang w:val="fr-FR"/>
        </w:rPr>
        <w:t> </w:t>
      </w:r>
      <w:r>
        <w:rPr>
          <w:lang w:val="fr-FR"/>
        </w:rPr>
        <w:t>:</w:t>
      </w:r>
    </w:p>
    <w:p w14:paraId="3B88291C" w14:textId="77777777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rPr>
          <w:lang w:val="fr-FR"/>
        </w:rPr>
        <w:tab/>
      </w:r>
      <w:proofErr w:type="spellStart"/>
      <w:r>
        <w:rPr>
          <w:lang w:val="fr-FR"/>
        </w:rPr>
        <w:t>k</w:t>
      </w:r>
      <w:r w:rsidRPr="00E25FF7">
        <w:rPr>
          <w:vertAlign w:val="subscript"/>
          <w:lang w:val="fr-FR"/>
        </w:rPr>
        <w:t>P</w:t>
      </w:r>
      <w:proofErr w:type="spellEnd"/>
      <w:r>
        <w:rPr>
          <w:lang w:val="fr-FR"/>
        </w:rPr>
        <w:t xml:space="preserve"> = 1 − (</w:t>
      </w:r>
      <w:proofErr w:type="spellStart"/>
      <w:r>
        <w:rPr>
          <w:lang w:val="fr-FR"/>
        </w:rPr>
        <w:t>a</w:t>
      </w:r>
      <w:r w:rsidRPr="00E25FF7">
        <w:rPr>
          <w:vertAlign w:val="subscript"/>
          <w:lang w:val="fr-FR"/>
        </w:rPr>
        <w:t>urban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a</w:t>
      </w:r>
      <w:r w:rsidRPr="00E25FF7">
        <w:rPr>
          <w:vertAlign w:val="subscript"/>
          <w:lang w:val="fr-FR"/>
        </w:rPr>
        <w:t>wot</w:t>
      </w:r>
      <w:proofErr w:type="spellEnd"/>
      <w:r w:rsidRPr="00E25FF7">
        <w:rPr>
          <w:vertAlign w:val="subscript"/>
          <w:lang w:val="fr-FR"/>
        </w:rPr>
        <w:t xml:space="preserve"> test</w:t>
      </w:r>
      <w:r>
        <w:rPr>
          <w:lang w:val="fr-FR"/>
        </w:rPr>
        <w:t>)</w:t>
      </w:r>
    </w:p>
    <w:p w14:paraId="719DFAC0" w14:textId="77777777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rPr>
          <w:lang w:val="fr-FR"/>
        </w:rPr>
        <w:tab/>
        <w:t xml:space="preserve">Lorsque </w:t>
      </w:r>
      <w:proofErr w:type="spellStart"/>
      <w:r>
        <w:rPr>
          <w:lang w:val="fr-FR"/>
        </w:rPr>
        <w:t>a</w:t>
      </w:r>
      <w:r w:rsidRPr="00E25FF7">
        <w:rPr>
          <w:vertAlign w:val="subscript"/>
          <w:lang w:val="fr-FR"/>
        </w:rPr>
        <w:t>wot</w:t>
      </w:r>
      <w:proofErr w:type="spellEnd"/>
      <w:r w:rsidRPr="00E25FF7">
        <w:rPr>
          <w:vertAlign w:val="subscript"/>
          <w:lang w:val="fr-FR"/>
        </w:rPr>
        <w:t xml:space="preserve"> test </w:t>
      </w:r>
      <w:r>
        <w:rPr>
          <w:lang w:val="fr-FR"/>
        </w:rPr>
        <w:t xml:space="preserve">est inférieur à </w:t>
      </w:r>
      <w:proofErr w:type="spellStart"/>
      <w:r>
        <w:rPr>
          <w:lang w:val="fr-FR"/>
        </w:rPr>
        <w:t>a</w:t>
      </w:r>
      <w:r w:rsidRPr="00E25FF7">
        <w:rPr>
          <w:vertAlign w:val="subscript"/>
          <w:lang w:val="fr-FR"/>
        </w:rPr>
        <w:t>urban</w:t>
      </w:r>
      <w:proofErr w:type="spellEnd"/>
      <w:r>
        <w:rPr>
          <w:vertAlign w:val="subscript"/>
          <w:lang w:val="fr-FR"/>
        </w:rPr>
        <w:t xml:space="preserve"> </w:t>
      </w:r>
      <w:r>
        <w:rPr>
          <w:lang w:val="fr-FR"/>
        </w:rPr>
        <w:t>:</w:t>
      </w:r>
    </w:p>
    <w:p w14:paraId="54A980F3" w14:textId="77777777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rPr>
          <w:lang w:val="fr-FR"/>
        </w:rPr>
        <w:tab/>
      </w:r>
      <w:proofErr w:type="spellStart"/>
      <w:r>
        <w:rPr>
          <w:lang w:val="fr-FR"/>
        </w:rPr>
        <w:t>k</w:t>
      </w:r>
      <w:r w:rsidRPr="00E25FF7">
        <w:rPr>
          <w:vertAlign w:val="subscript"/>
          <w:lang w:val="fr-FR"/>
        </w:rPr>
        <w:t>P</w:t>
      </w:r>
      <w:proofErr w:type="spellEnd"/>
      <w:r>
        <w:rPr>
          <w:lang w:val="fr-FR"/>
        </w:rPr>
        <w:t xml:space="preserve"> = 0</w:t>
      </w:r>
    </w:p>
    <w:p w14:paraId="05C4C505" w14:textId="77777777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bookmarkStart w:id="2" w:name="_Hlk100040141"/>
      <w:r>
        <w:rPr>
          <w:lang w:val="fr-FR"/>
        </w:rPr>
        <w:t xml:space="preserve">Lorsque le RPM du véhicule est inférieur à 25, le résultat final </w:t>
      </w:r>
      <w:proofErr w:type="spellStart"/>
      <w:r>
        <w:rPr>
          <w:lang w:val="fr-FR"/>
        </w:rPr>
        <w:t>L</w:t>
      </w:r>
      <w:r w:rsidRPr="00E25FF7">
        <w:rPr>
          <w:vertAlign w:val="subscript"/>
          <w:lang w:val="fr-FR"/>
        </w:rPr>
        <w:t>urban</w:t>
      </w:r>
      <w:proofErr w:type="spellEnd"/>
      <w:r>
        <w:rPr>
          <w:lang w:val="fr-FR"/>
        </w:rPr>
        <w:t xml:space="preserve"> est le résultat de l’essai d’accélération :</w:t>
      </w:r>
    </w:p>
    <w:p w14:paraId="68C70304" w14:textId="77777777" w:rsidR="00FF6BFA" w:rsidRPr="00613FFD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vertAlign w:val="subscript"/>
        </w:rPr>
      </w:pPr>
      <w:r>
        <w:rPr>
          <w:lang w:val="fr-FR"/>
        </w:rPr>
        <w:tab/>
      </w:r>
      <w:proofErr w:type="spellStart"/>
      <w:r>
        <w:rPr>
          <w:lang w:val="fr-FR"/>
        </w:rPr>
        <w:t>L</w:t>
      </w:r>
      <w:r w:rsidRPr="00E25FF7">
        <w:rPr>
          <w:vertAlign w:val="subscript"/>
          <w:lang w:val="fr-FR"/>
        </w:rPr>
        <w:t>urban</w:t>
      </w:r>
      <w:proofErr w:type="spellEnd"/>
      <w:r>
        <w:rPr>
          <w:lang w:val="fr-FR"/>
        </w:rPr>
        <w:t xml:space="preserve"> = </w:t>
      </w:r>
      <w:proofErr w:type="spellStart"/>
      <w:r>
        <w:rPr>
          <w:lang w:val="fr-FR"/>
        </w:rPr>
        <w:t>L</w:t>
      </w:r>
      <w:r w:rsidRPr="00E25FF7">
        <w:rPr>
          <w:vertAlign w:val="subscript"/>
          <w:lang w:val="fr-FR"/>
        </w:rPr>
        <w:t>wot</w:t>
      </w:r>
      <w:proofErr w:type="spellEnd"/>
      <w:r w:rsidRPr="00E25FF7">
        <w:rPr>
          <w:vertAlign w:val="subscript"/>
          <w:lang w:val="fr-FR"/>
        </w:rPr>
        <w:t xml:space="preserve"> rep</w:t>
      </w:r>
    </w:p>
    <w:p w14:paraId="35CBA51E" w14:textId="77777777" w:rsidR="00FF6BFA" w:rsidRPr="00DC3460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</w:rPr>
      </w:pPr>
      <w:r>
        <w:rPr>
          <w:lang w:val="fr-FR"/>
        </w:rPr>
        <w:tab/>
      </w:r>
      <w:r>
        <w:rPr>
          <w:b/>
          <w:bCs/>
          <w:lang w:val="fr-FR"/>
        </w:rPr>
        <w:t xml:space="preserve">Lorsque </w:t>
      </w:r>
      <w:proofErr w:type="spellStart"/>
      <w:r>
        <w:rPr>
          <w:b/>
          <w:bCs/>
          <w:lang w:val="fr-FR"/>
        </w:rPr>
        <w:t>L</w:t>
      </w:r>
      <w:r w:rsidRPr="00665F3B">
        <w:rPr>
          <w:b/>
          <w:bCs/>
          <w:vertAlign w:val="subscript"/>
          <w:lang w:val="fr-FR"/>
        </w:rPr>
        <w:t>wot</w:t>
      </w:r>
      <w:proofErr w:type="spellEnd"/>
      <w:r w:rsidRPr="00665F3B">
        <w:rPr>
          <w:b/>
          <w:bCs/>
          <w:vertAlign w:val="subscript"/>
          <w:lang w:val="fr-FR"/>
        </w:rPr>
        <w:t xml:space="preserve">, rep </w:t>
      </w:r>
      <w:r>
        <w:rPr>
          <w:b/>
          <w:bCs/>
          <w:lang w:val="fr-FR"/>
        </w:rPr>
        <w:t xml:space="preserve">est inférieur à </w:t>
      </w:r>
      <w:proofErr w:type="spellStart"/>
      <w:r>
        <w:rPr>
          <w:b/>
          <w:bCs/>
          <w:lang w:val="fr-FR"/>
        </w:rPr>
        <w:t>L</w:t>
      </w:r>
      <w:r w:rsidRPr="00665F3B">
        <w:rPr>
          <w:b/>
          <w:bCs/>
          <w:vertAlign w:val="subscript"/>
          <w:lang w:val="fr-FR"/>
        </w:rPr>
        <w:t>crs,rep</w:t>
      </w:r>
      <w:proofErr w:type="spellEnd"/>
      <w:r>
        <w:rPr>
          <w:b/>
          <w:bCs/>
          <w:vertAlign w:val="subscript"/>
          <w:lang w:val="fr-FR"/>
        </w:rPr>
        <w:t xml:space="preserve"> </w:t>
      </w:r>
      <w:r>
        <w:rPr>
          <w:b/>
          <w:bCs/>
          <w:lang w:val="fr-FR"/>
        </w:rPr>
        <w:t>:</w:t>
      </w:r>
    </w:p>
    <w:p w14:paraId="608A429E" w14:textId="34E9728A" w:rsidR="00FF6BFA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</w:rPr>
      </w:pPr>
      <w:proofErr w:type="spellStart"/>
      <w:r>
        <w:rPr>
          <w:b/>
          <w:bCs/>
          <w:lang w:val="fr-FR"/>
        </w:rPr>
        <w:t>k</w:t>
      </w:r>
      <w:r w:rsidRPr="00665F3B">
        <w:rPr>
          <w:b/>
          <w:bCs/>
          <w:vertAlign w:val="subscript"/>
          <w:lang w:val="fr-FR"/>
        </w:rPr>
        <w:t>p</w:t>
      </w:r>
      <w:proofErr w:type="spellEnd"/>
      <w:r w:rsidR="00124FE7">
        <w:rPr>
          <w:b/>
          <w:bCs/>
          <w:vertAlign w:val="subscript"/>
          <w:lang w:val="fr-FR"/>
        </w:rPr>
        <w:t xml:space="preserve"> </w:t>
      </w:r>
      <w:r>
        <w:rPr>
          <w:b/>
          <w:bCs/>
          <w:lang w:val="fr-FR"/>
        </w:rPr>
        <w:t>=</w:t>
      </w:r>
      <w:r w:rsidR="00124FE7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1</w:t>
      </w:r>
    </w:p>
    <w:p w14:paraId="332A959E" w14:textId="77777777" w:rsidR="00FF6BFA" w:rsidRPr="005A0455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/>
          <w:snapToGrid w:val="0"/>
        </w:rPr>
      </w:pPr>
      <w:r>
        <w:rPr>
          <w:b/>
          <w:bCs/>
          <w:lang w:val="fr-FR"/>
        </w:rPr>
        <w:t xml:space="preserve">Lorsque </w:t>
      </w:r>
      <w:proofErr w:type="spellStart"/>
      <w:r>
        <w:rPr>
          <w:b/>
          <w:bCs/>
          <w:lang w:val="fr-FR"/>
        </w:rPr>
        <w:t>L</w:t>
      </w:r>
      <w:r w:rsidRPr="00665F3B">
        <w:rPr>
          <w:b/>
          <w:bCs/>
          <w:vertAlign w:val="subscript"/>
          <w:lang w:val="fr-FR"/>
        </w:rPr>
        <w:t>wot,rep</w:t>
      </w:r>
      <w:proofErr w:type="spellEnd"/>
      <w:r w:rsidRPr="00665F3B">
        <w:rPr>
          <w:b/>
          <w:bCs/>
          <w:vertAlign w:val="subscript"/>
          <w:lang w:val="fr-FR"/>
        </w:rPr>
        <w:t xml:space="preserve"> </w:t>
      </w:r>
      <w:r>
        <w:rPr>
          <w:b/>
          <w:bCs/>
          <w:lang w:val="fr-FR"/>
        </w:rPr>
        <w:t xml:space="preserve">est inférieur à </w:t>
      </w:r>
      <w:proofErr w:type="spellStart"/>
      <w:r>
        <w:rPr>
          <w:b/>
          <w:bCs/>
          <w:lang w:val="fr-FR"/>
        </w:rPr>
        <w:t>L</w:t>
      </w:r>
      <w:r w:rsidRPr="00665F3B">
        <w:rPr>
          <w:b/>
          <w:bCs/>
          <w:vertAlign w:val="subscript"/>
          <w:lang w:val="fr-FR"/>
        </w:rPr>
        <w:t>crs,rep</w:t>
      </w:r>
      <w:proofErr w:type="spellEnd"/>
      <w:r>
        <w:rPr>
          <w:b/>
          <w:bCs/>
          <w:lang w:val="fr-FR"/>
        </w:rPr>
        <w:t xml:space="preserve">, le résultat final </w:t>
      </w:r>
      <w:proofErr w:type="spellStart"/>
      <w:r>
        <w:rPr>
          <w:b/>
          <w:bCs/>
          <w:lang w:val="fr-FR"/>
        </w:rPr>
        <w:t>L</w:t>
      </w:r>
      <w:r w:rsidRPr="00665F3B">
        <w:rPr>
          <w:b/>
          <w:bCs/>
          <w:vertAlign w:val="subscript"/>
          <w:lang w:val="fr-FR"/>
        </w:rPr>
        <w:t>urban</w:t>
      </w:r>
      <w:proofErr w:type="spellEnd"/>
      <w:r>
        <w:rPr>
          <w:b/>
          <w:bCs/>
          <w:lang w:val="fr-FR"/>
        </w:rPr>
        <w:t xml:space="preserve"> est le résultat de l’essai à vitesse constante :</w:t>
      </w:r>
    </w:p>
    <w:p w14:paraId="03BAAFA9" w14:textId="08E6BA5A" w:rsidR="00FF6BFA" w:rsidRPr="00FE1336" w:rsidRDefault="00FF6BFA" w:rsidP="00FF6BFA">
      <w:pPr>
        <w:suppressAutoHyphens w:val="0"/>
        <w:spacing w:after="120"/>
        <w:ind w:left="2268" w:right="1134"/>
        <w:jc w:val="both"/>
        <w:rPr>
          <w:rFonts w:eastAsia="MS Mincho"/>
          <w:b/>
          <w:snapToGrid w:val="0"/>
          <w:vertAlign w:val="subscript"/>
        </w:rPr>
      </w:pPr>
      <w:proofErr w:type="spellStart"/>
      <w:r w:rsidRPr="00903E20">
        <w:rPr>
          <w:b/>
          <w:bCs/>
          <w:lang w:val="fr-FR"/>
        </w:rPr>
        <w:t>L</w:t>
      </w:r>
      <w:r w:rsidRPr="00961EF3">
        <w:rPr>
          <w:b/>
          <w:bCs/>
          <w:vertAlign w:val="subscript"/>
          <w:lang w:val="fr-FR"/>
        </w:rPr>
        <w:t>urban</w:t>
      </w:r>
      <w:proofErr w:type="spellEnd"/>
      <w:r w:rsidRPr="00903E20">
        <w:rPr>
          <w:b/>
          <w:bCs/>
          <w:lang w:val="fr-FR"/>
        </w:rPr>
        <w:t xml:space="preserve">= </w:t>
      </w:r>
      <w:proofErr w:type="spellStart"/>
      <w:r w:rsidRPr="00903E20">
        <w:rPr>
          <w:b/>
          <w:bCs/>
          <w:lang w:val="fr-FR"/>
        </w:rPr>
        <w:t>L</w:t>
      </w:r>
      <w:r w:rsidRPr="00961EF3">
        <w:rPr>
          <w:b/>
          <w:bCs/>
          <w:vertAlign w:val="subscript"/>
          <w:lang w:val="fr-FR"/>
        </w:rPr>
        <w:t>crs,rep</w:t>
      </w:r>
      <w:bookmarkEnd w:id="2"/>
      <w:proofErr w:type="spellEnd"/>
      <w:r w:rsidRPr="00961EF3">
        <w:rPr>
          <w:vertAlign w:val="subscript"/>
          <w:lang w:val="fr-FR"/>
        </w:rPr>
        <w:t> </w:t>
      </w:r>
      <w:r w:rsidR="00C66869" w:rsidRPr="00C66869">
        <w:rPr>
          <w:lang w:val="fr-FR"/>
        </w:rPr>
        <w:t>.</w:t>
      </w:r>
      <w:r>
        <w:rPr>
          <w:lang w:val="fr-FR"/>
        </w:rPr>
        <w:t>»</w:t>
      </w:r>
      <w:r w:rsidR="00C66869" w:rsidRPr="00C66869">
        <w:rPr>
          <w:lang w:val="fr-FR"/>
        </w:rPr>
        <w:t>.</w:t>
      </w:r>
    </w:p>
    <w:p w14:paraId="2BF19108" w14:textId="7B245662" w:rsidR="00FF6BFA" w:rsidRPr="00665F3B" w:rsidRDefault="00FF6BFA" w:rsidP="00FF6BFA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665F3B">
        <w:rPr>
          <w:b w:val="0"/>
          <w:i/>
          <w:iCs/>
          <w:sz w:val="20"/>
          <w:lang w:val="fr-FR"/>
        </w:rPr>
        <w:t>Appendice 2, paragraphe 3</w:t>
      </w:r>
      <w:r w:rsidR="00C66869" w:rsidRPr="00C66869">
        <w:rPr>
          <w:b w:val="0"/>
          <w:i/>
          <w:iCs/>
          <w:sz w:val="20"/>
          <w:lang w:val="fr-FR"/>
        </w:rPr>
        <w:t>.</w:t>
      </w:r>
      <w:r w:rsidRPr="00665F3B">
        <w:rPr>
          <w:b w:val="0"/>
          <w:i/>
          <w:iCs/>
          <w:sz w:val="20"/>
          <w:lang w:val="fr-FR"/>
        </w:rPr>
        <w:t>3</w:t>
      </w:r>
      <w:r w:rsidR="00C66869" w:rsidRPr="00C66869">
        <w:rPr>
          <w:b w:val="0"/>
          <w:i/>
          <w:iCs/>
          <w:sz w:val="20"/>
          <w:lang w:val="fr-FR"/>
        </w:rPr>
        <w:t>.</w:t>
      </w:r>
      <w:r w:rsidRPr="00665F3B">
        <w:rPr>
          <w:b w:val="0"/>
          <w:i/>
          <w:iCs/>
          <w:sz w:val="20"/>
          <w:lang w:val="fr-FR"/>
        </w:rPr>
        <w:t>4</w:t>
      </w:r>
      <w:r w:rsidRPr="00665F3B">
        <w:rPr>
          <w:b w:val="0"/>
          <w:sz w:val="20"/>
          <w:lang w:val="fr-FR"/>
        </w:rPr>
        <w:t>, lire :</w:t>
      </w:r>
    </w:p>
    <w:p w14:paraId="33BB7D1B" w14:textId="7312F03C" w:rsidR="00FF6BFA" w:rsidRPr="00100130" w:rsidRDefault="00FF6BFA" w:rsidP="00124FE7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Pr="00665F3B">
        <w:rPr>
          <w:lang w:val="fr-FR"/>
        </w:rPr>
        <w:t>3</w:t>
      </w:r>
      <w:r w:rsidR="00C66869" w:rsidRPr="00C66869">
        <w:rPr>
          <w:lang w:val="fr-FR"/>
        </w:rPr>
        <w:t>.</w:t>
      </w:r>
      <w:r w:rsidRPr="00665F3B">
        <w:rPr>
          <w:lang w:val="fr-FR"/>
        </w:rPr>
        <w:t>3</w:t>
      </w:r>
      <w:r w:rsidR="00C66869" w:rsidRPr="00C66869">
        <w:rPr>
          <w:lang w:val="fr-FR"/>
        </w:rPr>
        <w:t>.</w:t>
      </w:r>
      <w:r w:rsidRPr="00665F3B">
        <w:rPr>
          <w:lang w:val="fr-FR"/>
        </w:rPr>
        <w:t>4</w:t>
      </w:r>
      <w:r w:rsidR="00124FE7">
        <w:rPr>
          <w:lang w:val="fr-FR"/>
        </w:rPr>
        <w:tab/>
      </w:r>
      <w:r w:rsidRPr="00665F3B">
        <w:rPr>
          <w:lang w:val="fr-FR"/>
        </w:rPr>
        <w:t xml:space="preserve">Pour chaque rapport, chaque essai et chaque côté du véhicule, extraire la composante groupe motopropulseur </w:t>
      </w:r>
      <w:proofErr w:type="spellStart"/>
      <w:r w:rsidRPr="00665F3B">
        <w:rPr>
          <w:lang w:val="fr-FR"/>
        </w:rPr>
        <w:t>L</w:t>
      </w:r>
      <w:r w:rsidRPr="00665F3B">
        <w:rPr>
          <w:vertAlign w:val="subscript"/>
          <w:lang w:val="fr-FR"/>
        </w:rPr>
        <w:t>PT,wot,j</w:t>
      </w:r>
      <w:proofErr w:type="spellEnd"/>
      <w:r w:rsidRPr="00665F3B">
        <w:rPr>
          <w:vertAlign w:val="subscript"/>
          <w:lang w:val="fr-FR"/>
        </w:rPr>
        <w:t xml:space="preserve"> </w:t>
      </w:r>
      <w:r w:rsidRPr="00665F3B">
        <w:rPr>
          <w:lang w:val="fr-FR"/>
        </w:rPr>
        <w:t xml:space="preserve">de la valeur </w:t>
      </w:r>
      <w:proofErr w:type="spellStart"/>
      <w:r w:rsidRPr="00665F3B">
        <w:rPr>
          <w:lang w:val="fr-FR"/>
        </w:rPr>
        <w:t>L</w:t>
      </w:r>
      <w:r w:rsidRPr="00665F3B">
        <w:rPr>
          <w:vertAlign w:val="subscript"/>
          <w:lang w:val="fr-FR"/>
        </w:rPr>
        <w:t>wot,j</w:t>
      </w:r>
      <w:proofErr w:type="spellEnd"/>
      <w:r w:rsidRPr="00665F3B">
        <w:rPr>
          <w:vertAlign w:val="subscript"/>
          <w:lang w:val="fr-FR"/>
        </w:rPr>
        <w:t xml:space="preserve"> </w:t>
      </w:r>
      <w:r w:rsidRPr="00665F3B">
        <w:rPr>
          <w:lang w:val="fr-FR"/>
        </w:rPr>
        <w:t>relevée pour l</w:t>
      </w:r>
      <w:r w:rsidRPr="00124FE7">
        <w:rPr>
          <w:bCs/>
          <w:lang w:val="fr-FR"/>
        </w:rPr>
        <w:t>’</w:t>
      </w:r>
      <w:r w:rsidRPr="00665F3B">
        <w:rPr>
          <w:lang w:val="fr-FR"/>
        </w:rPr>
        <w:t>essai d</w:t>
      </w:r>
      <w:r w:rsidRPr="00124FE7">
        <w:rPr>
          <w:bCs/>
          <w:lang w:val="fr-FR"/>
        </w:rPr>
        <w:t>’</w:t>
      </w:r>
      <w:r w:rsidRPr="00665F3B">
        <w:rPr>
          <w:lang w:val="fr-FR"/>
        </w:rPr>
        <w:t>accélération, comme suit :</w:t>
      </w:r>
    </w:p>
    <w:p w14:paraId="3ABB4116" w14:textId="77777777" w:rsidR="00FF6BFA" w:rsidRPr="007D1161" w:rsidRDefault="00FF6BFA" w:rsidP="00FF6BFA">
      <w:pPr>
        <w:keepLines/>
        <w:spacing w:after="120"/>
        <w:ind w:left="2268" w:right="1134"/>
        <w:jc w:val="both"/>
        <w:rPr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w:bookmarkStart w:id="3" w:name="_Hlk107828036"/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TR,wot,j,ϑ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lang w:val="en-GB"/>
                            </w:rPr>
                            <m:t>wot</m:t>
                          </m:r>
                        </m:sub>
                      </m:sSub>
                      <w:bookmarkEnd w:id="3"/>
                    </m:sup>
                  </m:sSup>
                </m:e>
              </m:d>
            </m:e>
          </m:func>
        </m:oMath>
      </m:oMathPara>
    </w:p>
    <w:p w14:paraId="3CBCBF63" w14:textId="77777777" w:rsidR="00FF6BFA" w:rsidRPr="007D1161" w:rsidRDefault="00FF6BFA" w:rsidP="00FF6BFA">
      <w:pPr>
        <w:keepLines/>
        <w:spacing w:after="120"/>
        <w:ind w:left="2268" w:right="1134"/>
        <w:jc w:val="both"/>
      </w:pPr>
      <w:r>
        <w:rPr>
          <w:lang w:val="fr-FR"/>
        </w:rPr>
        <w:lastRenderedPageBreak/>
        <w:t xml:space="preserve">Si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TR,wot,j,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ϑ</m:t>
            </m:r>
            <m:r>
              <m:rPr>
                <m:sty m:val="p"/>
              </m:rPr>
              <w:rPr>
                <w:rFonts w:ascii="Cambria Math" w:hAnsi="Cambria Math"/>
                <w:position w:val="-4"/>
              </w:rPr>
              <m:t>wot</m:t>
            </m:r>
          </m:sub>
        </m:sSub>
      </m:oMath>
      <w:r>
        <w:rPr>
          <w:lang w:val="fr-FR"/>
        </w:rPr>
        <w:t xml:space="preserve"> est supérieur à L</w:t>
      </w:r>
      <w:proofErr w:type="spellStart"/>
      <w:r w:rsidRPr="00665F3B">
        <w:rPr>
          <w:vertAlign w:val="subscript"/>
          <w:lang w:val="fr-FR"/>
        </w:rPr>
        <w:t>wot,j</w:t>
      </w:r>
      <w:proofErr w:type="spellEnd"/>
      <w:r w:rsidRPr="00665F3B">
        <w:rPr>
          <w:vertAlign w:val="subscript"/>
          <w:lang w:val="fr-FR"/>
        </w:rPr>
        <w:t xml:space="preserve"> </w:t>
      </w:r>
      <w:r>
        <w:rPr>
          <w:lang w:val="fr-FR"/>
        </w:rPr>
        <w:t xml:space="preserve">: </w:t>
      </w:r>
    </w:p>
    <w:p w14:paraId="3006FD00" w14:textId="52011BB1" w:rsidR="00FF6BFA" w:rsidRPr="007D1161" w:rsidRDefault="00FF6BFA" w:rsidP="00FF6BFA">
      <w:pPr>
        <w:pStyle w:val="Paragraphedeliste"/>
        <w:keepNext/>
        <w:keepLines/>
        <w:spacing w:after="120"/>
        <w:ind w:left="2835" w:right="1134" w:hanging="567"/>
        <w:contextualSpacing w:val="0"/>
        <w:jc w:val="both"/>
      </w:pPr>
      <w:r w:rsidRPr="007D1161">
        <w:rPr>
          <w:b/>
          <w:bCs/>
        </w:rPr>
        <w:t>a)</w:t>
      </w:r>
      <w:r w:rsidRPr="007D1161">
        <w:rPr>
          <w:b/>
          <w:bCs/>
        </w:rPr>
        <w:tab/>
      </w:r>
      <w:r w:rsidR="00124FE7">
        <w:rPr>
          <w:lang w:val="fr-FR"/>
        </w:rPr>
        <w:t>L</w:t>
      </w:r>
      <w:r w:rsidRPr="00961EF3">
        <w:rPr>
          <w:lang w:val="fr-FR"/>
        </w:rPr>
        <w:t xml:space="preserve">a composante groupe motopropulseur </w:t>
      </w:r>
      <w:proofErr w:type="spellStart"/>
      <w:r w:rsidRPr="00961EF3">
        <w:rPr>
          <w:lang w:val="fr-FR"/>
        </w:rPr>
        <w:t>LPT,</w:t>
      </w:r>
      <w:r w:rsidRPr="00961EF3">
        <w:rPr>
          <w:vertAlign w:val="subscript"/>
          <w:lang w:val="fr-FR"/>
        </w:rPr>
        <w:t>wot,j</w:t>
      </w:r>
      <w:proofErr w:type="spellEnd"/>
      <w:r w:rsidRPr="00961EF3">
        <w:rPr>
          <w:lang w:val="fr-FR"/>
        </w:rPr>
        <w:t xml:space="preserve"> est déterminée comme suit : </w:t>
      </w:r>
    </w:p>
    <w:p w14:paraId="1724C025" w14:textId="77777777" w:rsidR="00FF6BFA" w:rsidRPr="00D4695B" w:rsidRDefault="00FF6BFA" w:rsidP="00FF6BFA">
      <w:pPr>
        <w:keepLines/>
        <w:spacing w:after="120"/>
        <w:ind w:left="2835" w:right="1134"/>
        <w:jc w:val="both"/>
        <w:rPr>
          <w:b/>
          <w:bCs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77EC086E" w14:textId="2B759258" w:rsidR="00FF6BFA" w:rsidRDefault="00FF6BFA" w:rsidP="00FF6BFA">
      <w:pPr>
        <w:pStyle w:val="Paragraphedeliste"/>
        <w:keepNext/>
        <w:keepLines/>
        <w:spacing w:after="120"/>
        <w:ind w:left="2835" w:right="1134" w:hanging="567"/>
        <w:contextualSpacing w:val="0"/>
        <w:jc w:val="both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</w:r>
      <w:r w:rsidR="00124FE7">
        <w:rPr>
          <w:b/>
          <w:bCs/>
          <w:lang w:val="fr-FR"/>
        </w:rPr>
        <w:t>L</w:t>
      </w:r>
      <w:r>
        <w:rPr>
          <w:b/>
          <w:bCs/>
          <w:lang w:val="fr-FR"/>
        </w:rPr>
        <w:t xml:space="preserve">a composante pneumatique </w:t>
      </w:r>
      <w:proofErr w:type="spellStart"/>
      <w:r>
        <w:rPr>
          <w:b/>
          <w:bCs/>
          <w:lang w:val="fr-FR"/>
        </w:rPr>
        <w:t>L</w:t>
      </w:r>
      <w:r w:rsidRPr="00665F3B">
        <w:rPr>
          <w:b/>
          <w:bCs/>
          <w:vertAlign w:val="subscript"/>
          <w:lang w:val="fr-FR"/>
        </w:rPr>
        <w:t>TR,wot,j,ϑ</w:t>
      </w:r>
      <w:r>
        <w:rPr>
          <w:b/>
          <w:bCs/>
          <w:vertAlign w:val="subscript"/>
          <w:lang w:val="fr-FR"/>
        </w:rPr>
        <w:t>_</w:t>
      </w:r>
      <w:r w:rsidRPr="00665F3B">
        <w:rPr>
          <w:b/>
          <w:bCs/>
          <w:vertAlign w:val="subscript"/>
          <w:lang w:val="fr-FR"/>
        </w:rPr>
        <w:t>ref</w:t>
      </w:r>
      <w:proofErr w:type="spellEnd"/>
      <w:r w:rsidRPr="00665F3B">
        <w:rPr>
          <w:b/>
          <w:bCs/>
          <w:vertAlign w:val="subscript"/>
          <w:lang w:val="fr-FR"/>
        </w:rPr>
        <w:t xml:space="preserve"> </w:t>
      </w:r>
      <w:r>
        <w:rPr>
          <w:b/>
          <w:bCs/>
          <w:lang w:val="fr-FR"/>
        </w:rPr>
        <w:t>est déterminée comme suit :</w:t>
      </w:r>
      <w:r>
        <w:rPr>
          <w:lang w:val="fr-FR"/>
        </w:rPr>
        <w:t xml:space="preserve"> </w:t>
      </w:r>
    </w:p>
    <w:p w14:paraId="350C5E9F" w14:textId="17974463" w:rsidR="00FF6BFA" w:rsidRPr="00FE1336" w:rsidRDefault="00FF6BFA" w:rsidP="00FF6BFA">
      <w:pPr>
        <w:keepLines/>
        <w:spacing w:after="120"/>
        <w:ind w:left="2835" w:right="1134"/>
        <w:jc w:val="both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lang w:val="en-GB"/>
              </w:rPr>
              <m:t>wot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lang w:val="en-GB"/>
              </w:rPr>
              <m:t>j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w:bookmarkStart w:id="4" w:name="_Hlk103766364"/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w:bookmarkEnd w:id="4"/>
          </m:sub>
        </m:sSub>
        <m:r>
          <m:rPr>
            <m:sty m:val="b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b"/>
              </m:rPr>
              <w:rPr>
                <w:rFonts w:ascii="Cambria Math" w:hAnsi="Cambria Math"/>
                <w:lang w:val="en-GB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  <w:position w:val="-4"/>
                <w:lang w:val="en-GB"/>
              </w:rPr>
              <m:t>TR</m:t>
            </m:r>
            <m:r>
              <m:rPr>
                <m:sty m:val="b"/>
              </m:rPr>
              <w:rPr>
                <w:rFonts w:ascii="Cambria Math" w:hAnsi="Cambria Math"/>
                <w:position w:val="-4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position w:val="-4"/>
                <w:lang w:val="en-GB"/>
              </w:rPr>
              <m:t>ref</m:t>
            </m:r>
          </m:sub>
        </m:sSub>
      </m:oMath>
      <w:r>
        <w:rPr>
          <w:lang w:val="fr-FR"/>
        </w:rPr>
        <w:t xml:space="preserve"> </w:t>
      </w:r>
      <w:r w:rsidR="00C66869" w:rsidRPr="00C66869">
        <w:rPr>
          <w:sz w:val="24"/>
          <w:szCs w:val="24"/>
          <w:vertAlign w:val="subscript"/>
          <w:lang w:val="fr-FR"/>
        </w:rPr>
        <w:t>.</w:t>
      </w:r>
      <w:r w:rsidRPr="00931CD0">
        <w:rPr>
          <w:sz w:val="24"/>
          <w:szCs w:val="24"/>
          <w:vertAlign w:val="subscript"/>
          <w:lang w:val="fr-FR"/>
        </w:rPr>
        <w:t>»</w:t>
      </w:r>
      <w:r w:rsidR="00C66869" w:rsidRPr="00C66869">
        <w:rPr>
          <w:sz w:val="24"/>
          <w:szCs w:val="24"/>
          <w:vertAlign w:val="subscript"/>
          <w:lang w:val="fr-FR"/>
        </w:rPr>
        <w:t>.</w:t>
      </w:r>
      <w:r>
        <w:rPr>
          <w:lang w:val="fr-FR"/>
        </w:rPr>
        <w:t> </w:t>
      </w:r>
    </w:p>
    <w:p w14:paraId="3696BA93" w14:textId="7A0542DD" w:rsidR="00FF6BFA" w:rsidRPr="0016280F" w:rsidRDefault="00FF6BFA" w:rsidP="00FF6BFA">
      <w:pPr>
        <w:pStyle w:val="HChG"/>
        <w:rPr>
          <w:szCs w:val="28"/>
        </w:rPr>
      </w:pPr>
      <w:r>
        <w:rPr>
          <w:lang w:val="fr-FR"/>
        </w:rPr>
        <w:tab/>
      </w:r>
      <w:r>
        <w:rPr>
          <w:lang w:val="fr-FR"/>
        </w:rPr>
        <w:t>II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 xml:space="preserve">Justification </w:t>
      </w:r>
    </w:p>
    <w:p w14:paraId="4F8077D0" w14:textId="7A84A3DD" w:rsidR="00FF6BFA" w:rsidRPr="00E8532D" w:rsidRDefault="00FF6BFA" w:rsidP="00FF6BFA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Généralités</w:t>
      </w:r>
    </w:p>
    <w:p w14:paraId="0E813B4F" w14:textId="171E9257" w:rsidR="00FF6BFA" w:rsidRDefault="00FF6BFA" w:rsidP="00FF6BFA">
      <w:pPr>
        <w:pStyle w:val="SingleTxtG"/>
      </w:pPr>
      <w:r>
        <w:rPr>
          <w:lang w:val="fr-FR"/>
        </w:rPr>
        <w:t>1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>La correction en fonction de la température figurant d</w:t>
      </w:r>
      <w:r w:rsidRPr="00932AAD">
        <w:rPr>
          <w:lang w:val="fr-FR"/>
        </w:rPr>
        <w:t xml:space="preserve">ans le complément 7 </w:t>
      </w:r>
      <w:r>
        <w:rPr>
          <w:lang w:val="fr-FR"/>
        </w:rPr>
        <w:t>est fondée sur le comportement sonore des véhicules à moteur à combustion interne (MCI)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En raison du bruit émis par le groupe motopropulseur, les émissions sonores de ces véhicules sont toujours plus élevées en phase d’accélération que lorsqu’ils se déplacent à vitesse constante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</w:t>
      </w:r>
    </w:p>
    <w:p w14:paraId="0ECD09E3" w14:textId="6F6FD522" w:rsidR="00FF6BFA" w:rsidRPr="00B65D67" w:rsidRDefault="00FF6BFA" w:rsidP="00FF6BFA">
      <w:pPr>
        <w:pStyle w:val="SingleTxtG"/>
      </w:pPr>
      <w:r>
        <w:rPr>
          <w:lang w:val="fr-FR"/>
        </w:rPr>
        <w:t>2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 xml:space="preserve">Pour les véhicules électriques à batterie (VEB), c’est le bruit de roulement qui constitue la principale </w:t>
      </w:r>
      <w:r w:rsidRPr="00384AE6">
        <w:rPr>
          <w:lang w:val="fr-FR"/>
        </w:rPr>
        <w:t xml:space="preserve">source </w:t>
      </w:r>
      <w:r>
        <w:rPr>
          <w:lang w:val="fr-FR"/>
        </w:rPr>
        <w:t>sonore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De ce fait, les émissions sonores peuvent être plus élevées en marche à vitesse constante qu’en phase d’accélération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Dans ce cas, la correction en fonction de la température ambiante est inexacte et entraîne une contrainte supplémentaire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</w:t>
      </w:r>
    </w:p>
    <w:p w14:paraId="6B01082D" w14:textId="0782CB93" w:rsidR="00FF6BFA" w:rsidRDefault="00FF6BFA" w:rsidP="00FF6BFA">
      <w:pPr>
        <w:pStyle w:val="SingleTxtG"/>
      </w:pPr>
      <w:r>
        <w:rPr>
          <w:lang w:val="fr-FR"/>
        </w:rPr>
        <w:t>3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 xml:space="preserve">Étant donné que la norme ISO 362, qui décrit la méthode de mesure utilisée par le Règlement ONU </w:t>
      </w:r>
      <w:r w:rsidR="00124FE7" w:rsidRPr="00124FE7">
        <w:rPr>
          <w:rFonts w:eastAsia="MS Mincho"/>
          <w:lang w:val="fr-FR"/>
        </w:rPr>
        <w:t>n</w:t>
      </w:r>
      <w:r w:rsidR="00124FE7" w:rsidRPr="00124FE7">
        <w:rPr>
          <w:rFonts w:eastAsia="MS Mincho"/>
          <w:vertAlign w:val="superscript"/>
          <w:lang w:val="fr-FR"/>
        </w:rPr>
        <w:t>o</w:t>
      </w:r>
      <w:r w:rsidR="00124FE7">
        <w:rPr>
          <w:lang w:val="fr-FR"/>
        </w:rPr>
        <w:t> </w:t>
      </w:r>
      <w:r>
        <w:rPr>
          <w:lang w:val="fr-FR"/>
        </w:rPr>
        <w:t>51, est fondée sur le fonctionnement des véhicules à moteur à combustion interne, il convient de l’adapter aux véhicules électriques à batterie, notamment dans ce cas précis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Les travaux menés dans ce domaine aboutiront probablement à une nouvelle série d’amendements au Règlement</w:t>
      </w:r>
      <w:r w:rsidR="00C66869" w:rsidRPr="00C66869">
        <w:rPr>
          <w:lang w:val="fr-FR"/>
        </w:rPr>
        <w:t>.</w:t>
      </w:r>
    </w:p>
    <w:p w14:paraId="21A3A7D3" w14:textId="11BB6295" w:rsidR="00FF6BFA" w:rsidRDefault="00FF6BFA" w:rsidP="00FF6BFA">
      <w:pPr>
        <w:pStyle w:val="SingleTxtG"/>
      </w:pPr>
      <w:r>
        <w:rPr>
          <w:lang w:val="fr-FR"/>
        </w:rPr>
        <w:t>4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>Dans l’intervalle, le complément 8 réduira la contrainte supplémentaire imposée aux VEB s’agissant des limites de la phase III, qui entrera en vigueur le 1</w:t>
      </w:r>
      <w:r w:rsidRPr="005F7FB2">
        <w:rPr>
          <w:vertAlign w:val="superscript"/>
          <w:lang w:val="fr-FR"/>
        </w:rPr>
        <w:t>er</w:t>
      </w:r>
      <w:r>
        <w:rPr>
          <w:lang w:val="fr-FR"/>
        </w:rPr>
        <w:t xml:space="preserve"> juillet 2024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</w:t>
      </w:r>
    </w:p>
    <w:p w14:paraId="1E6A1EB3" w14:textId="43511C21" w:rsidR="00FF6BFA" w:rsidRPr="00E8532D" w:rsidRDefault="00FF6BFA" w:rsidP="00FF6BFA">
      <w:pPr>
        <w:spacing w:after="120"/>
        <w:ind w:left="1134" w:right="1134"/>
        <w:jc w:val="both"/>
        <w:rPr>
          <w:i/>
          <w:iCs/>
        </w:rPr>
      </w:pPr>
      <w:r>
        <w:rPr>
          <w:lang w:val="fr-FR"/>
        </w:rPr>
        <w:tab/>
      </w:r>
      <w:r>
        <w:rPr>
          <w:i/>
          <w:iCs/>
          <w:lang w:val="fr-FR"/>
        </w:rPr>
        <w:t>Annexe 3, paragraphe 3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</w:p>
    <w:p w14:paraId="682872B8" w14:textId="7727F218" w:rsidR="00FF6BFA" w:rsidRDefault="00FF6BFA" w:rsidP="00FF6BFA">
      <w:pPr>
        <w:pStyle w:val="SingleTxtG"/>
      </w:pPr>
      <w:r>
        <w:rPr>
          <w:lang w:val="fr-FR"/>
        </w:rPr>
        <w:t>5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>D</w:t>
      </w:r>
      <w:r w:rsidRPr="0082683B">
        <w:rPr>
          <w:lang w:val="fr-FR"/>
        </w:rPr>
        <w:t>ans le complément</w:t>
      </w:r>
      <w:r w:rsidR="00124FE7">
        <w:rPr>
          <w:lang w:val="fr-FR"/>
        </w:rPr>
        <w:t> </w:t>
      </w:r>
      <w:r w:rsidRPr="0082683B">
        <w:rPr>
          <w:lang w:val="fr-FR"/>
        </w:rPr>
        <w:t>7</w:t>
      </w:r>
      <w:r>
        <w:rPr>
          <w:lang w:val="fr-FR"/>
        </w:rPr>
        <w:t xml:space="preserve">, la définition de la puissance nette maximale, </w:t>
      </w:r>
      <w:proofErr w:type="spellStart"/>
      <w:r>
        <w:rPr>
          <w:lang w:val="fr-FR"/>
        </w:rPr>
        <w:t>P</w:t>
      </w:r>
      <w:r w:rsidRPr="0082683B">
        <w:rPr>
          <w:vertAlign w:val="subscript"/>
          <w:lang w:val="fr-FR"/>
        </w:rPr>
        <w:t>n</w:t>
      </w:r>
      <w:proofErr w:type="spellEnd"/>
      <w:r>
        <w:rPr>
          <w:lang w:val="fr-FR"/>
        </w:rPr>
        <w:t>, au paragraphe</w:t>
      </w:r>
      <w:r w:rsidR="00124FE7">
        <w:rPr>
          <w:lang w:val="fr-FR"/>
        </w:rPr>
        <w:t> </w:t>
      </w:r>
      <w:r>
        <w:rPr>
          <w:lang w:val="fr-FR"/>
        </w:rPr>
        <w:t>2</w:t>
      </w:r>
      <w:r w:rsidR="00C66869" w:rsidRPr="00C66869">
        <w:rPr>
          <w:lang w:val="fr-FR"/>
        </w:rPr>
        <w:t>.</w:t>
      </w:r>
      <w:r>
        <w:rPr>
          <w:lang w:val="fr-FR"/>
        </w:rPr>
        <w:t>8, a été adaptée pour plus de clarté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Il est donc proposé de modifier le texte de la définition du rapport puissance/masse (PMR) afin de prendre en compte cet ajustement</w:t>
      </w:r>
      <w:r w:rsidR="00C66869" w:rsidRPr="00C66869">
        <w:rPr>
          <w:lang w:val="fr-FR"/>
        </w:rPr>
        <w:t>.</w:t>
      </w:r>
    </w:p>
    <w:p w14:paraId="72C5F7CC" w14:textId="1D707C65" w:rsidR="00FF6BFA" w:rsidRPr="00E8532D" w:rsidRDefault="00FF6BFA" w:rsidP="00FF6BFA">
      <w:pPr>
        <w:spacing w:after="120"/>
        <w:ind w:left="1134" w:right="1134"/>
        <w:jc w:val="both"/>
      </w:pPr>
      <w:r>
        <w:rPr>
          <w:lang w:val="fr-FR"/>
        </w:rPr>
        <w:tab/>
      </w:r>
      <w:r>
        <w:rPr>
          <w:i/>
          <w:iCs/>
          <w:lang w:val="fr-FR"/>
        </w:rPr>
        <w:t>Annexe 3, paragraphe 3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 </w:t>
      </w:r>
    </w:p>
    <w:p w14:paraId="7FCD22F2" w14:textId="4588BB3C" w:rsidR="00FF6BFA" w:rsidRPr="00E25FF7" w:rsidRDefault="00FF6BFA" w:rsidP="00FF6BFA">
      <w:pPr>
        <w:pStyle w:val="Paragraphedeliste"/>
        <w:spacing w:after="120"/>
        <w:ind w:left="1134" w:right="1134"/>
        <w:contextualSpacing w:val="0"/>
        <w:jc w:val="both"/>
      </w:pPr>
      <w:r>
        <w:rPr>
          <w:lang w:val="fr-FR"/>
        </w:rPr>
        <w:t>6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 xml:space="preserve">Pour éviter toute confusion concernant la valeur de </w:t>
      </w:r>
      <w:proofErr w:type="spellStart"/>
      <w:r>
        <w:rPr>
          <w:lang w:val="fr-FR"/>
        </w:rPr>
        <w:t>L</w:t>
      </w:r>
      <w:r w:rsidRPr="00665F3B">
        <w:rPr>
          <w:vertAlign w:val="subscript"/>
          <w:lang w:val="fr-FR"/>
        </w:rPr>
        <w:t>urban</w:t>
      </w:r>
      <w:proofErr w:type="spellEnd"/>
      <w:r>
        <w:rPr>
          <w:lang w:val="fr-FR"/>
        </w:rPr>
        <w:t xml:space="preserve">, laquelle peut être inférieure à </w:t>
      </w:r>
      <w:proofErr w:type="spellStart"/>
      <w:r>
        <w:rPr>
          <w:lang w:val="fr-FR"/>
        </w:rPr>
        <w:t>L</w:t>
      </w:r>
      <w:r w:rsidRPr="0082683B">
        <w:rPr>
          <w:vertAlign w:val="subscript"/>
          <w:lang w:val="fr-FR"/>
        </w:rPr>
        <w:t>crs</w:t>
      </w:r>
      <w:proofErr w:type="spellEnd"/>
      <w:r>
        <w:rPr>
          <w:lang w:val="fr-FR"/>
        </w:rPr>
        <w:t xml:space="preserve"> dans ce cas particulier, </w:t>
      </w:r>
      <w:proofErr w:type="spellStart"/>
      <w:r>
        <w:rPr>
          <w:lang w:val="fr-FR"/>
        </w:rPr>
        <w:t>L</w:t>
      </w:r>
      <w:r w:rsidRPr="0082683B">
        <w:rPr>
          <w:vertAlign w:val="subscript"/>
          <w:lang w:val="fr-FR"/>
        </w:rPr>
        <w:t>urban</w:t>
      </w:r>
      <w:proofErr w:type="spellEnd"/>
      <w:r>
        <w:rPr>
          <w:lang w:val="fr-FR"/>
        </w:rPr>
        <w:t xml:space="preserve"> est calculée sur la base de </w:t>
      </w:r>
      <w:proofErr w:type="spellStart"/>
      <w:r>
        <w:rPr>
          <w:lang w:val="fr-FR"/>
        </w:rPr>
        <w:t>L</w:t>
      </w:r>
      <w:r w:rsidRPr="00665F3B">
        <w:rPr>
          <w:vertAlign w:val="subscript"/>
          <w:lang w:val="fr-FR"/>
        </w:rPr>
        <w:t>crs</w:t>
      </w:r>
      <w:proofErr w:type="spellEnd"/>
      <w:r>
        <w:rPr>
          <w:lang w:val="fr-FR"/>
        </w:rPr>
        <w:t>, comme le montre le schéma ci-dessous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</w:t>
      </w:r>
    </w:p>
    <w:p w14:paraId="7BC29EA3" w14:textId="470C91C0" w:rsidR="00FF6BFA" w:rsidRPr="00395C24" w:rsidRDefault="00124FE7" w:rsidP="00124FE7">
      <w:pPr>
        <w:pStyle w:val="SingleTxtG"/>
        <w:spacing w:after="240"/>
        <w:rPr>
          <w:lang w:val="en-US"/>
        </w:rPr>
      </w:pPr>
      <w:r>
        <w:rPr>
          <w:noProof/>
        </w:rPr>
        <w:drawing>
          <wp:inline distT="0" distB="0" distL="0" distR="0" wp14:anchorId="48404D43" wp14:editId="34D82683">
            <wp:extent cx="4782384" cy="2647507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9790" cy="26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7D7B" w14:textId="4DDFEB03" w:rsidR="00FF6BFA" w:rsidRPr="00E8532D" w:rsidRDefault="00FF6BFA" w:rsidP="00FF6BFA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  <w:lang w:val="fr-FR"/>
        </w:rPr>
        <w:lastRenderedPageBreak/>
        <w:t>Annexe 3, appendice 2, paragraphe 3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 w:rsidR="00C66869" w:rsidRPr="00C66869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</w:p>
    <w:p w14:paraId="260FA619" w14:textId="35BAB72E" w:rsidR="00FF6BFA" w:rsidRDefault="00FF6BFA" w:rsidP="00FF6BFA">
      <w:pPr>
        <w:pStyle w:val="SingleTxtG"/>
        <w:rPr>
          <w:lang w:val="fr-FR"/>
        </w:rPr>
      </w:pPr>
      <w:r>
        <w:rPr>
          <w:lang w:val="fr-FR"/>
        </w:rPr>
        <w:t>7</w:t>
      </w:r>
      <w:r w:rsidR="00C66869" w:rsidRPr="00C66869">
        <w:rPr>
          <w:lang w:val="fr-FR"/>
        </w:rPr>
        <w:t>.</w:t>
      </w:r>
      <w:r>
        <w:rPr>
          <w:lang w:val="fr-FR"/>
        </w:rPr>
        <w:tab/>
        <w:t xml:space="preserve">Étant donné que la principale contrainte est imputable à une correction incorrecte du bruit de roulement </w:t>
      </w:r>
      <w:proofErr w:type="spellStart"/>
      <w:r>
        <w:rPr>
          <w:lang w:val="fr-FR"/>
        </w:rPr>
        <w:t>L</w:t>
      </w:r>
      <w:r w:rsidRPr="00665F3B">
        <w:rPr>
          <w:vertAlign w:val="subscript"/>
          <w:lang w:val="fr-FR"/>
        </w:rPr>
        <w:t>TR,wot,j,ϑ</w:t>
      </w:r>
      <w:r w:rsidRPr="00E509CB">
        <w:rPr>
          <w:vertAlign w:val="subscript"/>
          <w:lang w:val="fr-FR"/>
        </w:rPr>
        <w:t>_ref</w:t>
      </w:r>
      <w:proofErr w:type="spellEnd"/>
      <w:r>
        <w:rPr>
          <w:lang w:val="fr-FR"/>
        </w:rPr>
        <w:t xml:space="preserve"> pour tenir compte de la vitesse, la correction en fonction de la vitesse requise par le paragraphe 3</w:t>
      </w:r>
      <w:r w:rsidR="00C66869" w:rsidRPr="00C66869">
        <w:rPr>
          <w:lang w:val="fr-FR"/>
        </w:rPr>
        <w:t>.</w:t>
      </w:r>
      <w:r>
        <w:rPr>
          <w:lang w:val="fr-FR"/>
        </w:rPr>
        <w:t>3</w:t>
      </w:r>
      <w:r w:rsidR="00C66869" w:rsidRPr="00C66869">
        <w:rPr>
          <w:lang w:val="fr-FR"/>
        </w:rPr>
        <w:t>.</w:t>
      </w:r>
      <w:r>
        <w:rPr>
          <w:lang w:val="fr-FR"/>
        </w:rPr>
        <w:t>1 de l’appendice 2 de l’annexe 3 ne s’applique pas dans ce cas particulier</w:t>
      </w:r>
      <w:r w:rsidR="00C66869" w:rsidRPr="00C66869">
        <w:rPr>
          <w:lang w:val="fr-FR"/>
        </w:rPr>
        <w:t>.</w:t>
      </w:r>
    </w:p>
    <w:p w14:paraId="2BFD8825" w14:textId="5373E404" w:rsidR="00FF6BFA" w:rsidRPr="00FF6BFA" w:rsidRDefault="00FF6BFA" w:rsidP="00FF6BFA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6BFA" w:rsidRPr="00FF6BFA" w:rsidSect="001E0DD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F3C2" w14:textId="77777777" w:rsidR="000D6184" w:rsidRDefault="000D6184" w:rsidP="00F95C08">
      <w:pPr>
        <w:spacing w:line="240" w:lineRule="auto"/>
      </w:pPr>
    </w:p>
  </w:endnote>
  <w:endnote w:type="continuationSeparator" w:id="0">
    <w:p w14:paraId="4C6840F4" w14:textId="77777777" w:rsidR="000D6184" w:rsidRPr="00AC3823" w:rsidRDefault="000D6184" w:rsidP="00AC3823">
      <w:pPr>
        <w:pStyle w:val="Pieddepage"/>
      </w:pPr>
    </w:p>
  </w:endnote>
  <w:endnote w:type="continuationNotice" w:id="1">
    <w:p w14:paraId="0A613A66" w14:textId="77777777" w:rsidR="000D6184" w:rsidRDefault="000D61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4D3" w14:textId="7245C86F" w:rsidR="001E0DD5" w:rsidRPr="001E0DD5" w:rsidRDefault="001E0DD5" w:rsidP="001E0DD5">
    <w:pPr>
      <w:pStyle w:val="Pieddepage"/>
      <w:tabs>
        <w:tab w:val="right" w:pos="9638"/>
      </w:tabs>
    </w:pPr>
    <w:r w:rsidRPr="001E0DD5">
      <w:rPr>
        <w:b/>
        <w:sz w:val="18"/>
      </w:rPr>
      <w:fldChar w:fldCharType="begin"/>
    </w:r>
    <w:r w:rsidRPr="001E0DD5">
      <w:rPr>
        <w:b/>
        <w:sz w:val="18"/>
      </w:rPr>
      <w:instrText xml:space="preserve"> PAGE  \* MERGEFORMAT </w:instrText>
    </w:r>
    <w:r w:rsidRPr="001E0DD5">
      <w:rPr>
        <w:b/>
        <w:sz w:val="18"/>
      </w:rPr>
      <w:fldChar w:fldCharType="separate"/>
    </w:r>
    <w:r w:rsidRPr="001E0DD5">
      <w:rPr>
        <w:b/>
        <w:noProof/>
        <w:sz w:val="18"/>
      </w:rPr>
      <w:t>2</w:t>
    </w:r>
    <w:r w:rsidRPr="001E0DD5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C66869" w:rsidRPr="00C66869">
      <w:t>.</w:t>
    </w:r>
    <w:r>
      <w:t>22-09279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0810" w14:textId="4F09FE4F" w:rsidR="001E0DD5" w:rsidRPr="001E0DD5" w:rsidRDefault="001E0DD5" w:rsidP="001E0DD5">
    <w:pPr>
      <w:pStyle w:val="Pieddepage"/>
      <w:tabs>
        <w:tab w:val="right" w:pos="9638"/>
      </w:tabs>
      <w:rPr>
        <w:b/>
        <w:sz w:val="18"/>
      </w:rPr>
    </w:pPr>
    <w:r>
      <w:t>GE</w:t>
    </w:r>
    <w:r w:rsidR="00C66869" w:rsidRPr="00C66869">
      <w:t>.</w:t>
    </w:r>
    <w:r>
      <w:t>22-09279</w:t>
    </w:r>
    <w:r>
      <w:tab/>
    </w:r>
    <w:r w:rsidRPr="001E0DD5">
      <w:rPr>
        <w:b/>
        <w:sz w:val="18"/>
      </w:rPr>
      <w:fldChar w:fldCharType="begin"/>
    </w:r>
    <w:r w:rsidRPr="001E0DD5">
      <w:rPr>
        <w:b/>
        <w:sz w:val="18"/>
      </w:rPr>
      <w:instrText xml:space="preserve"> PAGE  \* MERGEFORMAT </w:instrText>
    </w:r>
    <w:r w:rsidRPr="001E0DD5">
      <w:rPr>
        <w:b/>
        <w:sz w:val="18"/>
      </w:rPr>
      <w:fldChar w:fldCharType="separate"/>
    </w:r>
    <w:r w:rsidRPr="001E0DD5">
      <w:rPr>
        <w:b/>
        <w:noProof/>
        <w:sz w:val="18"/>
      </w:rPr>
      <w:t>3</w:t>
    </w:r>
    <w:r w:rsidRPr="001E0D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6A8" w14:textId="0EF3D9AB" w:rsidR="007F20FA" w:rsidRPr="001E0DD5" w:rsidRDefault="001E0DD5" w:rsidP="001E0DD5">
    <w:pPr>
      <w:pStyle w:val="Pieddepage"/>
      <w:spacing w:before="120"/>
      <w:rPr>
        <w:sz w:val="20"/>
      </w:rPr>
    </w:pPr>
    <w:r>
      <w:rPr>
        <w:sz w:val="20"/>
      </w:rPr>
      <w:t>GE</w:t>
    </w:r>
    <w:r w:rsidR="00C66869" w:rsidRPr="00C66869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06A8DFC" wp14:editId="5ABF567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22-09279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29E7DB" wp14:editId="1D020AB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180722    180722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5565" w14:textId="77777777" w:rsidR="000D6184" w:rsidRPr="00AC3823" w:rsidRDefault="000D61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69B103" w14:textId="77777777" w:rsidR="000D6184" w:rsidRPr="00AC3823" w:rsidRDefault="000D61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3522C7" w14:textId="77777777" w:rsidR="000D6184" w:rsidRPr="00AC3823" w:rsidRDefault="000D6184">
      <w:pPr>
        <w:spacing w:line="240" w:lineRule="auto"/>
        <w:rPr>
          <w:sz w:val="2"/>
          <w:szCs w:val="2"/>
        </w:rPr>
      </w:pPr>
    </w:p>
  </w:footnote>
  <w:footnote w:id="2">
    <w:p w14:paraId="2F776C5B" w14:textId="7E07051A" w:rsidR="00FF6BFA" w:rsidRPr="007E464F" w:rsidRDefault="00FF6BFA" w:rsidP="00FF6BFA">
      <w:pPr>
        <w:pStyle w:val="Notedebasdepage"/>
      </w:pPr>
      <w:r w:rsidRPr="00FF6BFA">
        <w:rPr>
          <w:sz w:val="20"/>
          <w:lang w:val="fr-FR"/>
        </w:rPr>
        <w:tab/>
        <w:t>*</w:t>
      </w:r>
      <w:r w:rsidRPr="00FF6BFA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20), par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20</w:t>
      </w:r>
      <w:r w:rsidR="00C66869" w:rsidRPr="00C66869">
        <w:rPr>
          <w:lang w:val="fr-FR"/>
        </w:rPr>
        <w:t>.</w:t>
      </w:r>
      <w:r>
        <w:rPr>
          <w:lang w:val="fr-FR"/>
        </w:rPr>
        <w:t>76), le Forum mondial a pour mission d’élaborer, d’harmoniser et de mettre à jour les Règlements ONU en vue d’améliorer les caractéristiques fonctionnelles des véhicules</w:t>
      </w:r>
      <w:r w:rsidR="00C66869" w:rsidRPr="00C66869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C66869" w:rsidRPr="00C66869">
        <w:rPr>
          <w:lang w:val="fr-FR"/>
        </w:rPr>
        <w:t>.</w:t>
      </w:r>
    </w:p>
    <w:p w14:paraId="1384B5E7" w14:textId="77777777" w:rsidR="00FF6BFA" w:rsidRPr="00E25FF7" w:rsidRDefault="00FF6BFA" w:rsidP="00FF6BF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1EC2" w14:textId="292D629B" w:rsidR="001E0DD5" w:rsidRPr="001E0DD5" w:rsidRDefault="001E0DD5">
    <w:pPr>
      <w:pStyle w:val="En-tte"/>
    </w:pPr>
    <w:fldSimple w:instr=" TITLE  \* MERGEFORMAT ">
      <w:r w:rsidR="00760D9F">
        <w:t>ECE/TRANS/WP.29/GRBP/2022/16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E4CA" w14:textId="4597BFAF" w:rsidR="001E0DD5" w:rsidRPr="001E0DD5" w:rsidRDefault="001E0DD5" w:rsidP="001E0DD5">
    <w:pPr>
      <w:pStyle w:val="En-tte"/>
      <w:jc w:val="right"/>
    </w:pPr>
    <w:fldSimple w:instr=" TITLE  \* MERGEFORMAT ">
      <w:r w:rsidR="00760D9F">
        <w:t>ECE/TRANS/WP.29/GRBP/2022/16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84"/>
    <w:rsid w:val="00017F94"/>
    <w:rsid w:val="00023842"/>
    <w:rsid w:val="000334F9"/>
    <w:rsid w:val="00045FEB"/>
    <w:rsid w:val="0007796D"/>
    <w:rsid w:val="000B7790"/>
    <w:rsid w:val="000D6184"/>
    <w:rsid w:val="00111F2F"/>
    <w:rsid w:val="00124FE7"/>
    <w:rsid w:val="0014365E"/>
    <w:rsid w:val="00143C66"/>
    <w:rsid w:val="00176178"/>
    <w:rsid w:val="001E0DD5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D70F7"/>
    <w:rsid w:val="0071601D"/>
    <w:rsid w:val="00760D9F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6869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D169A3"/>
  <w15:docId w15:val="{02EB884C-40F7-4F46-9C90-F4735E2A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FF6BF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F6BF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FF6BFA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713</Words>
  <Characters>4994</Characters>
  <Application>Microsoft Office Word</Application>
  <DocSecurity>0</DocSecurity>
  <Lines>416</Lines>
  <Paragraphs>228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ECE/TRANS/WP.29/GRBP/2022/16</dc:title>
  <dc:subject/>
  <dc:creator>Maud DARICHE</dc:creator>
  <cp:keywords/>
  <cp:lastModifiedBy>Maud Dariche</cp:lastModifiedBy>
  <cp:revision>3</cp:revision>
  <cp:lastPrinted>2022-07-18T11:57:00Z</cp:lastPrinted>
  <dcterms:created xsi:type="dcterms:W3CDTF">2022-07-18T11:57:00Z</dcterms:created>
  <dcterms:modified xsi:type="dcterms:W3CDTF">2022-07-18T11:57:00Z</dcterms:modified>
</cp:coreProperties>
</file>