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6ED778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6D166EE" w14:textId="77777777" w:rsidR="00F35BAF" w:rsidRPr="00DB58B5" w:rsidRDefault="00F35BAF" w:rsidP="003619C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66959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C85DFF5" w14:textId="0FFA717A" w:rsidR="00F35BAF" w:rsidRPr="00DB58B5" w:rsidRDefault="003619C0" w:rsidP="003619C0">
            <w:pPr>
              <w:jc w:val="right"/>
            </w:pPr>
            <w:r w:rsidRPr="003619C0">
              <w:rPr>
                <w:sz w:val="40"/>
              </w:rPr>
              <w:t>ECE</w:t>
            </w:r>
            <w:r>
              <w:t>/TRANS/WP.29/GRBP/2022/13</w:t>
            </w:r>
          </w:p>
        </w:tc>
      </w:tr>
      <w:tr w:rsidR="00F35BAF" w:rsidRPr="00DB58B5" w14:paraId="3C47E89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0F080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31FAFB0" wp14:editId="01A3D98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B3BEC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E3B507" w14:textId="77777777" w:rsidR="00F35BAF" w:rsidRDefault="003619C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3AB93DD" w14:textId="77777777" w:rsidR="003619C0" w:rsidRDefault="003619C0" w:rsidP="003619C0">
            <w:pPr>
              <w:spacing w:line="240" w:lineRule="exact"/>
            </w:pPr>
            <w:r>
              <w:t>15 juin 2022</w:t>
            </w:r>
          </w:p>
          <w:p w14:paraId="7591357D" w14:textId="77777777" w:rsidR="003619C0" w:rsidRDefault="003619C0" w:rsidP="003619C0">
            <w:pPr>
              <w:spacing w:line="240" w:lineRule="exact"/>
            </w:pPr>
            <w:r>
              <w:t>Français</w:t>
            </w:r>
          </w:p>
          <w:p w14:paraId="30AB722D" w14:textId="36BF652B" w:rsidR="003619C0" w:rsidRPr="00DB58B5" w:rsidRDefault="003619C0" w:rsidP="003619C0">
            <w:pPr>
              <w:spacing w:line="240" w:lineRule="exact"/>
            </w:pPr>
            <w:r>
              <w:t>Original : anglais</w:t>
            </w:r>
          </w:p>
        </w:tc>
      </w:tr>
    </w:tbl>
    <w:p w14:paraId="2DB1A95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3BA3DF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79F9729" w14:textId="2001CCBD" w:rsidR="00E82A2F" w:rsidRPr="00E82A2F" w:rsidRDefault="00E82A2F" w:rsidP="00E82A2F">
      <w:pPr>
        <w:spacing w:before="120"/>
        <w:rPr>
          <w:sz w:val="28"/>
          <w:szCs w:val="28"/>
        </w:rPr>
      </w:pPr>
      <w:r w:rsidRPr="00CC669A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CC669A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CC669A">
        <w:rPr>
          <w:b/>
          <w:bCs/>
          <w:sz w:val="24"/>
          <w:szCs w:val="24"/>
          <w:lang w:val="fr-FR"/>
        </w:rPr>
        <w:t xml:space="preserve">des Règlements concernant les </w:t>
      </w:r>
      <w:r w:rsidRPr="00E82A2F">
        <w:rPr>
          <w:b/>
          <w:bCs/>
          <w:sz w:val="24"/>
          <w:szCs w:val="24"/>
          <w:lang w:val="fr-FR"/>
        </w:rPr>
        <w:t>véhicules</w:t>
      </w:r>
      <w:r w:rsidRPr="00E82A2F">
        <w:rPr>
          <w:sz w:val="24"/>
          <w:szCs w:val="24"/>
          <w:lang w:val="fr-FR"/>
        </w:rPr>
        <w:t xml:space="preserve"> </w:t>
      </w:r>
    </w:p>
    <w:p w14:paraId="3076D876" w14:textId="448B402D" w:rsidR="00E82A2F" w:rsidRPr="00254AB2" w:rsidRDefault="00E82A2F" w:rsidP="00E82A2F">
      <w:pPr>
        <w:tabs>
          <w:tab w:val="left" w:pos="7256"/>
        </w:tabs>
        <w:spacing w:before="120" w:after="120"/>
        <w:rPr>
          <w:b/>
          <w:bCs/>
        </w:rPr>
      </w:pPr>
      <w:r w:rsidRPr="00254AB2">
        <w:rPr>
          <w:b/>
          <w:bCs/>
          <w:lang w:val="fr-FR"/>
        </w:rPr>
        <w:t>Groupe de travail du bruit et des pneumatiques</w:t>
      </w:r>
    </w:p>
    <w:p w14:paraId="5A5AF52A" w14:textId="77777777" w:rsidR="00E82A2F" w:rsidRPr="00254AB2" w:rsidRDefault="00E82A2F" w:rsidP="00E82A2F">
      <w:pPr>
        <w:rPr>
          <w:b/>
        </w:rPr>
      </w:pPr>
      <w:r w:rsidRPr="00254AB2">
        <w:rPr>
          <w:b/>
          <w:bCs/>
          <w:lang w:val="fr-FR"/>
        </w:rPr>
        <w:t>Soixante-seizième session</w:t>
      </w:r>
      <w:r w:rsidRPr="00254AB2">
        <w:rPr>
          <w:lang w:val="fr-FR"/>
        </w:rPr>
        <w:t xml:space="preserve"> </w:t>
      </w:r>
    </w:p>
    <w:p w14:paraId="6E7C4557" w14:textId="77777777" w:rsidR="00E82A2F" w:rsidRPr="00254AB2" w:rsidRDefault="00E82A2F" w:rsidP="00E82A2F">
      <w:pPr>
        <w:rPr>
          <w:bCs/>
        </w:rPr>
      </w:pPr>
      <w:r w:rsidRPr="00254AB2">
        <w:rPr>
          <w:lang w:val="fr-FR"/>
        </w:rPr>
        <w:t>Genève, 5-7</w:t>
      </w:r>
      <w:r>
        <w:rPr>
          <w:lang w:val="fr-FR"/>
        </w:rPr>
        <w:t> </w:t>
      </w:r>
      <w:r w:rsidRPr="00254AB2">
        <w:rPr>
          <w:lang w:val="fr-FR"/>
        </w:rPr>
        <w:t>septembre</w:t>
      </w:r>
      <w:r>
        <w:rPr>
          <w:lang w:val="fr-FR"/>
        </w:rPr>
        <w:t> </w:t>
      </w:r>
      <w:r w:rsidRPr="00254AB2">
        <w:rPr>
          <w:lang w:val="fr-FR"/>
        </w:rPr>
        <w:t>2022</w:t>
      </w:r>
    </w:p>
    <w:p w14:paraId="307D08D4" w14:textId="77777777" w:rsidR="00E82A2F" w:rsidRPr="00254AB2" w:rsidRDefault="00E82A2F" w:rsidP="00E82A2F">
      <w:pPr>
        <w:rPr>
          <w:bCs/>
        </w:rPr>
      </w:pPr>
      <w:r w:rsidRPr="00254AB2">
        <w:rPr>
          <w:lang w:val="fr-FR"/>
        </w:rPr>
        <w:t>Point 2 de l</w:t>
      </w:r>
      <w:r>
        <w:rPr>
          <w:lang w:val="fr-FR"/>
        </w:rPr>
        <w:t>’</w:t>
      </w:r>
      <w:r w:rsidRPr="00254AB2">
        <w:rPr>
          <w:lang w:val="fr-FR"/>
        </w:rPr>
        <w:t>ordre du jour provisoire</w:t>
      </w:r>
    </w:p>
    <w:p w14:paraId="47C867FC" w14:textId="77777777" w:rsidR="00E82A2F" w:rsidRPr="00254AB2" w:rsidRDefault="00E82A2F" w:rsidP="00E82A2F">
      <w:pPr>
        <w:rPr>
          <w:b/>
          <w:bCs/>
        </w:rPr>
      </w:pPr>
      <w:r w:rsidRPr="00254AB2">
        <w:rPr>
          <w:b/>
          <w:bCs/>
          <w:lang w:val="fr-FR"/>
        </w:rPr>
        <w:t>Règlement ONU n</w:t>
      </w:r>
      <w:r w:rsidRPr="00CC669A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254AB2">
        <w:rPr>
          <w:b/>
          <w:bCs/>
          <w:lang w:val="fr-FR"/>
        </w:rPr>
        <w:t>51 (Bruit des véhicules des catégories M et N)</w:t>
      </w:r>
    </w:p>
    <w:p w14:paraId="6E4A0683" w14:textId="33043C54" w:rsidR="00E82A2F" w:rsidRPr="00CC669A" w:rsidRDefault="00E82A2F" w:rsidP="00E82A2F">
      <w:pPr>
        <w:pStyle w:val="HChG"/>
        <w:rPr>
          <w:sz w:val="36"/>
          <w:szCs w:val="36"/>
        </w:rPr>
      </w:pPr>
      <w:r w:rsidRPr="00CC669A">
        <w:rPr>
          <w:lang w:val="fr-FR"/>
        </w:rPr>
        <w:tab/>
      </w:r>
      <w:r w:rsidRPr="00CC669A">
        <w:rPr>
          <w:lang w:val="fr-FR"/>
        </w:rPr>
        <w:tab/>
        <w:t>Proposition de complément 8 à la série 03 d</w:t>
      </w:r>
      <w:r>
        <w:rPr>
          <w:lang w:val="fr-FR"/>
        </w:rPr>
        <w:t>’</w:t>
      </w:r>
      <w:r w:rsidRPr="00CC669A">
        <w:rPr>
          <w:lang w:val="fr-FR"/>
        </w:rPr>
        <w:t xml:space="preserve">amendements </w:t>
      </w:r>
      <w:r>
        <w:rPr>
          <w:lang w:val="fr-FR"/>
        </w:rPr>
        <w:br/>
      </w:r>
      <w:r w:rsidRPr="00CC669A">
        <w:rPr>
          <w:lang w:val="fr-FR"/>
        </w:rPr>
        <w:t>au Règlement ONU n</w:t>
      </w:r>
      <w:r w:rsidRPr="00CC669A">
        <w:rPr>
          <w:vertAlign w:val="superscript"/>
          <w:lang w:val="fr-FR"/>
        </w:rPr>
        <w:t>o</w:t>
      </w:r>
      <w:r w:rsidRPr="00CC669A">
        <w:rPr>
          <w:lang w:val="fr-FR"/>
        </w:rPr>
        <w:t> 51</w:t>
      </w:r>
    </w:p>
    <w:p w14:paraId="28E8B2DF" w14:textId="77777777" w:rsidR="00E82A2F" w:rsidRPr="00CC669A" w:rsidRDefault="00E82A2F" w:rsidP="00E82A2F">
      <w:pPr>
        <w:pStyle w:val="H1G"/>
        <w:rPr>
          <w:sz w:val="32"/>
        </w:rPr>
      </w:pPr>
      <w:r w:rsidRPr="00CC669A">
        <w:rPr>
          <w:lang w:val="fr-FR"/>
        </w:rPr>
        <w:tab/>
      </w:r>
      <w:r w:rsidRPr="00CC669A">
        <w:rPr>
          <w:lang w:val="fr-FR"/>
        </w:rPr>
        <w:tab/>
        <w:t>Communication de l</w:t>
      </w:r>
      <w:r>
        <w:rPr>
          <w:lang w:val="fr-FR"/>
        </w:rPr>
        <w:t>’</w:t>
      </w:r>
      <w:r w:rsidRPr="00CC669A">
        <w:rPr>
          <w:lang w:val="fr-FR"/>
        </w:rPr>
        <w:t>Organisation internationale de normalisation</w:t>
      </w:r>
      <w:r w:rsidRPr="00E82A2F">
        <w:rPr>
          <w:b w:val="0"/>
          <w:bCs/>
          <w:sz w:val="20"/>
          <w:lang w:val="fr-FR"/>
        </w:rPr>
        <w:footnoteReference w:customMarkFollows="1" w:id="2"/>
        <w:t>*</w:t>
      </w:r>
    </w:p>
    <w:p w14:paraId="6D1BC9BE" w14:textId="42AD1F65" w:rsidR="00F9573C" w:rsidRDefault="00E82A2F" w:rsidP="00E82A2F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54AB2">
        <w:rPr>
          <w:lang w:val="fr-FR"/>
        </w:rPr>
        <w:t>Le texte ci-après a été établi par les experts de l</w:t>
      </w:r>
      <w:r>
        <w:rPr>
          <w:lang w:val="fr-FR"/>
        </w:rPr>
        <w:t>’</w:t>
      </w:r>
      <w:r w:rsidRPr="00254AB2">
        <w:rPr>
          <w:lang w:val="fr-FR"/>
        </w:rPr>
        <w:t xml:space="preserve">Organisation internationale de normalisation (ISO) </w:t>
      </w:r>
      <w:r>
        <w:rPr>
          <w:lang w:val="fr-FR"/>
        </w:rPr>
        <w:t>en vue d’</w:t>
      </w:r>
      <w:r w:rsidRPr="00254AB2">
        <w:rPr>
          <w:lang w:val="fr-FR"/>
        </w:rPr>
        <w:t xml:space="preserve">intégrer </w:t>
      </w:r>
      <w:r>
        <w:rPr>
          <w:lang w:val="fr-FR"/>
        </w:rPr>
        <w:t>dans le</w:t>
      </w:r>
      <w:r w:rsidRPr="00254AB2">
        <w:rPr>
          <w:lang w:val="fr-FR"/>
        </w:rPr>
        <w:t xml:space="preserve"> Règlement la dernière </w:t>
      </w:r>
      <w:r>
        <w:rPr>
          <w:lang w:val="fr-FR"/>
        </w:rPr>
        <w:t xml:space="preserve">édition de la </w:t>
      </w:r>
      <w:r w:rsidRPr="00254AB2">
        <w:rPr>
          <w:lang w:val="fr-FR"/>
        </w:rPr>
        <w:t>norme ISO</w:t>
      </w:r>
      <w:r>
        <w:rPr>
          <w:lang w:val="fr-FR"/>
        </w:rPr>
        <w:t> </w:t>
      </w:r>
      <w:r w:rsidRPr="00254AB2">
        <w:rPr>
          <w:lang w:val="fr-FR"/>
        </w:rPr>
        <w:t>10844 sur les surfaces d</w:t>
      </w:r>
      <w:r>
        <w:rPr>
          <w:lang w:val="fr-FR"/>
        </w:rPr>
        <w:t>’</w:t>
      </w:r>
      <w:r w:rsidRPr="00254AB2">
        <w:rPr>
          <w:lang w:val="fr-FR"/>
        </w:rPr>
        <w:t>essai. Ce document est identique</w:t>
      </w:r>
      <w:r>
        <w:rPr>
          <w:lang w:val="fr-FR"/>
        </w:rPr>
        <w:t xml:space="preserve">, </w:t>
      </w:r>
      <w:r w:rsidRPr="000F681E">
        <w:rPr>
          <w:lang w:val="fr-FR"/>
        </w:rPr>
        <w:t>en ce qui concerne</w:t>
      </w:r>
      <w:r>
        <w:rPr>
          <w:lang w:val="fr-FR"/>
        </w:rPr>
        <w:t xml:space="preserve"> </w:t>
      </w:r>
      <w:r w:rsidRPr="00B46C7A">
        <w:rPr>
          <w:lang w:val="fr-FR"/>
        </w:rPr>
        <w:t>la série 03 d</w:t>
      </w:r>
      <w:r>
        <w:rPr>
          <w:lang w:val="fr-FR"/>
        </w:rPr>
        <w:t>’</w:t>
      </w:r>
      <w:r w:rsidRPr="00B46C7A">
        <w:rPr>
          <w:lang w:val="fr-FR"/>
        </w:rPr>
        <w:t>amendements au Règlement ONU n</w:t>
      </w:r>
      <w:r w:rsidRPr="00B46C7A">
        <w:rPr>
          <w:vertAlign w:val="superscript"/>
          <w:lang w:val="fr-FR"/>
        </w:rPr>
        <w:t>o</w:t>
      </w:r>
      <w:r w:rsidRPr="00B46C7A">
        <w:rPr>
          <w:lang w:val="fr-FR"/>
        </w:rPr>
        <w:t> 51</w:t>
      </w:r>
      <w:r>
        <w:rPr>
          <w:lang w:val="fr-FR"/>
        </w:rPr>
        <w:t>,</w:t>
      </w:r>
      <w:r w:rsidRPr="00254AB2">
        <w:rPr>
          <w:lang w:val="fr-FR"/>
        </w:rPr>
        <w:t xml:space="preserve"> au document informel GRBP-75-02-Rev.1 présenté à la soixante-quinzième session du Groupe </w:t>
      </w:r>
      <w:r w:rsidRPr="00E82A2F">
        <w:rPr>
          <w:lang w:val="fr-FR"/>
        </w:rPr>
        <w:t>de travail du bruit et des pneumatiques (GRBP), au cours de laquelle ce dernier a invité l’ISO à soumettre un</w:t>
      </w:r>
      <w:r w:rsidRPr="00254AB2">
        <w:rPr>
          <w:lang w:val="fr-FR"/>
        </w:rPr>
        <w:t xml:space="preserve"> document de travail </w:t>
      </w:r>
      <w:r>
        <w:rPr>
          <w:lang w:val="fr-FR"/>
        </w:rPr>
        <w:t>à</w:t>
      </w:r>
      <w:r w:rsidRPr="00254AB2">
        <w:rPr>
          <w:lang w:val="fr-FR"/>
        </w:rPr>
        <w:t xml:space="preserve"> ce sujet. Les modifications proposées sont fondées sur la série</w:t>
      </w:r>
      <w:r>
        <w:rPr>
          <w:lang w:val="fr-FR"/>
        </w:rPr>
        <w:t> </w:t>
      </w:r>
      <w:r w:rsidRPr="00254AB2">
        <w:rPr>
          <w:lang w:val="fr-FR"/>
        </w:rPr>
        <w:t>03 d</w:t>
      </w:r>
      <w:r>
        <w:rPr>
          <w:lang w:val="fr-FR"/>
        </w:rPr>
        <w:t>’</w:t>
      </w:r>
      <w:r w:rsidRPr="00254AB2">
        <w:rPr>
          <w:lang w:val="fr-FR"/>
        </w:rPr>
        <w:t>amendements au Règlement ONU n</w:t>
      </w:r>
      <w:r w:rsidRPr="002D26C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254AB2">
        <w:rPr>
          <w:lang w:val="fr-FR"/>
        </w:rPr>
        <w:t>51 jusqu</w:t>
      </w:r>
      <w:r>
        <w:rPr>
          <w:lang w:val="fr-FR"/>
        </w:rPr>
        <w:t>’</w:t>
      </w:r>
      <w:r w:rsidRPr="00254AB2">
        <w:rPr>
          <w:lang w:val="fr-FR"/>
        </w:rPr>
        <w:t>au complément</w:t>
      </w:r>
      <w:r>
        <w:rPr>
          <w:lang w:val="fr-FR"/>
        </w:rPr>
        <w:t> </w:t>
      </w:r>
      <w:r w:rsidRPr="00254AB2">
        <w:rPr>
          <w:lang w:val="fr-FR"/>
        </w:rPr>
        <w:t>6. Les modifications figurent en caractères gras pour les ajouts et biffés pour les suppressions.</w:t>
      </w:r>
    </w:p>
    <w:p w14:paraId="777D9325" w14:textId="2782DFC3" w:rsidR="00E82A2F" w:rsidRDefault="00E82A2F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7584C9B5" w14:textId="34C85EA3" w:rsidR="00E82A2F" w:rsidRPr="00CC669A" w:rsidRDefault="00E82A2F" w:rsidP="00E82A2F">
      <w:pPr>
        <w:pStyle w:val="HChG"/>
        <w:rPr>
          <w:sz w:val="40"/>
          <w:szCs w:val="40"/>
        </w:rPr>
      </w:pPr>
      <w:r>
        <w:lastRenderedPageBreak/>
        <w:tab/>
      </w:r>
      <w:r w:rsidRPr="00CC669A">
        <w:t>I.</w:t>
      </w:r>
      <w:r w:rsidRPr="00CC669A">
        <w:tab/>
      </w:r>
      <w:r w:rsidRPr="00CC669A">
        <w:rPr>
          <w:lang w:val="fr-FR"/>
        </w:rPr>
        <w:t>Proposition</w:t>
      </w:r>
    </w:p>
    <w:p w14:paraId="023B185F" w14:textId="77777777" w:rsidR="00E82A2F" w:rsidRPr="00254AB2" w:rsidRDefault="00E82A2F" w:rsidP="00E82A2F">
      <w:pPr>
        <w:pStyle w:val="SingleTxtG"/>
        <w:rPr>
          <w:iCs/>
        </w:rPr>
      </w:pPr>
      <w:r w:rsidRPr="002D26C0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2D26C0">
        <w:rPr>
          <w:i/>
          <w:iCs/>
          <w:lang w:val="fr-FR"/>
        </w:rPr>
        <w:t>11</w:t>
      </w:r>
      <w:r w:rsidRPr="00254AB2">
        <w:rPr>
          <w:lang w:val="fr-FR"/>
        </w:rPr>
        <w:t xml:space="preserve">, ajouter </w:t>
      </w:r>
      <w:r>
        <w:rPr>
          <w:lang w:val="fr-FR"/>
        </w:rPr>
        <w:t>le</w:t>
      </w:r>
      <w:r w:rsidRPr="00254AB2">
        <w:rPr>
          <w:lang w:val="fr-FR"/>
        </w:rPr>
        <w:t xml:space="preserve"> nouveau point 11.13, libellé comme suit : </w:t>
      </w:r>
    </w:p>
    <w:p w14:paraId="3022B27B" w14:textId="77777777" w:rsidR="00E82A2F" w:rsidRPr="002D26C0" w:rsidRDefault="00E82A2F" w:rsidP="00E82A2F">
      <w:pPr>
        <w:pStyle w:val="SingleTxtG"/>
        <w:ind w:left="2250" w:hanging="1116"/>
        <w:rPr>
          <w:b/>
          <w:bCs/>
          <w:lang w:val="fr-FR"/>
        </w:rPr>
      </w:pPr>
      <w:r w:rsidRPr="002D26C0">
        <w:rPr>
          <w:b/>
          <w:bCs/>
          <w:lang w:val="fr-FR"/>
        </w:rPr>
        <w:t>11.13</w:t>
      </w:r>
      <w:r>
        <w:rPr>
          <w:b/>
          <w:bCs/>
          <w:lang w:val="fr-FR"/>
        </w:rPr>
        <w:tab/>
      </w:r>
      <w:r w:rsidRPr="002D26C0">
        <w:rPr>
          <w:b/>
          <w:bCs/>
          <w:lang w:val="fr-FR"/>
        </w:rPr>
        <w:t>À compter de l</w:t>
      </w:r>
      <w:r>
        <w:rPr>
          <w:b/>
          <w:bCs/>
          <w:lang w:val="fr-FR"/>
        </w:rPr>
        <w:t>a date d’</w:t>
      </w:r>
      <w:r w:rsidRPr="002D26C0">
        <w:rPr>
          <w:b/>
          <w:bCs/>
          <w:lang w:val="fr-FR"/>
        </w:rPr>
        <w:t>entrée en vigueur du complément</w:t>
      </w:r>
      <w:r>
        <w:rPr>
          <w:b/>
          <w:bCs/>
          <w:lang w:val="fr-FR"/>
        </w:rPr>
        <w:t> </w:t>
      </w:r>
      <w:r w:rsidRPr="002D26C0">
        <w:rPr>
          <w:b/>
          <w:bCs/>
          <w:lang w:val="fr-FR"/>
        </w:rPr>
        <w:t>8, la norme ISO</w:t>
      </w:r>
      <w:r>
        <w:rPr>
          <w:b/>
          <w:bCs/>
          <w:lang w:val="fr-FR"/>
        </w:rPr>
        <w:t> </w:t>
      </w:r>
      <w:r w:rsidRPr="002D26C0">
        <w:rPr>
          <w:b/>
          <w:bCs/>
          <w:lang w:val="fr-FR"/>
        </w:rPr>
        <w:t>10844:2021 d</w:t>
      </w:r>
      <w:r>
        <w:rPr>
          <w:b/>
          <w:bCs/>
          <w:lang w:val="fr-FR"/>
        </w:rPr>
        <w:t>oit</w:t>
      </w:r>
      <w:r w:rsidRPr="002D26C0">
        <w:rPr>
          <w:b/>
          <w:bCs/>
          <w:lang w:val="fr-FR"/>
        </w:rPr>
        <w:t xml:space="preserve"> être acceptée pour toute homologation accordée en vertu du présent Règlement. </w:t>
      </w:r>
      <w:r>
        <w:rPr>
          <w:b/>
          <w:bCs/>
          <w:lang w:val="fr-FR"/>
        </w:rPr>
        <w:t xml:space="preserve">Pendant les </w:t>
      </w:r>
      <w:r w:rsidRPr="002D26C0">
        <w:rPr>
          <w:b/>
          <w:bCs/>
          <w:lang w:val="fr-FR"/>
        </w:rPr>
        <w:t xml:space="preserve">cinq ans </w:t>
      </w:r>
      <w:r>
        <w:rPr>
          <w:b/>
          <w:bCs/>
          <w:lang w:val="fr-FR"/>
        </w:rPr>
        <w:t xml:space="preserve">suivant </w:t>
      </w:r>
      <w:r w:rsidRPr="002D26C0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2D26C0">
        <w:rPr>
          <w:b/>
          <w:bCs/>
          <w:lang w:val="fr-FR"/>
        </w:rPr>
        <w:t>entrée en vigueur du complément</w:t>
      </w:r>
      <w:r>
        <w:rPr>
          <w:b/>
          <w:bCs/>
          <w:lang w:val="fr-FR"/>
        </w:rPr>
        <w:t> </w:t>
      </w:r>
      <w:r w:rsidRPr="002D26C0">
        <w:rPr>
          <w:b/>
          <w:bCs/>
          <w:lang w:val="fr-FR"/>
        </w:rPr>
        <w:t>8, la norme ISO</w:t>
      </w:r>
      <w:r>
        <w:rPr>
          <w:b/>
          <w:bCs/>
          <w:lang w:val="fr-FR"/>
        </w:rPr>
        <w:t> </w:t>
      </w:r>
      <w:r w:rsidRPr="002D26C0">
        <w:rPr>
          <w:b/>
          <w:bCs/>
          <w:lang w:val="fr-FR"/>
        </w:rPr>
        <w:t>10844:2014 d</w:t>
      </w:r>
      <w:r>
        <w:rPr>
          <w:b/>
          <w:bCs/>
          <w:lang w:val="fr-FR"/>
        </w:rPr>
        <w:t>oit</w:t>
      </w:r>
      <w:r w:rsidRPr="002D26C0">
        <w:rPr>
          <w:b/>
          <w:bCs/>
          <w:lang w:val="fr-FR"/>
        </w:rPr>
        <w:t xml:space="preserve"> être acceptée pour toute homologation accordée en vertu du présent Règlement.</w:t>
      </w:r>
    </w:p>
    <w:p w14:paraId="3E25D47B" w14:textId="77777777" w:rsidR="00E82A2F" w:rsidRPr="00254AB2" w:rsidRDefault="00E82A2F" w:rsidP="00E82A2F">
      <w:pPr>
        <w:pStyle w:val="para"/>
        <w:rPr>
          <w:i/>
          <w:lang w:val="fr-FR"/>
        </w:rPr>
      </w:pPr>
      <w:r w:rsidRPr="00D3705B">
        <w:rPr>
          <w:i/>
          <w:iCs/>
          <w:lang w:val="fr-FR"/>
        </w:rPr>
        <w:t>Annexe 3, paragraphe 2.1.1</w:t>
      </w:r>
      <w:r w:rsidRPr="00254AB2">
        <w:rPr>
          <w:lang w:val="fr-FR"/>
        </w:rPr>
        <w:t>, remplacer « ISO 10844:2014 » par « ISO 10844:2021 ».</w:t>
      </w:r>
    </w:p>
    <w:p w14:paraId="4C553B37" w14:textId="05E3572E" w:rsidR="00E82A2F" w:rsidRPr="00D3705B" w:rsidRDefault="00E82A2F" w:rsidP="00E82A2F">
      <w:pPr>
        <w:pStyle w:val="HChG"/>
        <w:rPr>
          <w:sz w:val="40"/>
          <w:szCs w:val="40"/>
        </w:rPr>
      </w:pPr>
      <w:r>
        <w:tab/>
      </w:r>
      <w:r w:rsidRPr="00D3705B">
        <w:t>II.</w:t>
      </w:r>
      <w:r w:rsidRPr="00D3705B">
        <w:tab/>
      </w:r>
      <w:r w:rsidRPr="00D3705B">
        <w:rPr>
          <w:lang w:val="fr-FR"/>
        </w:rPr>
        <w:t>Justification</w:t>
      </w:r>
    </w:p>
    <w:p w14:paraId="7CCD8039" w14:textId="77777777" w:rsidR="00E82A2F" w:rsidRPr="00875E0B" w:rsidRDefault="00E82A2F" w:rsidP="00E82A2F">
      <w:pPr>
        <w:pStyle w:val="SingleTxtG"/>
        <w:rPr>
          <w:color w:val="000000"/>
          <w:sz w:val="16"/>
          <w:szCs w:val="16"/>
          <w:lang w:val="fr-FR"/>
        </w:rPr>
      </w:pPr>
      <w:bookmarkStart w:id="1" w:name="_Hlk50446194"/>
      <w:bookmarkStart w:id="2" w:name="_Hlk50446402"/>
      <w:r w:rsidRPr="00254AB2">
        <w:rPr>
          <w:lang w:val="fr-FR"/>
        </w:rPr>
        <w:tab/>
      </w:r>
      <w:r w:rsidRPr="00254AB2">
        <w:rPr>
          <w:lang w:val="fr-FR"/>
        </w:rPr>
        <w:tab/>
        <w:t>L</w:t>
      </w:r>
      <w:r>
        <w:rPr>
          <w:lang w:val="fr-FR"/>
        </w:rPr>
        <w:t>’</w:t>
      </w:r>
      <w:r w:rsidRPr="00254AB2">
        <w:rPr>
          <w:lang w:val="fr-FR"/>
        </w:rPr>
        <w:t>ISO a mis à jour la norme</w:t>
      </w:r>
      <w:r>
        <w:rPr>
          <w:lang w:val="fr-FR"/>
        </w:rPr>
        <w:t> </w:t>
      </w:r>
      <w:r w:rsidRPr="00254AB2">
        <w:rPr>
          <w:lang w:val="fr-FR"/>
        </w:rPr>
        <w:t>10844 pour la rendre plus claire. L</w:t>
      </w:r>
      <w:r>
        <w:rPr>
          <w:lang w:val="fr-FR"/>
        </w:rPr>
        <w:t>’</w:t>
      </w:r>
      <w:r w:rsidRPr="00254AB2">
        <w:rPr>
          <w:lang w:val="fr-FR"/>
        </w:rPr>
        <w:t>objectif principal est de réduire les différences d</w:t>
      </w:r>
      <w:r>
        <w:rPr>
          <w:lang w:val="fr-FR"/>
        </w:rPr>
        <w:t>’</w:t>
      </w:r>
      <w:r w:rsidRPr="00254AB2">
        <w:rPr>
          <w:lang w:val="fr-FR"/>
        </w:rPr>
        <w:t>une piste d</w:t>
      </w:r>
      <w:r>
        <w:rPr>
          <w:lang w:val="fr-FR"/>
        </w:rPr>
        <w:t>’</w:t>
      </w:r>
      <w:r w:rsidRPr="00254AB2">
        <w:rPr>
          <w:lang w:val="fr-FR"/>
        </w:rPr>
        <w:t>essai à l</w:t>
      </w:r>
      <w:r>
        <w:rPr>
          <w:lang w:val="fr-FR"/>
        </w:rPr>
        <w:t>’</w:t>
      </w:r>
      <w:r w:rsidRPr="00254AB2">
        <w:rPr>
          <w:lang w:val="fr-FR"/>
        </w:rPr>
        <w:t xml:space="preserve">autre </w:t>
      </w:r>
      <w:r>
        <w:rPr>
          <w:lang w:val="fr-FR"/>
        </w:rPr>
        <w:t>dues à des divergences d’</w:t>
      </w:r>
      <w:r w:rsidRPr="00254AB2">
        <w:rPr>
          <w:lang w:val="fr-FR"/>
        </w:rPr>
        <w:t xml:space="preserve">interprétation et </w:t>
      </w:r>
      <w:r>
        <w:rPr>
          <w:lang w:val="fr-FR"/>
        </w:rPr>
        <w:t>d’application</w:t>
      </w:r>
      <w:r w:rsidRPr="00254AB2">
        <w:rPr>
          <w:lang w:val="fr-FR"/>
        </w:rPr>
        <w:t xml:space="preserve"> des prescriptions techniques. </w:t>
      </w:r>
      <w:r>
        <w:rPr>
          <w:lang w:val="fr-FR"/>
        </w:rPr>
        <w:t>D’</w:t>
      </w:r>
      <w:r w:rsidRPr="00254AB2">
        <w:rPr>
          <w:lang w:val="fr-FR"/>
        </w:rPr>
        <w:t>autres améliorations sont présentées dans le tableau suivant.</w:t>
      </w:r>
    </w:p>
    <w:tbl>
      <w:tblPr>
        <w:tblW w:w="8505" w:type="dxa"/>
        <w:tblInd w:w="1134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3038"/>
        <w:gridCol w:w="3038"/>
      </w:tblGrid>
      <w:tr w:rsidR="00E82A2F" w:rsidRPr="00254AB2" w14:paraId="3DE38953" w14:textId="77777777" w:rsidTr="00E82A2F">
        <w:trPr>
          <w:trHeight w:val="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D0357" w14:textId="36A74CA4" w:rsidR="00E82A2F" w:rsidRPr="00301DCF" w:rsidRDefault="00E82A2F" w:rsidP="00E82A2F">
            <w:pPr>
              <w:spacing w:before="60" w:after="60" w:line="220" w:lineRule="atLeast"/>
              <w:ind w:left="57" w:right="57"/>
              <w:rPr>
                <w:i/>
                <w:iCs/>
                <w:color w:val="000000"/>
                <w:sz w:val="16"/>
                <w:szCs w:val="16"/>
              </w:rPr>
            </w:pPr>
            <w:r w:rsidRPr="00301DCF">
              <w:rPr>
                <w:i/>
                <w:iCs/>
                <w:sz w:val="16"/>
                <w:szCs w:val="16"/>
                <w:lang w:val="fr-FR"/>
              </w:rPr>
              <w:t xml:space="preserve">Méthode </w:t>
            </w:r>
            <w:r>
              <w:rPr>
                <w:i/>
                <w:iCs/>
                <w:sz w:val="16"/>
                <w:szCs w:val="16"/>
                <w:lang w:val="fr-FR"/>
              </w:rPr>
              <w:t>décrite dans</w:t>
            </w:r>
            <w:r w:rsidRPr="00301DCF">
              <w:rPr>
                <w:i/>
                <w:iCs/>
                <w:sz w:val="16"/>
                <w:szCs w:val="16"/>
                <w:lang w:val="fr-FR"/>
              </w:rPr>
              <w:t xml:space="preserve"> la </w:t>
            </w:r>
            <w:r>
              <w:rPr>
                <w:i/>
                <w:iCs/>
                <w:sz w:val="16"/>
                <w:szCs w:val="16"/>
                <w:lang w:val="fr-FR"/>
              </w:rPr>
              <w:br/>
            </w:r>
            <w:r w:rsidRPr="00301DCF">
              <w:rPr>
                <w:i/>
                <w:iCs/>
                <w:sz w:val="16"/>
                <w:szCs w:val="16"/>
                <w:lang w:val="fr-FR"/>
              </w:rPr>
              <w:t>troisième édition de la norme ISO 1084</w:t>
            </w:r>
            <w:r>
              <w:rPr>
                <w:i/>
                <w:iCs/>
                <w:sz w:val="16"/>
                <w:szCs w:val="16"/>
                <w:lang w:val="fr-FR"/>
              </w:rPr>
              <w:t>4:2014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0B87" w14:textId="76A1C248" w:rsidR="00E82A2F" w:rsidRPr="00301DCF" w:rsidRDefault="00E82A2F" w:rsidP="00E82A2F">
            <w:pPr>
              <w:spacing w:before="60" w:after="60" w:line="220" w:lineRule="atLeast"/>
              <w:ind w:left="57" w:right="57"/>
              <w:rPr>
                <w:i/>
                <w:iCs/>
                <w:color w:val="000000"/>
                <w:sz w:val="16"/>
                <w:szCs w:val="16"/>
                <w:lang w:val="fr-FR"/>
              </w:rPr>
            </w:pPr>
            <w:r w:rsidRPr="00301DCF">
              <w:rPr>
                <w:i/>
                <w:iCs/>
                <w:sz w:val="16"/>
                <w:szCs w:val="16"/>
                <w:lang w:val="fr-FR"/>
              </w:rPr>
              <w:t xml:space="preserve">Améliorations apportées </w:t>
            </w:r>
            <w:r>
              <w:rPr>
                <w:i/>
                <w:iCs/>
                <w:sz w:val="16"/>
                <w:szCs w:val="16"/>
                <w:lang w:val="fr-FR"/>
              </w:rPr>
              <w:br/>
            </w:r>
            <w:r>
              <w:rPr>
                <w:i/>
                <w:iCs/>
                <w:sz w:val="16"/>
                <w:szCs w:val="16"/>
                <w:lang w:val="fr-FR"/>
              </w:rPr>
              <w:t>dans</w:t>
            </w:r>
            <w:r w:rsidRPr="00301DCF">
              <w:rPr>
                <w:i/>
                <w:iCs/>
                <w:sz w:val="16"/>
                <w:szCs w:val="16"/>
                <w:lang w:val="fr-FR"/>
              </w:rPr>
              <w:t xml:space="preserve"> la norme ISO</w:t>
            </w:r>
            <w:r>
              <w:rPr>
                <w:i/>
                <w:iCs/>
                <w:sz w:val="16"/>
                <w:szCs w:val="16"/>
                <w:lang w:val="fr-FR"/>
              </w:rPr>
              <w:t> </w:t>
            </w:r>
            <w:r w:rsidRPr="00301DCF">
              <w:rPr>
                <w:i/>
                <w:iCs/>
                <w:sz w:val="16"/>
                <w:szCs w:val="16"/>
                <w:lang w:val="fr-FR"/>
              </w:rPr>
              <w:t>10844:2021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51BAD" w14:textId="77777777" w:rsidR="00E82A2F" w:rsidRPr="00C502D0" w:rsidRDefault="00E82A2F" w:rsidP="00E82A2F">
            <w:pPr>
              <w:spacing w:before="60" w:after="60" w:line="220" w:lineRule="atLeast"/>
              <w:ind w:left="57" w:right="57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Effet</w:t>
            </w:r>
            <w:r w:rsidRPr="00C502D0">
              <w:rPr>
                <w:i/>
                <w:iCs/>
                <w:sz w:val="16"/>
                <w:szCs w:val="16"/>
                <w:lang w:val="fr-FR"/>
              </w:rPr>
              <w:t xml:space="preserve"> de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ce</w:t>
            </w:r>
            <w:r w:rsidRPr="00C502D0">
              <w:rPr>
                <w:i/>
                <w:iCs/>
                <w:sz w:val="16"/>
                <w:szCs w:val="16"/>
                <w:lang w:val="fr-FR"/>
              </w:rPr>
              <w:t>s améliorations</w:t>
            </w:r>
          </w:p>
        </w:tc>
      </w:tr>
      <w:tr w:rsidR="00E82A2F" w:rsidRPr="00254AB2" w14:paraId="00B08395" w14:textId="77777777" w:rsidTr="00E82A2F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7F2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</w:rPr>
            </w:pPr>
            <w:r w:rsidRPr="00D15A32">
              <w:rPr>
                <w:sz w:val="18"/>
                <w:szCs w:val="18"/>
                <w:lang w:val="fr-FR"/>
              </w:rPr>
              <w:t>Mesurage des irrégularités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419" w14:textId="77777777" w:rsidR="00E82A2F" w:rsidRPr="00467942" w:rsidRDefault="00E82A2F" w:rsidP="00E82A2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M</w:t>
            </w:r>
            <w:r w:rsidRPr="00D15A32">
              <w:rPr>
                <w:sz w:val="18"/>
                <w:szCs w:val="18"/>
                <w:lang w:val="fr-FR"/>
              </w:rPr>
              <w:t>éthodes de mesurage plus modernes et plus précises</w:t>
            </w:r>
            <w:r>
              <w:rPr>
                <w:sz w:val="18"/>
                <w:szCs w:val="18"/>
                <w:lang w:val="fr-FR"/>
              </w:rPr>
              <w:t xml:space="preserve">, </w:t>
            </w:r>
            <w:r w:rsidRPr="00446233">
              <w:rPr>
                <w:sz w:val="18"/>
                <w:szCs w:val="18"/>
                <w:lang w:val="fr-FR"/>
              </w:rPr>
              <w:t>(par exemple le mesurage au laser) en plus du mesurage à la règle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F694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BD7133">
              <w:rPr>
                <w:sz w:val="18"/>
                <w:szCs w:val="18"/>
                <w:lang w:val="fr-FR"/>
              </w:rPr>
              <w:t>Mesurage des irrégularités plus pratique et précis</w:t>
            </w:r>
          </w:p>
        </w:tc>
      </w:tr>
      <w:tr w:rsidR="00E82A2F" w:rsidRPr="00254AB2" w14:paraId="0F225EF4" w14:textId="77777777" w:rsidTr="00E82A2F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941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  <w:lang w:val="fr-FR"/>
              </w:rPr>
            </w:pPr>
            <w:r w:rsidRPr="00D15A32">
              <w:rPr>
                <w:sz w:val="18"/>
                <w:szCs w:val="18"/>
                <w:lang w:val="fr-FR"/>
              </w:rPr>
              <w:t>Critères de contrôle périodique de</w:t>
            </w:r>
            <w:r>
              <w:rPr>
                <w:sz w:val="18"/>
                <w:szCs w:val="18"/>
                <w:lang w:val="fr-FR"/>
              </w:rPr>
              <w:t>s</w:t>
            </w:r>
            <w:r w:rsidRPr="00D15A32">
              <w:rPr>
                <w:sz w:val="18"/>
                <w:szCs w:val="18"/>
                <w:lang w:val="fr-FR"/>
              </w:rPr>
              <w:t xml:space="preserve"> irrégularité</w:t>
            </w:r>
            <w:r>
              <w:rPr>
                <w:sz w:val="18"/>
                <w:szCs w:val="18"/>
                <w:lang w:val="fr-FR"/>
              </w:rPr>
              <w:t>s</w:t>
            </w:r>
            <w:r w:rsidRPr="00D15A32">
              <w:rPr>
                <w:sz w:val="18"/>
                <w:szCs w:val="18"/>
                <w:lang w:val="fr-FR"/>
              </w:rPr>
              <w:t xml:space="preserve"> des pistes destinées exclusivement aux essais réalisés avec des véhicules lourds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6D7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15A32">
              <w:rPr>
                <w:sz w:val="18"/>
                <w:szCs w:val="18"/>
                <w:lang w:val="fr-FR"/>
              </w:rPr>
              <w:t>La prescription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 xml:space="preserve">irrégularité </w:t>
            </w:r>
            <w:r>
              <w:rPr>
                <w:sz w:val="18"/>
                <w:szCs w:val="18"/>
                <w:lang w:val="fr-FR"/>
              </w:rPr>
              <w:t>est passée</w:t>
            </w:r>
            <w:r w:rsidRPr="00D15A32">
              <w:rPr>
                <w:sz w:val="18"/>
                <w:szCs w:val="18"/>
                <w:lang w:val="fr-FR"/>
              </w:rPr>
              <w:t xml:space="preserve"> à 10</w:t>
            </w:r>
            <w:r>
              <w:rPr>
                <w:sz w:val="18"/>
                <w:szCs w:val="18"/>
                <w:lang w:val="fr-FR"/>
              </w:rPr>
              <w:t> </w:t>
            </w:r>
            <w:r w:rsidRPr="00D15A32">
              <w:rPr>
                <w:sz w:val="18"/>
                <w:szCs w:val="18"/>
                <w:lang w:val="fr-FR"/>
              </w:rPr>
              <w:t>mm, compte tenu de la déformation permanente causée par les véhicules lourds,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 xml:space="preserve">analyse acoustique </w:t>
            </w:r>
            <w:r>
              <w:rPr>
                <w:sz w:val="18"/>
                <w:szCs w:val="18"/>
                <w:lang w:val="fr-FR"/>
              </w:rPr>
              <w:t xml:space="preserve">d’éventuels </w:t>
            </w:r>
            <w:r w:rsidRPr="00D15A32">
              <w:rPr>
                <w:sz w:val="18"/>
                <w:szCs w:val="18"/>
                <w:lang w:val="fr-FR"/>
              </w:rPr>
              <w:t xml:space="preserve">dispositifs de protection </w:t>
            </w:r>
            <w:r>
              <w:rPr>
                <w:sz w:val="18"/>
                <w:szCs w:val="18"/>
                <w:lang w:val="fr-FR"/>
              </w:rPr>
              <w:t>ayant établi que les incidences étaient</w:t>
            </w:r>
            <w:r w:rsidRPr="00D15A32">
              <w:rPr>
                <w:sz w:val="18"/>
                <w:szCs w:val="18"/>
                <w:lang w:val="fr-FR"/>
              </w:rPr>
              <w:t xml:space="preserve"> négligeable</w:t>
            </w:r>
            <w:r>
              <w:rPr>
                <w:sz w:val="18"/>
                <w:szCs w:val="18"/>
                <w:lang w:val="fr-FR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AC3C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404F87">
              <w:rPr>
                <w:sz w:val="18"/>
                <w:szCs w:val="18"/>
                <w:lang w:val="fr-FR"/>
              </w:rPr>
              <w:t xml:space="preserve">Meilleure durabilité des pistes réservées </w:t>
            </w:r>
            <w:r w:rsidRPr="00D15A32">
              <w:rPr>
                <w:sz w:val="18"/>
                <w:szCs w:val="18"/>
                <w:lang w:val="fr-FR"/>
              </w:rPr>
              <w:t>aux véhicules lourds, sans incidence sur les mesures acoustiques</w:t>
            </w:r>
          </w:p>
        </w:tc>
      </w:tr>
      <w:tr w:rsidR="00E82A2F" w:rsidRPr="00254AB2" w14:paraId="41C0347E" w14:textId="77777777" w:rsidTr="00E82A2F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725C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</w:rPr>
            </w:pPr>
            <w:r w:rsidRPr="00D15A32">
              <w:rPr>
                <w:sz w:val="18"/>
                <w:szCs w:val="18"/>
                <w:lang w:val="fr-FR"/>
              </w:rPr>
              <w:t>Prescription de discontinuité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0458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</w:t>
            </w:r>
            <w:r w:rsidRPr="00D15A32">
              <w:rPr>
                <w:sz w:val="18"/>
                <w:szCs w:val="18"/>
                <w:lang w:val="fr-FR"/>
              </w:rPr>
              <w:t xml:space="preserve">iscontinuités </w:t>
            </w:r>
            <w:r>
              <w:rPr>
                <w:sz w:val="18"/>
                <w:szCs w:val="18"/>
                <w:lang w:val="fr-FR"/>
              </w:rPr>
              <w:t>pouvant aller jusqu’à</w:t>
            </w:r>
            <w:r w:rsidRPr="00D15A32">
              <w:rPr>
                <w:sz w:val="18"/>
                <w:szCs w:val="18"/>
                <w:lang w:val="fr-FR"/>
              </w:rPr>
              <w:t xml:space="preserve"> 5</w:t>
            </w:r>
            <w:r>
              <w:rPr>
                <w:sz w:val="18"/>
                <w:szCs w:val="18"/>
                <w:lang w:val="fr-FR"/>
              </w:rPr>
              <w:t> </w:t>
            </w:r>
            <w:r w:rsidRPr="00D15A32">
              <w:rPr>
                <w:sz w:val="18"/>
                <w:szCs w:val="18"/>
                <w:lang w:val="fr-FR"/>
              </w:rPr>
              <w:t>mm, à des fins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>harmonisation avec la prescription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>irrégularité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466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Facilitation de la</w:t>
            </w:r>
            <w:r w:rsidRPr="00D15A32">
              <w:rPr>
                <w:sz w:val="18"/>
                <w:szCs w:val="18"/>
                <w:lang w:val="fr-FR"/>
              </w:rPr>
              <w:t xml:space="preserve"> construction des pistes, tout en conservant l</w:t>
            </w:r>
            <w:r>
              <w:rPr>
                <w:sz w:val="18"/>
                <w:szCs w:val="18"/>
                <w:lang w:val="fr-FR"/>
              </w:rPr>
              <w:t xml:space="preserve">es </w:t>
            </w:r>
            <w:r w:rsidRPr="00D15A32">
              <w:rPr>
                <w:sz w:val="18"/>
                <w:szCs w:val="18"/>
                <w:lang w:val="fr-FR"/>
              </w:rPr>
              <w:t>même</w:t>
            </w:r>
            <w:r>
              <w:rPr>
                <w:sz w:val="18"/>
                <w:szCs w:val="18"/>
                <w:lang w:val="fr-FR"/>
              </w:rPr>
              <w:t>s</w:t>
            </w:r>
            <w:r w:rsidRPr="00D15A32">
              <w:rPr>
                <w:sz w:val="18"/>
                <w:szCs w:val="18"/>
                <w:lang w:val="fr-FR"/>
              </w:rPr>
              <w:t xml:space="preserve"> tolérances géométrique</w:t>
            </w:r>
            <w:r>
              <w:rPr>
                <w:sz w:val="18"/>
                <w:szCs w:val="18"/>
                <w:lang w:val="fr-FR"/>
              </w:rPr>
              <w:t>s</w:t>
            </w:r>
            <w:r w:rsidRPr="00D15A32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 la surface</w:t>
            </w:r>
          </w:p>
        </w:tc>
      </w:tr>
      <w:tr w:rsidR="00E82A2F" w:rsidRPr="00254AB2" w14:paraId="1F4211E4" w14:textId="77777777" w:rsidTr="00E82A2F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DEF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</w:rPr>
            </w:pPr>
            <w:r w:rsidRPr="00D15A32">
              <w:rPr>
                <w:sz w:val="18"/>
                <w:szCs w:val="18"/>
                <w:lang w:val="fr-FR"/>
              </w:rPr>
              <w:t>Courbe granulométrique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BA3A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  <w:lang w:val="fr-FR"/>
              </w:rPr>
            </w:pPr>
            <w:r w:rsidRPr="002F1C68">
              <w:rPr>
                <w:sz w:val="18"/>
                <w:szCs w:val="18"/>
                <w:lang w:val="fr-FR"/>
              </w:rPr>
              <w:t xml:space="preserve">Remplacement du tracé </w:t>
            </w:r>
            <w:r w:rsidRPr="00D15A32">
              <w:rPr>
                <w:sz w:val="18"/>
                <w:szCs w:val="18"/>
                <w:lang w:val="fr-FR"/>
              </w:rPr>
              <w:t xml:space="preserve">de la courbe granulométrique </w:t>
            </w:r>
            <w:r>
              <w:rPr>
                <w:sz w:val="18"/>
                <w:szCs w:val="18"/>
                <w:lang w:val="fr-FR"/>
              </w:rPr>
              <w:t xml:space="preserve">est remplacée </w:t>
            </w:r>
            <w:r w:rsidRPr="00D15A32">
              <w:rPr>
                <w:sz w:val="18"/>
                <w:szCs w:val="18"/>
                <w:lang w:val="fr-FR"/>
              </w:rPr>
              <w:t xml:space="preserve">par un tableau équivalent </w:t>
            </w:r>
            <w:r>
              <w:rPr>
                <w:sz w:val="18"/>
                <w:szCs w:val="18"/>
                <w:lang w:val="fr-FR"/>
              </w:rPr>
              <w:t>contenant les</w:t>
            </w:r>
            <w:r w:rsidRPr="00D15A32">
              <w:rPr>
                <w:sz w:val="18"/>
                <w:szCs w:val="18"/>
                <w:lang w:val="fr-FR"/>
              </w:rPr>
              <w:t xml:space="preserve"> valeurs définiss</w:t>
            </w:r>
            <w:r>
              <w:rPr>
                <w:sz w:val="18"/>
                <w:szCs w:val="18"/>
                <w:lang w:val="fr-FR"/>
              </w:rPr>
              <w:t>a</w:t>
            </w:r>
            <w:r w:rsidRPr="00D15A32">
              <w:rPr>
                <w:sz w:val="18"/>
                <w:szCs w:val="18"/>
                <w:lang w:val="fr-FR"/>
              </w:rPr>
              <w:t>nt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>enveloppe des courbes granulométriques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9F2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Réduction des différences</w:t>
            </w:r>
            <w:r w:rsidRPr="00D15A32">
              <w:rPr>
                <w:sz w:val="18"/>
                <w:szCs w:val="18"/>
                <w:lang w:val="fr-FR"/>
              </w:rPr>
              <w:t xml:space="preserve">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>une piste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>essai à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>autre</w:t>
            </w:r>
            <w:r>
              <w:rPr>
                <w:sz w:val="18"/>
                <w:szCs w:val="18"/>
                <w:lang w:val="fr-FR"/>
              </w:rPr>
              <w:t xml:space="preserve"> dues à</w:t>
            </w:r>
            <w:r w:rsidRPr="00D15A32">
              <w:rPr>
                <w:sz w:val="18"/>
                <w:szCs w:val="18"/>
                <w:lang w:val="fr-FR"/>
              </w:rPr>
              <w:t xml:space="preserve">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 xml:space="preserve">interprétation subjective </w:t>
            </w:r>
            <w:r>
              <w:rPr>
                <w:sz w:val="18"/>
                <w:szCs w:val="18"/>
                <w:lang w:val="fr-FR"/>
              </w:rPr>
              <w:t>du tracé de la</w:t>
            </w:r>
            <w:r w:rsidRPr="00D15A32">
              <w:rPr>
                <w:sz w:val="18"/>
                <w:szCs w:val="18"/>
                <w:lang w:val="fr-FR"/>
              </w:rPr>
              <w:t xml:space="preserve"> courbe granulométrique</w:t>
            </w:r>
          </w:p>
        </w:tc>
      </w:tr>
      <w:tr w:rsidR="00E82A2F" w:rsidRPr="00254AB2" w14:paraId="3FDE25F4" w14:textId="77777777" w:rsidTr="00E82A2F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1DA9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  <w:lang w:val="fr-FR"/>
              </w:rPr>
            </w:pPr>
            <w:r w:rsidRPr="00D15A32">
              <w:rPr>
                <w:sz w:val="18"/>
                <w:szCs w:val="18"/>
                <w:lang w:val="fr-FR"/>
              </w:rPr>
              <w:t>Méthode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>estimation du bruit dû à la texture (</w:t>
            </w:r>
            <w:proofErr w:type="spellStart"/>
            <w:r>
              <w:rPr>
                <w:sz w:val="18"/>
                <w:szCs w:val="18"/>
                <w:lang w:val="fr-FR"/>
              </w:rPr>
              <w:t>Expected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Noise Due to Texture, </w:t>
            </w:r>
            <w:proofErr w:type="spellStart"/>
            <w:r w:rsidRPr="00D15A32">
              <w:rPr>
                <w:sz w:val="18"/>
                <w:szCs w:val="18"/>
                <w:lang w:val="fr-FR"/>
              </w:rPr>
              <w:t>ENDt</w:t>
            </w:r>
            <w:proofErr w:type="spellEnd"/>
            <w:r w:rsidRPr="00D15A32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152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Remplacement du</w:t>
            </w:r>
            <w:r w:rsidRPr="00D15A32">
              <w:rPr>
                <w:sz w:val="18"/>
                <w:szCs w:val="18"/>
                <w:lang w:val="fr-FR"/>
              </w:rPr>
              <w:t xml:space="preserve"> calcul facultatif de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>estimation du bruit dû à la texture par le calcul facultatif du coefficient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>asymétrie, du facteur de forme (</w:t>
            </w:r>
            <w:r>
              <w:rPr>
                <w:sz w:val="18"/>
                <w:szCs w:val="18"/>
                <w:lang w:val="fr-FR"/>
              </w:rPr>
              <w:t xml:space="preserve">facteur </w:t>
            </w:r>
            <w:r w:rsidRPr="00D15A32">
              <w:rPr>
                <w:sz w:val="18"/>
                <w:szCs w:val="18"/>
                <w:lang w:val="fr-FR"/>
              </w:rPr>
              <w:t>g) et du spectre de texture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A53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D15A32">
              <w:rPr>
                <w:sz w:val="18"/>
                <w:szCs w:val="18"/>
                <w:lang w:val="fr-FR"/>
              </w:rPr>
              <w:t>Le coefficient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>asymétrie, le facteur de forme (</w:t>
            </w:r>
            <w:r>
              <w:rPr>
                <w:sz w:val="18"/>
                <w:szCs w:val="18"/>
                <w:lang w:val="fr-FR"/>
              </w:rPr>
              <w:t xml:space="preserve">facteur </w:t>
            </w:r>
            <w:r w:rsidRPr="00D15A32">
              <w:rPr>
                <w:sz w:val="18"/>
                <w:szCs w:val="18"/>
                <w:lang w:val="fr-FR"/>
              </w:rPr>
              <w:t xml:space="preserve">g) et le spectre de texture sont corrélés au bruit </w:t>
            </w:r>
            <w:r>
              <w:rPr>
                <w:sz w:val="18"/>
                <w:szCs w:val="18"/>
                <w:lang w:val="fr-FR"/>
              </w:rPr>
              <w:t>mesuré au</w:t>
            </w:r>
            <w:r w:rsidRPr="00D15A32">
              <w:rPr>
                <w:sz w:val="18"/>
                <w:szCs w:val="18"/>
                <w:lang w:val="fr-FR"/>
              </w:rPr>
              <w:t xml:space="preserve"> passage des véhicules et pourraient être intégrés aux méthodes </w:t>
            </w:r>
            <w:r>
              <w:rPr>
                <w:sz w:val="18"/>
                <w:szCs w:val="18"/>
                <w:lang w:val="fr-FR"/>
              </w:rPr>
              <w:t>de corrélation des pistes</w:t>
            </w:r>
          </w:p>
        </w:tc>
      </w:tr>
      <w:tr w:rsidR="00E82A2F" w:rsidRPr="00254AB2" w14:paraId="66D5A9E7" w14:textId="77777777" w:rsidTr="00E82A2F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C899" w14:textId="77777777" w:rsidR="00E82A2F" w:rsidRPr="00D15A32" w:rsidRDefault="00E82A2F" w:rsidP="00E82A2F">
            <w:pPr>
              <w:keepNext/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</w:rPr>
            </w:pPr>
            <w:r w:rsidRPr="00D15A32">
              <w:rPr>
                <w:sz w:val="18"/>
                <w:szCs w:val="18"/>
                <w:lang w:val="fr-FR"/>
              </w:rPr>
              <w:t>Prélèvement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 xml:space="preserve">échantillons </w:t>
            </w:r>
            <w:r>
              <w:rPr>
                <w:sz w:val="18"/>
                <w:szCs w:val="18"/>
                <w:lang w:val="fr-FR"/>
              </w:rPr>
              <w:t xml:space="preserve">pour l’analyse </w:t>
            </w:r>
            <w:r w:rsidRPr="00D15A32">
              <w:rPr>
                <w:sz w:val="18"/>
                <w:szCs w:val="18"/>
                <w:lang w:val="fr-FR"/>
              </w:rPr>
              <w:t>granul</w:t>
            </w:r>
            <w:r>
              <w:rPr>
                <w:sz w:val="18"/>
                <w:szCs w:val="18"/>
                <w:lang w:val="fr-FR"/>
              </w:rPr>
              <w:t>ométrique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6FF3" w14:textId="77777777" w:rsidR="00E82A2F" w:rsidRPr="00D15A32" w:rsidRDefault="00E82A2F" w:rsidP="00E82A2F">
            <w:pPr>
              <w:keepNext/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Remplacement du carottage est remplacé par le prélèvement de granulat avant mélange avec l’asphalte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300" w14:textId="77777777" w:rsidR="00E82A2F" w:rsidRPr="00D15A32" w:rsidRDefault="00E82A2F" w:rsidP="00E82A2F">
            <w:pPr>
              <w:keepNext/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  <w:lang w:val="fr-FR"/>
              </w:rPr>
            </w:pPr>
            <w:r w:rsidRPr="00D15A32">
              <w:rPr>
                <w:sz w:val="18"/>
                <w:szCs w:val="18"/>
                <w:lang w:val="fr-FR"/>
              </w:rPr>
              <w:t>L</w:t>
            </w:r>
            <w:r>
              <w:rPr>
                <w:sz w:val="18"/>
                <w:szCs w:val="18"/>
                <w:lang w:val="fr-FR"/>
              </w:rPr>
              <w:t xml:space="preserve">es </w:t>
            </w:r>
            <w:r w:rsidRPr="00D15A32">
              <w:rPr>
                <w:sz w:val="18"/>
                <w:szCs w:val="18"/>
                <w:lang w:val="fr-FR"/>
              </w:rPr>
              <w:t>échantillon</w:t>
            </w:r>
            <w:r>
              <w:rPr>
                <w:sz w:val="18"/>
                <w:szCs w:val="18"/>
                <w:lang w:val="fr-FR"/>
              </w:rPr>
              <w:t>s</w:t>
            </w:r>
            <w:r w:rsidRPr="00D15A32">
              <w:rPr>
                <w:sz w:val="18"/>
                <w:szCs w:val="18"/>
                <w:lang w:val="fr-FR"/>
              </w:rPr>
              <w:t xml:space="preserve"> d</w:t>
            </w:r>
            <w:r>
              <w:rPr>
                <w:sz w:val="18"/>
                <w:szCs w:val="18"/>
                <w:lang w:val="fr-FR"/>
              </w:rPr>
              <w:t>e granulat avant mélange avec l’asphalte</w:t>
            </w:r>
            <w:r w:rsidRPr="00D15A32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sont</w:t>
            </w:r>
            <w:r w:rsidRPr="00D15A32">
              <w:rPr>
                <w:sz w:val="18"/>
                <w:szCs w:val="18"/>
                <w:lang w:val="fr-FR"/>
              </w:rPr>
              <w:t xml:space="preserve"> plus </w:t>
            </w:r>
            <w:r>
              <w:rPr>
                <w:sz w:val="18"/>
                <w:szCs w:val="18"/>
                <w:lang w:val="fr-FR"/>
              </w:rPr>
              <w:t>simples à obtenir</w:t>
            </w:r>
            <w:r w:rsidRPr="00D15A32">
              <w:rPr>
                <w:sz w:val="18"/>
                <w:szCs w:val="18"/>
                <w:lang w:val="fr-FR"/>
              </w:rPr>
              <w:t xml:space="preserve"> et plus représentatif</w:t>
            </w:r>
            <w:r>
              <w:rPr>
                <w:sz w:val="18"/>
                <w:szCs w:val="18"/>
                <w:lang w:val="fr-FR"/>
              </w:rPr>
              <w:t>s</w:t>
            </w:r>
            <w:r w:rsidRPr="00D15A32">
              <w:rPr>
                <w:sz w:val="18"/>
                <w:szCs w:val="18"/>
                <w:lang w:val="fr-FR"/>
              </w:rPr>
              <w:t xml:space="preserve"> que</w:t>
            </w:r>
            <w:r>
              <w:rPr>
                <w:sz w:val="18"/>
                <w:szCs w:val="18"/>
                <w:lang w:val="fr-FR"/>
              </w:rPr>
              <w:t xml:space="preserve"> les petits </w:t>
            </w:r>
            <w:r w:rsidRPr="00D15A32">
              <w:rPr>
                <w:sz w:val="18"/>
                <w:szCs w:val="18"/>
                <w:lang w:val="fr-FR"/>
              </w:rPr>
              <w:t xml:space="preserve">échantillons </w:t>
            </w:r>
            <w:r>
              <w:rPr>
                <w:sz w:val="18"/>
                <w:szCs w:val="18"/>
                <w:lang w:val="fr-FR"/>
              </w:rPr>
              <w:t xml:space="preserve">extraits de </w:t>
            </w:r>
            <w:r w:rsidRPr="00D15A32">
              <w:rPr>
                <w:sz w:val="18"/>
                <w:szCs w:val="18"/>
                <w:lang w:val="fr-FR"/>
              </w:rPr>
              <w:t>quatre carottes</w:t>
            </w:r>
          </w:p>
        </w:tc>
      </w:tr>
      <w:tr w:rsidR="00E82A2F" w:rsidRPr="00254AB2" w14:paraId="58D8EADF" w14:textId="77777777" w:rsidTr="00E82A2F">
        <w:trPr>
          <w:trHeight w:val="10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A21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  <w:lang w:val="fr-FR"/>
              </w:rPr>
            </w:pPr>
            <w:r w:rsidRPr="00D15A32">
              <w:rPr>
                <w:sz w:val="18"/>
                <w:szCs w:val="18"/>
                <w:lang w:val="fr-FR"/>
              </w:rPr>
              <w:t xml:space="preserve">Exemples de </w:t>
            </w:r>
            <w:r>
              <w:rPr>
                <w:sz w:val="18"/>
                <w:szCs w:val="18"/>
                <w:lang w:val="fr-FR"/>
              </w:rPr>
              <w:t>structure</w:t>
            </w:r>
            <w:r w:rsidRPr="00D15A32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d’une </w:t>
            </w:r>
            <w:r w:rsidRPr="00D15A32">
              <w:rPr>
                <w:sz w:val="18"/>
                <w:szCs w:val="18"/>
                <w:lang w:val="fr-FR"/>
              </w:rPr>
              <w:t>piste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9D74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Exemples supprimés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055" w14:textId="77777777" w:rsidR="00E82A2F" w:rsidRPr="00D15A32" w:rsidRDefault="00E82A2F" w:rsidP="00E82A2F">
            <w:pPr>
              <w:spacing w:before="60" w:after="60" w:line="220" w:lineRule="atLeast"/>
              <w:ind w:left="57" w:right="57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Moins de conflits</w:t>
            </w:r>
            <w:r w:rsidRPr="00D15A32">
              <w:rPr>
                <w:sz w:val="18"/>
                <w:szCs w:val="18"/>
                <w:lang w:val="fr-FR"/>
              </w:rPr>
              <w:t xml:space="preserve"> et </w:t>
            </w:r>
            <w:r>
              <w:rPr>
                <w:sz w:val="18"/>
                <w:szCs w:val="18"/>
                <w:lang w:val="fr-FR"/>
              </w:rPr>
              <w:t>de divergences</w:t>
            </w:r>
            <w:r w:rsidRPr="00D15A32">
              <w:rPr>
                <w:sz w:val="18"/>
                <w:szCs w:val="18"/>
                <w:lang w:val="fr-FR"/>
              </w:rPr>
              <w:t xml:space="preserve">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D15A32">
              <w:rPr>
                <w:sz w:val="18"/>
                <w:szCs w:val="18"/>
                <w:lang w:val="fr-FR"/>
              </w:rPr>
              <w:t xml:space="preserve">interprétation des prescriptions techniques </w:t>
            </w:r>
            <w:r>
              <w:rPr>
                <w:sz w:val="18"/>
                <w:szCs w:val="18"/>
                <w:lang w:val="fr-FR"/>
              </w:rPr>
              <w:t>imposées par</w:t>
            </w:r>
            <w:r w:rsidRPr="00D15A32">
              <w:rPr>
                <w:sz w:val="18"/>
                <w:szCs w:val="18"/>
                <w:lang w:val="fr-FR"/>
              </w:rPr>
              <w:t xml:space="preserve"> la norme </w:t>
            </w:r>
          </w:p>
        </w:tc>
      </w:tr>
    </w:tbl>
    <w:bookmarkEnd w:id="1"/>
    <w:bookmarkEnd w:id="2"/>
    <w:p w14:paraId="62CF1647" w14:textId="1AD4F402" w:rsidR="00E82A2F" w:rsidRPr="00E82A2F" w:rsidRDefault="00E82A2F" w:rsidP="00E82A2F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2A2F" w:rsidRPr="00E82A2F" w:rsidSect="003619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E624" w14:textId="77777777" w:rsidR="009D68DB" w:rsidRDefault="009D68DB" w:rsidP="00F95C08">
      <w:pPr>
        <w:spacing w:line="240" w:lineRule="auto"/>
      </w:pPr>
    </w:p>
  </w:endnote>
  <w:endnote w:type="continuationSeparator" w:id="0">
    <w:p w14:paraId="0FEAC3C1" w14:textId="77777777" w:rsidR="009D68DB" w:rsidRPr="00AC3823" w:rsidRDefault="009D68DB" w:rsidP="00AC3823">
      <w:pPr>
        <w:pStyle w:val="Pieddepage"/>
      </w:pPr>
    </w:p>
  </w:endnote>
  <w:endnote w:type="continuationNotice" w:id="1">
    <w:p w14:paraId="77C41264" w14:textId="77777777" w:rsidR="009D68DB" w:rsidRDefault="009D68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4C88" w14:textId="2E368203" w:rsidR="003619C0" w:rsidRPr="003619C0" w:rsidRDefault="003619C0" w:rsidP="003619C0">
    <w:pPr>
      <w:pStyle w:val="Pieddepage"/>
      <w:tabs>
        <w:tab w:val="right" w:pos="9638"/>
      </w:tabs>
    </w:pPr>
    <w:r w:rsidRPr="003619C0">
      <w:rPr>
        <w:b/>
        <w:sz w:val="18"/>
      </w:rPr>
      <w:fldChar w:fldCharType="begin"/>
    </w:r>
    <w:r w:rsidRPr="003619C0">
      <w:rPr>
        <w:b/>
        <w:sz w:val="18"/>
      </w:rPr>
      <w:instrText xml:space="preserve"> PAGE  \* MERGEFORMAT </w:instrText>
    </w:r>
    <w:r w:rsidRPr="003619C0">
      <w:rPr>
        <w:b/>
        <w:sz w:val="18"/>
      </w:rPr>
      <w:fldChar w:fldCharType="separate"/>
    </w:r>
    <w:r w:rsidRPr="003619C0">
      <w:rPr>
        <w:b/>
        <w:noProof/>
        <w:sz w:val="18"/>
      </w:rPr>
      <w:t>2</w:t>
    </w:r>
    <w:r w:rsidRPr="003619C0">
      <w:rPr>
        <w:b/>
        <w:sz w:val="18"/>
      </w:rPr>
      <w:fldChar w:fldCharType="end"/>
    </w:r>
    <w:r>
      <w:rPr>
        <w:b/>
        <w:sz w:val="18"/>
      </w:rPr>
      <w:tab/>
    </w:r>
    <w:r>
      <w:t>GE.22-09266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44CE" w14:textId="5F9AA437" w:rsidR="003619C0" w:rsidRPr="003619C0" w:rsidRDefault="003619C0" w:rsidP="003619C0">
    <w:pPr>
      <w:pStyle w:val="Pieddepage"/>
      <w:tabs>
        <w:tab w:val="right" w:pos="9638"/>
      </w:tabs>
      <w:rPr>
        <w:b/>
        <w:sz w:val="18"/>
      </w:rPr>
    </w:pPr>
    <w:r>
      <w:t>GE.22-09266</w:t>
    </w:r>
    <w:r>
      <w:tab/>
    </w:r>
    <w:r w:rsidRPr="003619C0">
      <w:rPr>
        <w:b/>
        <w:sz w:val="18"/>
      </w:rPr>
      <w:fldChar w:fldCharType="begin"/>
    </w:r>
    <w:r w:rsidRPr="003619C0">
      <w:rPr>
        <w:b/>
        <w:sz w:val="18"/>
      </w:rPr>
      <w:instrText xml:space="preserve"> PAGE  \* MERGEFORMAT </w:instrText>
    </w:r>
    <w:r w:rsidRPr="003619C0">
      <w:rPr>
        <w:b/>
        <w:sz w:val="18"/>
      </w:rPr>
      <w:fldChar w:fldCharType="separate"/>
    </w:r>
    <w:r w:rsidRPr="003619C0">
      <w:rPr>
        <w:b/>
        <w:noProof/>
        <w:sz w:val="18"/>
      </w:rPr>
      <w:t>3</w:t>
    </w:r>
    <w:r w:rsidRPr="003619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83F1" w14:textId="71DED7A0" w:rsidR="007F20FA" w:rsidRPr="003619C0" w:rsidRDefault="003619C0" w:rsidP="003619C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EEBD163" wp14:editId="70BCFFD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22-09266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87DC5B" wp14:editId="4959630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150722    150722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69FC" w14:textId="77777777" w:rsidR="009D68DB" w:rsidRPr="00AC3823" w:rsidRDefault="009D68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0E0175" w14:textId="77777777" w:rsidR="009D68DB" w:rsidRPr="00AC3823" w:rsidRDefault="009D68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E218E4" w14:textId="77777777" w:rsidR="009D68DB" w:rsidRPr="00AC3823" w:rsidRDefault="009D68DB">
      <w:pPr>
        <w:spacing w:line="240" w:lineRule="auto"/>
        <w:rPr>
          <w:sz w:val="2"/>
          <w:szCs w:val="2"/>
        </w:rPr>
      </w:pPr>
    </w:p>
  </w:footnote>
  <w:footnote w:id="2">
    <w:p w14:paraId="0F54C857" w14:textId="069A430E" w:rsidR="00E82A2F" w:rsidRPr="007E464F" w:rsidRDefault="00E82A2F" w:rsidP="00E82A2F">
      <w:pPr>
        <w:pStyle w:val="Notedebasdepage"/>
      </w:pPr>
      <w:bookmarkStart w:id="0" w:name="_Hlk106812469"/>
      <w:r w:rsidRPr="00E82A2F">
        <w:rPr>
          <w:sz w:val="20"/>
          <w:lang w:val="fr-FR"/>
        </w:rPr>
        <w:tab/>
        <w:t>*</w:t>
      </w:r>
      <w:r w:rsidRPr="00E82A2F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</w:t>
      </w:r>
      <w:r>
        <w:rPr>
          <w:lang w:val="fr-FR"/>
        </w:rPr>
        <w:t> </w:t>
      </w:r>
      <w:r>
        <w:rPr>
          <w:lang w:val="fr-FR"/>
        </w:rPr>
        <w:t>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  <w:bookmarkEnd w:id="0"/>
    <w:p w14:paraId="42965E31" w14:textId="77777777" w:rsidR="00E82A2F" w:rsidRPr="00475D91" w:rsidRDefault="00E82A2F" w:rsidP="00E82A2F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F46E" w14:textId="06755713" w:rsidR="003619C0" w:rsidRPr="003619C0" w:rsidRDefault="003619C0">
    <w:pPr>
      <w:pStyle w:val="En-tte"/>
    </w:pPr>
    <w:fldSimple w:instr=" TITLE  \* MERGEFORMAT ">
      <w:r w:rsidR="00C1574D">
        <w:t>ECE/TRANS/WP.29/GRBP/2022/13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9ECD" w14:textId="5D5DE975" w:rsidR="003619C0" w:rsidRPr="003619C0" w:rsidRDefault="003619C0" w:rsidP="003619C0">
    <w:pPr>
      <w:pStyle w:val="En-tte"/>
      <w:jc w:val="right"/>
    </w:pPr>
    <w:fldSimple w:instr=" TITLE  \* MERGEFORMAT ">
      <w:r w:rsidR="00C1574D">
        <w:t>ECE/TRANS/WP.29/GRBP/2022/13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DB"/>
    <w:rsid w:val="00017F94"/>
    <w:rsid w:val="00023842"/>
    <w:rsid w:val="000334F9"/>
    <w:rsid w:val="00045FEB"/>
    <w:rsid w:val="0007796D"/>
    <w:rsid w:val="000B7790"/>
    <w:rsid w:val="00111F2F"/>
    <w:rsid w:val="001241FD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619C0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D68DB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1574D"/>
    <w:rsid w:val="00C97039"/>
    <w:rsid w:val="00D3439C"/>
    <w:rsid w:val="00D7622E"/>
    <w:rsid w:val="00DB1831"/>
    <w:rsid w:val="00DD3BFD"/>
    <w:rsid w:val="00DF6678"/>
    <w:rsid w:val="00E0299A"/>
    <w:rsid w:val="00E82A2F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897F7D"/>
  <w15:docId w15:val="{78CAFE3C-E53B-4933-9C59-E528D570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E82A2F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E82A2F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E82A2F"/>
    <w:rPr>
      <w:rFonts w:ascii="Times New Roman" w:hAnsi="Times New Roman" w:cs="Times New Roman"/>
      <w:sz w:val="20"/>
      <w:szCs w:val="20"/>
      <w:lang w:val="en-GB" w:eastAsia="en-US"/>
    </w:rPr>
  </w:style>
  <w:style w:type="paragraph" w:styleId="Paragraphedeliste">
    <w:name w:val="List Paragraph"/>
    <w:basedOn w:val="Normal"/>
    <w:uiPriority w:val="34"/>
    <w:qFormat/>
    <w:rsid w:val="00E82A2F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</w:rPr>
  </w:style>
  <w:style w:type="paragraph" w:customStyle="1" w:styleId="Pa14">
    <w:name w:val="Pa14"/>
    <w:basedOn w:val="Normal"/>
    <w:next w:val="Normal"/>
    <w:uiPriority w:val="99"/>
    <w:rsid w:val="00E82A2F"/>
    <w:pPr>
      <w:suppressAutoHyphens w:val="0"/>
      <w:kinsoku/>
      <w:overflowPunct/>
      <w:snapToGrid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570</Words>
  <Characters>3995</Characters>
  <Application>Microsoft Office Word</Application>
  <DocSecurity>0</DocSecurity>
  <Lines>332</Lines>
  <Paragraphs>182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ECE/TRANS/WP.29/GRBP/2022/13</dc:title>
  <dc:subject/>
  <dc:creator>Maud DARICHE</dc:creator>
  <cp:keywords/>
  <cp:lastModifiedBy>Maud Dariche</cp:lastModifiedBy>
  <cp:revision>3</cp:revision>
  <cp:lastPrinted>2022-07-15T14:49:00Z</cp:lastPrinted>
  <dcterms:created xsi:type="dcterms:W3CDTF">2022-07-15T14:49:00Z</dcterms:created>
  <dcterms:modified xsi:type="dcterms:W3CDTF">2022-07-15T14:49:00Z</dcterms:modified>
</cp:coreProperties>
</file>